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8"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Washington, D.C. 20549</w:t>
      </w:r>
    </w:p>
    <w:p>
      <w:pPr>
        <w:spacing w:after="0" w:line="99"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SCHEDULE 14A</w:t>
      </w:r>
    </w:p>
    <w:p>
      <w:pPr>
        <w:spacing w:after="0" w:line="11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2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Exchange Act of 1934</w:t>
      </w:r>
    </w:p>
    <w:p>
      <w:pPr>
        <w:spacing w:after="0" w:line="230"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(Amendment No.   )</w:t>
      </w:r>
    </w:p>
    <w:p>
      <w:pPr>
        <w:spacing w:after="0" w:line="91" w:lineRule="exact"/>
        <w:rPr>
          <w:sz w:val="24"/>
          <w:szCs w:val="24"/>
          <w:color w:val="auto"/>
        </w:rPr>
      </w:pPr>
    </w:p>
    <w:p>
      <w:pPr>
        <w:spacing w:after="0" w:line="161" w:lineRule="exact"/>
        <w:tabs>
          <w:tab w:leader="none" w:pos="28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90" w:lineRule="exact"/>
        <w:rPr>
          <w:sz w:val="24"/>
          <w:szCs w:val="2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9"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41" w:lineRule="exact"/>
        <w:rPr>
          <w:rFonts w:ascii="MS PGothic" w:cs="MS PGothic" w:eastAsia="MS PGothic" w:hAnsi="MS PGothic"/>
          <w:sz w:val="14"/>
          <w:szCs w:val="14"/>
          <w:color w:val="auto"/>
        </w:rPr>
      </w:pPr>
    </w:p>
    <w:p>
      <w:pPr>
        <w:ind w:left="2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84" w:lineRule="exact"/>
        <w:rPr>
          <w:sz w:val="24"/>
          <w:szCs w:val="24"/>
          <w:color w:val="auto"/>
        </w:rPr>
      </w:pPr>
    </w:p>
    <w:p>
      <w:pPr>
        <w:jc w:val="center"/>
        <w:ind w:right="-1120"/>
        <w:spacing w:after="0"/>
        <w:rPr>
          <w:sz w:val="20"/>
          <w:szCs w:val="20"/>
          <w:color w:val="auto"/>
        </w:rPr>
      </w:pPr>
      <w:r>
        <w:rPr>
          <w:rFonts w:ascii="Arial" w:cs="Arial" w:eastAsia="Arial" w:hAnsi="Arial"/>
          <w:sz w:val="28"/>
          <w:szCs w:val="28"/>
          <w:b w:val="1"/>
          <w:bCs w:val="1"/>
          <w:color w:val="auto"/>
        </w:rPr>
        <w:t>ARROWHEAD PHARMACEUTICALS, INC.</w:t>
      </w:r>
    </w:p>
    <w:p>
      <w:pPr>
        <w:spacing w:after="0" w:line="68"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41" w:lineRule="exact"/>
        <w:rPr>
          <w:sz w:val="24"/>
          <w:szCs w:val="24"/>
          <w:color w:val="auto"/>
        </w:rPr>
      </w:pPr>
    </w:p>
    <w:p>
      <w:pPr>
        <w:ind w:left="620" w:hanging="593"/>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63" w:lineRule="exact"/>
        <w:rPr>
          <w:sz w:val="24"/>
          <w:szCs w:val="2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49" w:lineRule="exact"/>
        <w:rPr>
          <w:rFonts w:ascii="MS PGothic" w:cs="MS PGothic" w:eastAsia="MS PGothic" w:hAnsi="MS PGothic"/>
          <w:sz w:val="14"/>
          <w:szCs w:val="1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1193800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100965</wp:posOffset>
            </wp:positionV>
            <wp:extent cx="6454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875665</wp:posOffset>
            </wp:positionV>
            <wp:extent cx="5349240" cy="6917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19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817245</wp:posOffset>
            </wp:positionV>
            <wp:extent cx="226314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To Be Held on Thursday, 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077210" cy="6883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77210" cy="6883400"/>
                    </a:xfrm>
                    <a:prstGeom prst="rect">
                      <a:avLst/>
                    </a:prstGeom>
                    <a:noFill/>
                  </pic:spPr>
                </pic:pic>
              </a:graphicData>
            </a:graphic>
          </wp:anchor>
        </w:drawing>
      </w:r>
    </w:p>
    <w:p>
      <w:pPr>
        <w:sectPr>
          <w:pgSz w:w="11900" w:h="16838" w:orient="portrait"/>
          <w:cols w:equalWidth="0" w:num="1">
            <w:col w:w="11200"/>
          </w:cols>
          <w:pgMar w:left="320" w:top="198" w:right="379" w:bottom="6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80"/>
        <w:spacing w:after="0" w:line="263"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181" w:lineRule="exact"/>
        <w:rPr>
          <w:sz w:val="20"/>
          <w:szCs w:val="20"/>
          <w:color w:val="auto"/>
        </w:rPr>
      </w:pPr>
    </w:p>
    <w:p>
      <w:pPr>
        <w:jc w:val="both"/>
        <w:ind w:left="180" w:right="20"/>
        <w:spacing w:after="0" w:line="296"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54" w:lineRule="exact"/>
        <w:rPr>
          <w:sz w:val="20"/>
          <w:szCs w:val="20"/>
          <w:color w:val="auto"/>
        </w:rPr>
      </w:pPr>
    </w:p>
    <w:p>
      <w:pPr>
        <w:jc w:val="both"/>
        <w:ind w:left="180"/>
        <w:spacing w:after="0" w:line="280"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19, 2026:</w:t>
      </w:r>
    </w:p>
    <w:p>
      <w:pPr>
        <w:spacing w:after="0" w:line="153" w:lineRule="exact"/>
        <w:rPr>
          <w:sz w:val="20"/>
          <w:szCs w:val="20"/>
          <w:color w:val="auto"/>
        </w:rPr>
      </w:pPr>
    </w:p>
    <w:p>
      <w:pPr>
        <w:ind w:left="180" w:right="20"/>
        <w:spacing w:after="0" w:line="265" w:lineRule="auto"/>
        <w:rPr>
          <w:sz w:val="20"/>
          <w:szCs w:val="20"/>
          <w:color w:val="auto"/>
        </w:rPr>
      </w:pPr>
      <w:r>
        <w:rPr>
          <w:rFonts w:ascii="Arial" w:cs="Arial" w:eastAsia="Arial" w:hAnsi="Arial"/>
          <w:sz w:val="16"/>
          <w:szCs w:val="16"/>
          <w:color w:val="auto"/>
        </w:rPr>
        <w:t>You may access the following proxy materials at www.proxyvote.com before the meeting and at www.virtualshareholdermeeting.com/ARWR2026 during the meeting.</w:t>
      </w:r>
    </w:p>
    <w:p>
      <w:pPr>
        <w:spacing w:after="0" w:line="92" w:lineRule="exact"/>
        <w:rPr>
          <w:sz w:val="20"/>
          <w:szCs w:val="20"/>
          <w:color w:val="auto"/>
        </w:rPr>
      </w:pPr>
    </w:p>
    <w:p>
      <w:pPr>
        <w:ind w:left="220" w:hanging="112"/>
        <w:spacing w:after="0"/>
        <w:tabs>
          <w:tab w:leader="none" w:pos="220" w:val="left"/>
        </w:tabs>
        <w:numPr>
          <w:ilvl w:val="0"/>
          <w:numId w:val="4"/>
        </w:numPr>
        <w:rPr>
          <w:rFonts w:ascii="Arial" w:cs="Arial" w:eastAsia="Arial" w:hAnsi="Arial"/>
          <w:sz w:val="16"/>
          <w:szCs w:val="16"/>
          <w:color w:val="0071CE"/>
        </w:rPr>
      </w:pPr>
      <w:r>
        <w:rPr>
          <w:rFonts w:ascii="Arial" w:cs="Arial" w:eastAsia="Arial" w:hAnsi="Arial"/>
          <w:sz w:val="16"/>
          <w:szCs w:val="16"/>
          <w:color w:val="auto"/>
        </w:rPr>
        <w:t>Notice of the 2026 Annual Meeting of Stockholders;</w:t>
      </w:r>
    </w:p>
    <w:p>
      <w:pPr>
        <w:spacing w:after="0" w:line="140" w:lineRule="exact"/>
        <w:rPr>
          <w:rFonts w:ascii="Arial" w:cs="Arial" w:eastAsia="Arial" w:hAnsi="Arial"/>
          <w:sz w:val="16"/>
          <w:szCs w:val="16"/>
          <w:color w:val="0071CE"/>
        </w:rPr>
      </w:pPr>
    </w:p>
    <w:p>
      <w:pPr>
        <w:ind w:left="140"/>
        <w:spacing w:after="0"/>
        <w:rPr>
          <w:rFonts w:ascii="Arial" w:cs="Arial" w:eastAsia="Arial" w:hAnsi="Arial"/>
          <w:sz w:val="16"/>
          <w:szCs w:val="16"/>
          <w:color w:val="0071CE"/>
        </w:rPr>
      </w:pPr>
      <w:r>
        <w:rPr>
          <w:rFonts w:ascii="Arial" w:cs="Arial" w:eastAsia="Arial" w:hAnsi="Arial"/>
          <w:sz w:val="16"/>
          <w:szCs w:val="16"/>
          <w:color w:val="0071CE"/>
        </w:rPr>
        <w:t>•</w:t>
      </w:r>
      <w:r>
        <w:rPr>
          <w:rFonts w:ascii="Arial" w:cs="Arial" w:eastAsia="Arial" w:hAnsi="Arial"/>
          <w:sz w:val="16"/>
          <w:szCs w:val="16"/>
          <w:color w:val="000000"/>
        </w:rPr>
        <w:t>  Company’s 2026 Proxy Statement; and</w:t>
      </w:r>
    </w:p>
    <w:p>
      <w:pPr>
        <w:spacing w:after="0" w:line="154" w:lineRule="exact"/>
        <w:rPr>
          <w:sz w:val="20"/>
          <w:szCs w:val="20"/>
          <w:color w:val="auto"/>
        </w:rPr>
      </w:pPr>
    </w:p>
    <w:p>
      <w:pPr>
        <w:ind w:left="360" w:hanging="215"/>
        <w:spacing w:after="0" w:line="286" w:lineRule="auto"/>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 Company’s Annual Report on Form 10-K for the year ended</w:t>
      </w:r>
      <w:r>
        <w:rPr>
          <w:rFonts w:ascii="Arial" w:cs="Arial" w:eastAsia="Arial" w:hAnsi="Arial"/>
          <w:sz w:val="16"/>
          <w:szCs w:val="16"/>
          <w:color w:val="0071CE"/>
        </w:rPr>
        <w:t xml:space="preserve"> </w:t>
      </w:r>
      <w:r>
        <w:rPr>
          <w:rFonts w:ascii="Arial" w:cs="Arial" w:eastAsia="Arial" w:hAnsi="Arial"/>
          <w:sz w:val="16"/>
          <w:szCs w:val="16"/>
          <w:color w:val="000000"/>
        </w:rPr>
        <w:t>September 30, 2025</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THE STOCKHOLDERS OF ARROWHEAD PHARMACEUTICALS, INC.:</w:t>
      </w:r>
    </w:p>
    <w:p>
      <w:pPr>
        <w:spacing w:after="0" w:line="127"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NOTICE IS HEREBY GIVEN that the 2026 Annual Meeting of Stockholders of Arrowhead Pharmaceuticals, Inc., a Delaware corporation (the “Company” or “Arrowhead”), will be held on Thursday, March 19, 2026, at 10:00 a.m., Pacific Time (the “Annual Meeting”). This year’s meeting will be a completely “virtual” meeting of stockholders. If you are a stockholder of record, you can attend the Annual Meeting online, vote your shares electronically, and submit your questions during the Annual Meeting by visiting www.virtualshareholdermeeting.com/ARWR2026. Prior to the Annual Meeting, you will be able to vote at www.proxyvote.com or, if you requested printed copies of the proxy materials, by telephone or mail. The Annual Meeting will be held for the purpose of considering and voting upon the following proposals, as more fully described in the accompanying Proxy Statement:</w:t>
      </w:r>
    </w:p>
    <w:p>
      <w:pPr>
        <w:spacing w:after="0" w:line="33" w:lineRule="exact"/>
        <w:rPr>
          <w:sz w:val="20"/>
          <w:szCs w:val="20"/>
          <w:color w:val="auto"/>
        </w:rPr>
      </w:pPr>
    </w:p>
    <w:p>
      <w:pPr>
        <w:jc w:val="both"/>
        <w:ind w:left="324" w:hanging="323"/>
        <w:spacing w:after="0" w:line="275" w:lineRule="auto"/>
        <w:rPr>
          <w:sz w:val="20"/>
          <w:szCs w:val="20"/>
          <w:color w:val="auto"/>
        </w:rPr>
      </w:pPr>
      <w:r>
        <w:rPr>
          <w:rFonts w:ascii="Arial" w:cs="Arial" w:eastAsia="Arial" w:hAnsi="Arial"/>
          <w:sz w:val="16"/>
          <w:szCs w:val="16"/>
          <w:color w:val="auto"/>
        </w:rPr>
        <w:t>1.   To elect the seven directors named in the Proxy Statement to serve as members of the Company’s Board of Directors until the next Annual Meeting or until their successors are duly elected and qualified;</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6"/>
          <w:szCs w:val="16"/>
          <w:color w:val="auto"/>
        </w:rPr>
        <w:t>2.   To conduct an advisory (non-binding) vote to approve executive compensation;</w:t>
      </w:r>
    </w:p>
    <w:p>
      <w:pPr>
        <w:spacing w:after="0" w:line="73" w:lineRule="exact"/>
        <w:rPr>
          <w:sz w:val="20"/>
          <w:szCs w:val="20"/>
          <w:color w:val="auto"/>
        </w:rPr>
      </w:pPr>
    </w:p>
    <w:p>
      <w:pPr>
        <w:jc w:val="both"/>
        <w:ind w:left="324" w:hanging="323"/>
        <w:spacing w:after="0" w:line="304" w:lineRule="auto"/>
        <w:tabs>
          <w:tab w:leader="none" w:pos="304" w:val="left"/>
        </w:tabs>
        <w:rPr>
          <w:sz w:val="20"/>
          <w:szCs w:val="20"/>
          <w:color w:val="auto"/>
        </w:rPr>
      </w:pPr>
      <w:r>
        <w:rPr>
          <w:rFonts w:ascii="Arial" w:cs="Arial" w:eastAsia="Arial" w:hAnsi="Arial"/>
          <w:sz w:val="16"/>
          <w:szCs w:val="16"/>
          <w:color w:val="auto"/>
        </w:rPr>
        <w:t>3. </w:t>
        <w:tab/>
        <w:t>To approve the Arrowhead Pharmaceuticals, Inc. Amended and Restated 2021 Incentive Plan;</w:t>
      </w:r>
    </w:p>
    <w:p>
      <w:pPr>
        <w:spacing w:after="0" w:line="168" w:lineRule="exact"/>
        <w:rPr>
          <w:sz w:val="20"/>
          <w:szCs w:val="20"/>
          <w:color w:val="auto"/>
        </w:rPr>
      </w:pPr>
    </w:p>
    <w:p>
      <w:pPr>
        <w:ind w:left="324" w:hanging="324"/>
        <w:spacing w:after="0" w:line="299" w:lineRule="auto"/>
        <w:tabs>
          <w:tab w:leader="none" w:pos="193"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KPMG LLP as independent auditors of the Company for the fiscal year ending September 30, 2026; and</w:t>
      </w:r>
    </w:p>
    <w:p>
      <w:pPr>
        <w:spacing w:after="0" w:line="1" w:lineRule="exact"/>
        <w:rPr>
          <w:sz w:val="20"/>
          <w:szCs w:val="20"/>
          <w:color w:val="auto"/>
        </w:rPr>
      </w:pPr>
    </w:p>
    <w:p>
      <w:pPr>
        <w:jc w:val="both"/>
        <w:ind w:left="324" w:hanging="323"/>
        <w:spacing w:after="0" w:line="286" w:lineRule="auto"/>
        <w:rPr>
          <w:sz w:val="20"/>
          <w:szCs w:val="20"/>
          <w:color w:val="auto"/>
        </w:rPr>
      </w:pPr>
      <w:r>
        <w:rPr>
          <w:rFonts w:ascii="Arial" w:cs="Arial" w:eastAsia="Arial" w:hAnsi="Arial"/>
          <w:sz w:val="16"/>
          <w:szCs w:val="16"/>
          <w:color w:val="auto"/>
        </w:rPr>
        <w:t>5.  To transact any other matters that may properly come before the Annual Meeting or any adjournments or postponements thereof.</w:t>
      </w:r>
    </w:p>
    <w:p>
      <w:pPr>
        <w:spacing w:after="0" w:line="129" w:lineRule="exact"/>
        <w:rPr>
          <w:sz w:val="20"/>
          <w:szCs w:val="20"/>
          <w:color w:val="auto"/>
        </w:rPr>
      </w:pPr>
    </w:p>
    <w:p>
      <w:pPr>
        <w:jc w:val="both"/>
        <w:ind w:left="4"/>
        <w:spacing w:after="0" w:line="260"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The Board of Directors has fixed January 22, 2026 as the record date for the meeting. Only stockholders of record at the close of business on that date will be entitled to notice of, and to vote at, the Annual Meeting and any adjournment or postponement thereof.</w:t>
      </w:r>
    </w:p>
    <w:p>
      <w:pPr>
        <w:spacing w:after="0" w:line="16" w:lineRule="exact"/>
        <w:rPr>
          <w:sz w:val="20"/>
          <w:szCs w:val="20"/>
          <w:color w:val="auto"/>
        </w:rPr>
      </w:pPr>
    </w:p>
    <w:p>
      <w:pPr>
        <w:ind w:left="4"/>
        <w:spacing w:after="0" w:line="216"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www.virtualshareholdermeeting.com/ARWR2026. Instructions for accessing the virtual Annual Meeting are provided in the Proxy Statement. 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11:00 a.m., Pacific Time on the date specified above and at the Company’s address specified below solely for the purpose of adjourning the meeting to reconvene at a date, time and physical or virtual location announced by the meeting chair or secretary. Under either of the foregoing circumstances, we will post information regarding the announcement on the Investors page of the Company’s website at ir.arrowheadpharma.com.</w:t>
      </w:r>
    </w:p>
    <w:p>
      <w:pPr>
        <w:spacing w:after="0" w:line="210" w:lineRule="exact"/>
        <w:rPr>
          <w:sz w:val="20"/>
          <w:szCs w:val="20"/>
          <w:color w:val="auto"/>
        </w:rPr>
      </w:pPr>
    </w:p>
    <w:p>
      <w:pPr>
        <w:ind w:left="4" w:right="160"/>
        <w:spacing w:after="0" w:line="258"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if you requested a printed copy of the proxy materials, by telephone or mail by marking, signing, dating and returning the proxy card or voting instruction form provided with the printed proxy materials as promptly as possible in the postage-prepaid envelope enclosed for that purpose. Any stockholder of record attending the Annual Meeting may vote at the Annual Meeting even if such stockholder has previously returned a proxy.</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6"/>
                <w:szCs w:val="16"/>
                <w:color w:val="auto"/>
              </w:rPr>
              <w:t>/s/ Patrick O’Brien</w:t>
            </w:r>
          </w:p>
        </w:tc>
        <w:tc>
          <w:tcPr>
            <w:tcW w:w="2440" w:type="dxa"/>
            <w:vAlign w:val="bottom"/>
            <w:vMerge w:val="restart"/>
          </w:tcPr>
          <w:p>
            <w:pPr>
              <w:ind w:left="940"/>
              <w:spacing w:after="0"/>
              <w:rPr>
                <w:sz w:val="20"/>
                <w:szCs w:val="20"/>
                <w:color w:val="auto"/>
              </w:rPr>
            </w:pPr>
            <w:r>
              <w:rPr>
                <w:rFonts w:ascii="Arial" w:cs="Arial" w:eastAsia="Arial" w:hAnsi="Arial"/>
                <w:sz w:val="16"/>
                <w:szCs w:val="16"/>
                <w:color w:val="auto"/>
                <w:w w:val="99"/>
              </w:rPr>
              <w:t>Pasadena, California</w:t>
            </w:r>
          </w:p>
        </w:tc>
        <w:tc>
          <w:tcPr>
            <w:tcW w:w="0" w:type="dxa"/>
            <w:vAlign w:val="bottom"/>
          </w:tcPr>
          <w:p>
            <w:pPr>
              <w:spacing w:after="0"/>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Patrick O’Brien</w:t>
            </w:r>
          </w:p>
        </w:tc>
        <w:tc>
          <w:tcPr>
            <w:tcW w:w="2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6"/>
                <w:szCs w:val="16"/>
                <w:i w:val="1"/>
                <w:iCs w:val="1"/>
                <w:color w:val="auto"/>
              </w:rPr>
              <w:t>Secretary</w:t>
            </w:r>
          </w:p>
        </w:tc>
        <w:tc>
          <w:tcPr>
            <w:tcW w:w="2440" w:type="dxa"/>
            <w:vAlign w:val="bottom"/>
          </w:tcPr>
          <w:p>
            <w:pPr>
              <w:ind w:left="940"/>
              <w:spacing w:after="0"/>
              <w:rPr>
                <w:sz w:val="20"/>
                <w:szCs w:val="20"/>
                <w:color w:val="auto"/>
              </w:rPr>
            </w:pPr>
            <w:r>
              <w:rPr>
                <w:rFonts w:ascii="Arial" w:cs="Arial" w:eastAsia="Arial" w:hAnsi="Arial"/>
                <w:sz w:val="16"/>
                <w:szCs w:val="16"/>
                <w:color w:val="auto"/>
              </w:rPr>
              <w:t>January 26,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40" w:space="196"/>
            <w:col w:w="6164"/>
          </w:cols>
          <w:pgMar w:left="320" w:top="198" w:right="379" w:bottom="6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C4C4C"/>
        </w:rPr>
        <w:t xml:space="preserve">Arrowhead Pharmaceuticals, Inc.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177 E. Colorado Blvd., Suite 700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Pasadena, California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669"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jc w:val="right"/>
        <w:spacing w:after="0"/>
        <w:tabs>
          <w:tab w:leader="none" w:pos="11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6"/>
          <w:szCs w:val="36"/>
          <w:b w:val="1"/>
          <w:bCs w:val="1"/>
          <w:color w:val="0071CE"/>
        </w:rPr>
        <w:t>Table of Contents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b w:val="1"/>
                <w:bCs w:val="1"/>
                <w:color w:val="0000FF"/>
                <w:w w:val="99"/>
              </w:rPr>
              <w:t>General Information Concerning Solicitation and Voting</w:t>
            </w:r>
          </w:p>
        </w:tc>
        <w:tc>
          <w:tcPr>
            <w:tcW w:w="5720" w:type="dxa"/>
            <w:vAlign w:val="bottom"/>
            <w:gridSpan w:val="7"/>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0" w:type="dxa"/>
            <w:vAlign w:val="bottom"/>
            <w:gridSpan w:val="38"/>
          </w:tcPr>
          <w:p>
            <w:pPr>
              <w:spacing w:after="0"/>
              <w:rPr>
                <w:sz w:val="20"/>
                <w:szCs w:val="20"/>
                <w:color w:val="auto"/>
              </w:rPr>
            </w:pPr>
            <w:r>
              <w:rPr>
                <w:rFonts w:ascii="Arial" w:cs="Arial" w:eastAsia="Arial" w:hAnsi="Arial"/>
                <w:sz w:val="16"/>
                <w:szCs w:val="16"/>
                <w:b w:val="1"/>
                <w:bCs w:val="1"/>
                <w:color w:val="0000FF"/>
              </w:rPr>
              <w:t>Record Date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Revocability of Proxies</w:t>
            </w:r>
          </w:p>
        </w:tc>
        <w:tc>
          <w:tcPr>
            <w:tcW w:w="8600" w:type="dxa"/>
            <w:vAlign w:val="bottom"/>
            <w:gridSpan w:val="29"/>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Voting and Solicitation</w:t>
            </w:r>
          </w:p>
        </w:tc>
        <w:tc>
          <w:tcPr>
            <w:tcW w:w="8640" w:type="dxa"/>
            <w:vAlign w:val="bottom"/>
            <w:gridSpan w:val="31"/>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b w:val="1"/>
                <w:bCs w:val="1"/>
                <w:color w:val="0000FF"/>
              </w:rPr>
              <w:t>Quorum; Abstentions; Broker Non-Votes</w:t>
            </w:r>
          </w:p>
        </w:tc>
        <w:tc>
          <w:tcPr>
            <w:tcW w:w="7240" w:type="dxa"/>
            <w:vAlign w:val="bottom"/>
            <w:gridSpan w:val="17"/>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0" w:type="dxa"/>
            <w:vAlign w:val="bottom"/>
            <w:gridSpan w:val="38"/>
          </w:tcPr>
          <w:p>
            <w:pPr>
              <w:spacing w:after="0"/>
              <w:rPr>
                <w:sz w:val="20"/>
                <w:szCs w:val="20"/>
                <w:color w:val="auto"/>
              </w:rPr>
            </w:pPr>
            <w:r>
              <w:rPr>
                <w:rFonts w:ascii="Arial" w:cs="Arial" w:eastAsia="Arial" w:hAnsi="Arial"/>
                <w:sz w:val="16"/>
                <w:szCs w:val="16"/>
                <w:b w:val="1"/>
                <w:bCs w:val="1"/>
                <w:color w:val="0000FF"/>
              </w:rPr>
              <w:t>Deadline for Receipt of Stockholder Proposals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b w:val="1"/>
                <w:bCs w:val="1"/>
                <w:color w:val="0000FF"/>
                <w:w w:val="99"/>
              </w:rPr>
              <w:t>Proposal One — Election of Directors</w:t>
            </w:r>
          </w:p>
        </w:tc>
        <w:tc>
          <w:tcPr>
            <w:tcW w:w="726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b w:val="1"/>
                <w:bCs w:val="1"/>
                <w:color w:val="0000FF"/>
              </w:rPr>
              <w:t>Board Composition and Nominating Process</w:t>
            </w:r>
          </w:p>
        </w:tc>
        <w:tc>
          <w:tcPr>
            <w:tcW w:w="6940" w:type="dxa"/>
            <w:vAlign w:val="bottom"/>
            <w:gridSpan w:val="12"/>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10</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0" w:type="dxa"/>
            <w:vAlign w:val="bottom"/>
            <w:gridSpan w:val="38"/>
          </w:tcPr>
          <w:p>
            <w:pPr>
              <w:spacing w:after="0"/>
              <w:rPr>
                <w:sz w:val="20"/>
                <w:szCs w:val="20"/>
                <w:color w:val="auto"/>
              </w:rPr>
            </w:pPr>
            <w:r>
              <w:rPr>
                <w:rFonts w:ascii="Arial" w:cs="Arial" w:eastAsia="Arial" w:hAnsi="Arial"/>
                <w:sz w:val="16"/>
                <w:szCs w:val="16"/>
                <w:b w:val="1"/>
                <w:bCs w:val="1"/>
                <w:color w:val="0000FF"/>
              </w:rPr>
              <w:t>Corporate Governance, Environmental and Social Commitment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60" w:type="dxa"/>
            <w:vAlign w:val="bottom"/>
            <w:tcBorders>
              <w:top w:val="single" w:sz="8" w:color="0000FF"/>
            </w:tcBorders>
            <w:gridSpan w:val="32"/>
          </w:tcPr>
          <w:p>
            <w:pPr>
              <w:spacing w:after="0"/>
              <w:rPr>
                <w:sz w:val="20"/>
                <w:szCs w:val="20"/>
                <w:color w:val="auto"/>
              </w:rPr>
            </w:pPr>
            <w:r>
              <w:rPr>
                <w:rFonts w:ascii="Arial" w:cs="Arial" w:eastAsia="Arial" w:hAnsi="Arial"/>
                <w:sz w:val="16"/>
                <w:szCs w:val="16"/>
                <w:b w:val="1"/>
                <w:bCs w:val="1"/>
                <w:color w:val="0000FF"/>
              </w:rPr>
              <w:t>Stockholder Communications with Directors</w:t>
            </w:r>
          </w:p>
        </w:tc>
        <w:tc>
          <w:tcPr>
            <w:tcW w:w="5540" w:type="dxa"/>
            <w:vAlign w:val="bottom"/>
            <w:gridSpan w:val="6"/>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top w:val="single" w:sz="8" w:color="0000FF"/>
            </w:tcBorders>
            <w:gridSpan w:val="25"/>
          </w:tcPr>
          <w:p>
            <w:pPr>
              <w:spacing w:after="0"/>
              <w:rPr>
                <w:sz w:val="20"/>
                <w:szCs w:val="20"/>
                <w:color w:val="auto"/>
              </w:rPr>
            </w:pPr>
            <w:r>
              <w:rPr>
                <w:rFonts w:ascii="Arial" w:cs="Arial" w:eastAsia="Arial" w:hAnsi="Arial"/>
                <w:sz w:val="16"/>
                <w:szCs w:val="16"/>
                <w:b w:val="1"/>
                <w:bCs w:val="1"/>
                <w:color w:val="0000FF"/>
              </w:rPr>
              <w:t>Board Meetings and Committees</w:t>
            </w:r>
          </w:p>
        </w:tc>
        <w:tc>
          <w:tcPr>
            <w:tcW w:w="6980" w:type="dxa"/>
            <w:vAlign w:val="bottom"/>
            <w:gridSpan w:val="13"/>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w w:val="99"/>
              </w:rPr>
              <w:t>Director Compensation</w:t>
            </w:r>
          </w:p>
        </w:tc>
        <w:tc>
          <w:tcPr>
            <w:tcW w:w="8480" w:type="dxa"/>
            <w:vAlign w:val="bottom"/>
            <w:gridSpan w:val="2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15</w:t>
            </w:r>
          </w:p>
        </w:tc>
      </w:tr>
      <w:tr>
        <w:trPr>
          <w:trHeight w:val="358"/>
        </w:trPr>
        <w:tc>
          <w:tcPr>
            <w:tcW w:w="20" w:type="dxa"/>
            <w:vAlign w:val="bottom"/>
          </w:tcPr>
          <w:p>
            <w:pPr>
              <w:spacing w:after="0"/>
              <w:rPr>
                <w:sz w:val="24"/>
                <w:szCs w:val="24"/>
                <w:color w:val="auto"/>
              </w:rPr>
            </w:pPr>
          </w:p>
        </w:tc>
        <w:tc>
          <w:tcPr>
            <w:tcW w:w="10480" w:type="dxa"/>
            <w:vAlign w:val="bottom"/>
            <w:gridSpan w:val="39"/>
          </w:tcPr>
          <w:p>
            <w:pPr>
              <w:spacing w:after="0"/>
              <w:rPr>
                <w:sz w:val="20"/>
                <w:szCs w:val="20"/>
                <w:color w:val="auto"/>
              </w:rPr>
            </w:pPr>
            <w:r>
              <w:rPr>
                <w:rFonts w:ascii="Arial" w:cs="Arial" w:eastAsia="Arial" w:hAnsi="Arial"/>
                <w:sz w:val="18"/>
                <w:szCs w:val="18"/>
                <w:b w:val="1"/>
                <w:bCs w:val="1"/>
                <w:color w:val="0000FF"/>
              </w:rPr>
              <w:t>Proposal Two — Advisory Vote to Approve Executive Compensation</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17</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940" w:type="dxa"/>
            <w:vAlign w:val="bottom"/>
            <w:tcBorders>
              <w:bottom w:val="single" w:sz="8" w:color="0000FF"/>
            </w:tcBorders>
            <w:gridSpan w:val="38"/>
          </w:tcPr>
          <w:p>
            <w:pPr>
              <w:spacing w:after="0"/>
              <w:rPr>
                <w:sz w:val="20"/>
                <w:szCs w:val="20"/>
                <w:color w:val="auto"/>
              </w:rPr>
            </w:pPr>
            <w:r>
              <w:rPr>
                <w:rFonts w:ascii="Arial" w:cs="Arial" w:eastAsia="Arial" w:hAnsi="Arial"/>
                <w:sz w:val="18"/>
                <w:szCs w:val="18"/>
                <w:b w:val="1"/>
                <w:bCs w:val="1"/>
                <w:color w:val="0000FF"/>
                <w:w w:val="99"/>
              </w:rPr>
              <w:t>Proposal Three — Vote to Approve the Arrowhead Pharmaceuticals, Inc. Amended and Restated 2021 Incentive Plan</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18</w:t>
            </w:r>
          </w:p>
        </w:tc>
      </w:tr>
      <w:tr>
        <w:trPr>
          <w:trHeight w:val="358"/>
        </w:trPr>
        <w:tc>
          <w:tcPr>
            <w:tcW w:w="20" w:type="dxa"/>
            <w:vAlign w:val="bottom"/>
          </w:tcPr>
          <w:p>
            <w:pPr>
              <w:spacing w:after="0"/>
              <w:rPr>
                <w:sz w:val="24"/>
                <w:szCs w:val="24"/>
                <w:color w:val="auto"/>
              </w:rPr>
            </w:pPr>
          </w:p>
        </w:tc>
        <w:tc>
          <w:tcPr>
            <w:tcW w:w="10480" w:type="dxa"/>
            <w:vAlign w:val="bottom"/>
            <w:gridSpan w:val="39"/>
          </w:tcPr>
          <w:p>
            <w:pPr>
              <w:spacing w:after="0"/>
              <w:rPr>
                <w:sz w:val="20"/>
                <w:szCs w:val="20"/>
                <w:color w:val="auto"/>
              </w:rPr>
            </w:pPr>
            <w:r>
              <w:rPr>
                <w:rFonts w:ascii="Arial" w:cs="Arial" w:eastAsia="Arial" w:hAnsi="Arial"/>
                <w:sz w:val="18"/>
                <w:szCs w:val="18"/>
                <w:b w:val="1"/>
                <w:bCs w:val="1"/>
                <w:color w:val="0000FF"/>
              </w:rPr>
              <w:t>Executive Compensation</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24</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0" w:type="dxa"/>
            <w:vAlign w:val="bottom"/>
            <w:gridSpan w:val="38"/>
          </w:tcPr>
          <w:p>
            <w:pPr>
              <w:spacing w:after="0"/>
              <w:rPr>
                <w:sz w:val="20"/>
                <w:szCs w:val="20"/>
                <w:color w:val="auto"/>
              </w:rPr>
            </w:pPr>
            <w:r>
              <w:rPr>
                <w:rFonts w:ascii="Arial" w:cs="Arial" w:eastAsia="Arial" w:hAnsi="Arial"/>
                <w:sz w:val="16"/>
                <w:szCs w:val="16"/>
                <w:b w:val="1"/>
                <w:bCs w:val="1"/>
                <w:color w:val="0000FF"/>
              </w:rPr>
              <w:t>Compensation Discussion and Analysis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8"/>
              </w:rPr>
              <w:t>Our Company</w:t>
            </w:r>
          </w:p>
        </w:tc>
        <w:tc>
          <w:tcPr>
            <w:tcW w:w="1900" w:type="dxa"/>
            <w:vAlign w:val="bottom"/>
            <w:tcBorders>
              <w:top w:val="single" w:sz="8" w:color="0000FF"/>
            </w:tcBorders>
            <w:gridSpan w:val="13"/>
          </w:tcPr>
          <w:p>
            <w:pPr>
              <w:spacing w:after="0"/>
              <w:rPr>
                <w:sz w:val="17"/>
                <w:szCs w:val="17"/>
                <w:color w:val="auto"/>
              </w:rPr>
            </w:pPr>
          </w:p>
        </w:tc>
        <w:tc>
          <w:tcPr>
            <w:tcW w:w="7320" w:type="dxa"/>
            <w:vAlign w:val="bottom"/>
            <w:gridSpan w:val="19"/>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20" w:type="dxa"/>
            <w:vAlign w:val="bottom"/>
            <w:gridSpan w:val="37"/>
          </w:tcPr>
          <w:p>
            <w:pPr>
              <w:spacing w:after="0"/>
              <w:rPr>
                <w:sz w:val="20"/>
                <w:szCs w:val="20"/>
                <w:color w:val="auto"/>
              </w:rPr>
            </w:pPr>
            <w:r>
              <w:rPr>
                <w:rFonts w:ascii="Arial" w:cs="Arial" w:eastAsia="Arial" w:hAnsi="Arial"/>
                <w:sz w:val="16"/>
                <w:szCs w:val="16"/>
                <w:color w:val="0000FF"/>
              </w:rPr>
              <w:t>Business Development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7"/>
              </w:rPr>
              <w:t>Platform</w:t>
            </w:r>
          </w:p>
        </w:tc>
        <w:tc>
          <w:tcPr>
            <w:tcW w:w="1040" w:type="dxa"/>
            <w:vAlign w:val="bottom"/>
            <w:tcBorders>
              <w:top w:val="single" w:sz="8" w:color="0000FF"/>
            </w:tcBorders>
            <w:gridSpan w:val="7"/>
          </w:tcPr>
          <w:p>
            <w:pPr>
              <w:spacing w:after="0"/>
              <w:rPr>
                <w:sz w:val="17"/>
                <w:szCs w:val="17"/>
                <w:color w:val="auto"/>
              </w:rPr>
            </w:pPr>
          </w:p>
        </w:tc>
        <w:tc>
          <w:tcPr>
            <w:tcW w:w="8580" w:type="dxa"/>
            <w:vAlign w:val="bottom"/>
            <w:gridSpan w:val="28"/>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27</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20" w:type="dxa"/>
            <w:vAlign w:val="bottom"/>
            <w:gridSpan w:val="37"/>
          </w:tcPr>
          <w:p>
            <w:pPr>
              <w:spacing w:after="0"/>
              <w:rPr>
                <w:sz w:val="20"/>
                <w:szCs w:val="20"/>
                <w:color w:val="auto"/>
              </w:rPr>
            </w:pPr>
            <w:r>
              <w:rPr>
                <w:rFonts w:ascii="Arial" w:cs="Arial" w:eastAsia="Arial" w:hAnsi="Arial"/>
                <w:sz w:val="16"/>
                <w:szCs w:val="16"/>
                <w:color w:val="0000FF"/>
              </w:rPr>
              <w:t>Pipeline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28</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20" w:type="dxa"/>
            <w:vAlign w:val="bottom"/>
            <w:gridSpan w:val="37"/>
          </w:tcPr>
          <w:p>
            <w:pPr>
              <w:spacing w:after="0"/>
              <w:rPr>
                <w:sz w:val="20"/>
                <w:szCs w:val="20"/>
                <w:color w:val="auto"/>
              </w:rPr>
            </w:pPr>
            <w:r>
              <w:rPr>
                <w:rFonts w:ascii="Arial" w:cs="Arial" w:eastAsia="Arial" w:hAnsi="Arial"/>
                <w:sz w:val="16"/>
                <w:szCs w:val="16"/>
                <w:color w:val="0000FF"/>
              </w:rPr>
              <w:t>Executive Compensation Philosophy</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34</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Executive Compensation Program Design</w:t>
            </w:r>
          </w:p>
        </w:tc>
        <w:tc>
          <w:tcPr>
            <w:tcW w:w="7220" w:type="dxa"/>
            <w:vAlign w:val="bottom"/>
            <w:gridSpan w:val="16"/>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35</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Governance of Executive Compensation Program</w:t>
            </w:r>
          </w:p>
        </w:tc>
        <w:tc>
          <w:tcPr>
            <w:tcW w:w="6660" w:type="dxa"/>
            <w:vAlign w:val="bottom"/>
            <w:gridSpan w:val="9"/>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35</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20" w:type="dxa"/>
            <w:vAlign w:val="bottom"/>
            <w:gridSpan w:val="37"/>
          </w:tcPr>
          <w:p>
            <w:pPr>
              <w:spacing w:after="0"/>
              <w:rPr>
                <w:sz w:val="20"/>
                <w:szCs w:val="20"/>
                <w:color w:val="auto"/>
              </w:rPr>
            </w:pPr>
            <w:r>
              <w:rPr>
                <w:rFonts w:ascii="Arial" w:cs="Arial" w:eastAsia="Arial" w:hAnsi="Arial"/>
                <w:sz w:val="16"/>
                <w:szCs w:val="16"/>
                <w:color w:val="0000FF"/>
              </w:rPr>
              <w:t>Individual Compensation Elements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38</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rPr>
              <w:t>Employment Arrangements</w:t>
            </w:r>
          </w:p>
        </w:tc>
        <w:tc>
          <w:tcPr>
            <w:tcW w:w="520" w:type="dxa"/>
            <w:vAlign w:val="bottom"/>
            <w:tcBorders>
              <w:top w:val="single" w:sz="8" w:color="0000FF"/>
            </w:tcBorders>
            <w:gridSpan w:val="3"/>
          </w:tcPr>
          <w:p>
            <w:pPr>
              <w:spacing w:after="0"/>
              <w:rPr>
                <w:sz w:val="17"/>
                <w:szCs w:val="17"/>
                <w:color w:val="auto"/>
              </w:rPr>
            </w:pPr>
          </w:p>
        </w:tc>
        <w:tc>
          <w:tcPr>
            <w:tcW w:w="7740" w:type="dxa"/>
            <w:vAlign w:val="bottom"/>
            <w:gridSpan w:val="22"/>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43</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20" w:type="dxa"/>
            <w:vAlign w:val="bottom"/>
            <w:gridSpan w:val="37"/>
          </w:tcPr>
          <w:p>
            <w:pPr>
              <w:spacing w:after="0"/>
              <w:rPr>
                <w:sz w:val="20"/>
                <w:szCs w:val="20"/>
                <w:color w:val="auto"/>
              </w:rPr>
            </w:pPr>
            <w:r>
              <w:rPr>
                <w:rFonts w:ascii="Arial" w:cs="Arial" w:eastAsia="Arial" w:hAnsi="Arial"/>
                <w:sz w:val="16"/>
                <w:szCs w:val="16"/>
                <w:color w:val="0000FF"/>
              </w:rPr>
              <w:t>Post-Employment Compensation Arrangements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43</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6"/>
                <w:szCs w:val="16"/>
                <w:color w:val="0000FF"/>
              </w:rPr>
              <w:t>Other Compensation Policies and Practices</w:t>
            </w:r>
          </w:p>
        </w:tc>
        <w:tc>
          <w:tcPr>
            <w:tcW w:w="300" w:type="dxa"/>
            <w:vAlign w:val="bottom"/>
            <w:tcBorders>
              <w:top w:val="single" w:sz="8" w:color="0000FF"/>
            </w:tcBorders>
            <w:gridSpan w:val="4"/>
          </w:tcPr>
          <w:p>
            <w:pPr>
              <w:spacing w:after="0"/>
              <w:rPr>
                <w:sz w:val="17"/>
                <w:szCs w:val="17"/>
                <w:color w:val="auto"/>
              </w:rPr>
            </w:pPr>
          </w:p>
        </w:tc>
        <w:tc>
          <w:tcPr>
            <w:tcW w:w="6800" w:type="dxa"/>
            <w:vAlign w:val="bottom"/>
            <w:gridSpan w:val="10"/>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43</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9"/>
              </w:rPr>
              <w:t>Tax and Accounting Considerations</w:t>
            </w:r>
          </w:p>
        </w:tc>
        <w:tc>
          <w:tcPr>
            <w:tcW w:w="7680" w:type="dxa"/>
            <w:vAlign w:val="bottom"/>
            <w:gridSpan w:val="21"/>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44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20" w:type="dxa"/>
            <w:vAlign w:val="bottom"/>
            <w:gridSpan w:val="37"/>
          </w:tcPr>
          <w:p>
            <w:pPr>
              <w:spacing w:after="0"/>
              <w:rPr>
                <w:sz w:val="20"/>
                <w:szCs w:val="20"/>
                <w:color w:val="auto"/>
              </w:rPr>
            </w:pPr>
            <w:r>
              <w:rPr>
                <w:rFonts w:ascii="Arial" w:cs="Arial" w:eastAsia="Arial" w:hAnsi="Arial"/>
                <w:sz w:val="16"/>
                <w:szCs w:val="16"/>
                <w:color w:val="0000FF"/>
              </w:rPr>
              <w:t>Compensation Risk Assessment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46</w:t>
            </w: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80" w:type="dxa"/>
            <w:vAlign w:val="bottom"/>
            <w:gridSpan w:val="39"/>
          </w:tcPr>
          <w:p>
            <w:pPr>
              <w:spacing w:after="0"/>
              <w:rPr>
                <w:sz w:val="20"/>
                <w:szCs w:val="20"/>
                <w:color w:val="auto"/>
              </w:rPr>
            </w:pPr>
            <w:r>
              <w:rPr>
                <w:rFonts w:ascii="Arial" w:cs="Arial" w:eastAsia="Arial" w:hAnsi="Arial"/>
                <w:sz w:val="18"/>
                <w:szCs w:val="18"/>
                <w:b w:val="1"/>
                <w:bCs w:val="1"/>
                <w:color w:val="0000FF"/>
              </w:rPr>
              <w:t>Compensation Tables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47</w:t>
            </w:r>
          </w:p>
        </w:tc>
      </w:tr>
      <w:tr>
        <w:trPr>
          <w:trHeight w:val="20"/>
        </w:trPr>
        <w:tc>
          <w:tcPr>
            <w:tcW w:w="20" w:type="dxa"/>
            <w:vAlign w:val="bottom"/>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00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b w:val="1"/>
                <w:bCs w:val="1"/>
                <w:color w:val="0000FF"/>
                <w:w w:val="99"/>
              </w:rPr>
              <w:t>Proposal Four — Ratification of Appointment of Independent Auditors</w:t>
            </w:r>
          </w:p>
        </w:tc>
        <w:tc>
          <w:tcPr>
            <w:tcW w:w="448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61</w:t>
            </w:r>
          </w:p>
        </w:tc>
      </w:tr>
      <w:tr>
        <w:trPr>
          <w:trHeight w:val="358"/>
        </w:trPr>
        <w:tc>
          <w:tcPr>
            <w:tcW w:w="20" w:type="dxa"/>
            <w:vAlign w:val="bottom"/>
          </w:tcPr>
          <w:p>
            <w:pPr>
              <w:spacing w:after="0"/>
              <w:rPr>
                <w:sz w:val="24"/>
                <w:szCs w:val="24"/>
                <w:color w:val="auto"/>
              </w:rPr>
            </w:pPr>
          </w:p>
        </w:tc>
        <w:tc>
          <w:tcPr>
            <w:tcW w:w="10480" w:type="dxa"/>
            <w:vAlign w:val="bottom"/>
            <w:gridSpan w:val="39"/>
          </w:tcPr>
          <w:p>
            <w:pPr>
              <w:spacing w:after="0"/>
              <w:rPr>
                <w:sz w:val="20"/>
                <w:szCs w:val="20"/>
                <w:color w:val="auto"/>
              </w:rPr>
            </w:pPr>
            <w:r>
              <w:rPr>
                <w:rFonts w:ascii="Arial" w:cs="Arial" w:eastAsia="Arial" w:hAnsi="Arial"/>
                <w:sz w:val="18"/>
                <w:szCs w:val="18"/>
                <w:b w:val="1"/>
                <w:bCs w:val="1"/>
                <w:color w:val="0000FF"/>
              </w:rPr>
              <w:t>Audit Fees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62</w:t>
            </w:r>
          </w:p>
        </w:tc>
      </w:tr>
      <w:tr>
        <w:trPr>
          <w:trHeight w:val="20"/>
        </w:trPr>
        <w:tc>
          <w:tcPr>
            <w:tcW w:w="20" w:type="dxa"/>
            <w:vAlign w:val="bottom"/>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6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w w:val="99"/>
              </w:rPr>
              <w:t>Report of the Audit Committee</w:t>
            </w:r>
          </w:p>
        </w:tc>
        <w:tc>
          <w:tcPr>
            <w:tcW w:w="7860" w:type="dxa"/>
            <w:vAlign w:val="bottom"/>
            <w:gridSpan w:val="2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63</w:t>
            </w:r>
          </w:p>
        </w:tc>
      </w:tr>
      <w:tr>
        <w:trPr>
          <w:trHeight w:val="358"/>
        </w:trPr>
        <w:tc>
          <w:tcPr>
            <w:tcW w:w="20" w:type="dxa"/>
            <w:vAlign w:val="bottom"/>
          </w:tcPr>
          <w:p>
            <w:pPr>
              <w:spacing w:after="0"/>
              <w:rPr>
                <w:sz w:val="24"/>
                <w:szCs w:val="24"/>
                <w:color w:val="auto"/>
              </w:rPr>
            </w:pPr>
          </w:p>
        </w:tc>
        <w:tc>
          <w:tcPr>
            <w:tcW w:w="572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b w:val="1"/>
                <w:bCs w:val="1"/>
                <w:color w:val="0000FF"/>
                <w:w w:val="99"/>
              </w:rPr>
              <w:t>Security Ownership of Certain Beneficial Owners and Management</w:t>
            </w:r>
          </w:p>
        </w:tc>
        <w:tc>
          <w:tcPr>
            <w:tcW w:w="476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64</w:t>
            </w:r>
          </w:p>
        </w:tc>
      </w:tr>
      <w:tr>
        <w:trPr>
          <w:trHeight w:val="358"/>
        </w:trPr>
        <w:tc>
          <w:tcPr>
            <w:tcW w:w="20" w:type="dxa"/>
            <w:vAlign w:val="bottom"/>
          </w:tcPr>
          <w:p>
            <w:pPr>
              <w:spacing w:after="0"/>
              <w:rPr>
                <w:sz w:val="24"/>
                <w:szCs w:val="24"/>
                <w:color w:val="auto"/>
              </w:rPr>
            </w:pPr>
          </w:p>
        </w:tc>
        <w:tc>
          <w:tcPr>
            <w:tcW w:w="10480" w:type="dxa"/>
            <w:vAlign w:val="bottom"/>
            <w:gridSpan w:val="39"/>
          </w:tcPr>
          <w:p>
            <w:pPr>
              <w:spacing w:after="0"/>
              <w:rPr>
                <w:sz w:val="20"/>
                <w:szCs w:val="20"/>
                <w:color w:val="auto"/>
              </w:rPr>
            </w:pPr>
            <w:r>
              <w:rPr>
                <w:rFonts w:ascii="Arial" w:cs="Arial" w:eastAsia="Arial" w:hAnsi="Arial"/>
                <w:sz w:val="18"/>
                <w:szCs w:val="18"/>
                <w:b w:val="1"/>
                <w:bCs w:val="1"/>
                <w:color w:val="0000FF"/>
              </w:rPr>
              <w:t>Equity Compensation Plan Information</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66</w:t>
            </w:r>
          </w:p>
        </w:tc>
      </w:tr>
      <w:tr>
        <w:trPr>
          <w:trHeight w:val="20"/>
        </w:trPr>
        <w:tc>
          <w:tcPr>
            <w:tcW w:w="20" w:type="dxa"/>
            <w:vAlign w:val="bottom"/>
          </w:tcPr>
          <w:p>
            <w:pPr>
              <w:spacing w:after="0" w:line="20" w:lineRule="exact"/>
              <w:rPr>
                <w:sz w:val="1"/>
                <w:szCs w:val="1"/>
                <w:color w:val="auto"/>
              </w:rPr>
            </w:pPr>
          </w:p>
        </w:tc>
        <w:tc>
          <w:tcPr>
            <w:tcW w:w="3320" w:type="dxa"/>
            <w:vAlign w:val="bottom"/>
            <w:gridSpan w:val="24"/>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2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b w:val="1"/>
                <w:bCs w:val="1"/>
                <w:color w:val="0000FF"/>
                <w:w w:val="99"/>
              </w:rPr>
              <w:t>Review and Approval of Related-Party Transactions</w:t>
            </w:r>
          </w:p>
        </w:tc>
        <w:tc>
          <w:tcPr>
            <w:tcW w:w="60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68</w:t>
            </w:r>
          </w:p>
        </w:tc>
      </w:tr>
      <w:tr>
        <w:trPr>
          <w:trHeight w:val="358"/>
        </w:trPr>
        <w:tc>
          <w:tcPr>
            <w:tcW w:w="20" w:type="dxa"/>
            <w:vAlign w:val="bottom"/>
          </w:tcPr>
          <w:p>
            <w:pPr>
              <w:spacing w:after="0"/>
              <w:rPr>
                <w:sz w:val="24"/>
                <w:szCs w:val="24"/>
                <w:color w:val="auto"/>
              </w:rPr>
            </w:pPr>
          </w:p>
        </w:tc>
        <w:tc>
          <w:tcPr>
            <w:tcW w:w="10480" w:type="dxa"/>
            <w:vAlign w:val="bottom"/>
            <w:gridSpan w:val="39"/>
          </w:tcPr>
          <w:p>
            <w:pPr>
              <w:spacing w:after="0"/>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26DCE"/>
              </w:rPr>
              <w:t>69</w:t>
            </w:r>
          </w:p>
        </w:tc>
      </w:tr>
      <w:tr>
        <w:trPr>
          <w:trHeight w:val="1526"/>
        </w:trPr>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-427990</wp:posOffset>
            </wp:positionV>
            <wp:extent cx="9861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ectPr>
          <w:pgSz w:w="11900" w:h="16838" w:orient="portrait"/>
          <w:cols w:equalWidth="0" w:num="1">
            <w:col w:w="11240"/>
          </w:cols>
          <w:pgMar w:left="320" w:top="194" w:right="339" w:bottom="1440" w:gutter="0" w:footer="0" w:header="0"/>
        </w:sectPr>
      </w:pPr>
    </w:p>
    <w:bookmarkStart w:id="4" w:name="page5"/>
    <w:bookmarkEnd w:id="4"/>
    <w:p>
      <w:pPr>
        <w:ind w:left="95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177 E. Colorado Blvd.,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134620</wp:posOffset>
            </wp:positionV>
            <wp:extent cx="1962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PROXY STATEMENT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FOR ANNUAL MEETING OF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C4C"/>
        </w:rPr>
        <w:t>To be held on Thursday, 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226060</wp:posOffset>
            </wp:positionV>
            <wp:extent cx="1962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4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enclosed Proxy is solicited on behalf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2026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Thursday, March 19, 2026 at 10:00 a.m., Pacific Time, and at any adjournment(s) or postponement(s)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The Company anticipates that the Notice Regarding the Availability of Proxy Materials (the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in connection with these proxy solicitation materials will first be made available on or about January 26, 2026 to all stockholders entitled to vote at the Annual Meeting and we will post our proxy materials on the website referenced in the Notice of Internet Availability. As more fully described in the Notice of Internet Availability, stockholders may choose to access our proxy materials on the website referred to in the Notice of Internet Availability or may request to receive a printed set of our proxy materials. You will not receive a printed copy of the proxy materials unless you request one.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year’s meeting will be a completely “virtual” meeting of stockholders. If you were a stockholder as of the close of business on the Record Date (as defined below), you can attend the Annual Meeting online, vote your shares electronically, and submit your questions during the Annual Meeting, by visiting www.virtualshareholdermeeting.com/ARWR2026. You will need to have your 16-digit Control Number included on your Notice of Internet Availability or your proxy card (if you received a printed copy of the proxy materials) to join the Annual Meeting. If your shares are held in street name and your voting instruction form or Notice of Internet Availability indicates that you may vote those shares through www.proxyvote.com, then you may access, participate in, and vote at the Annual Meeting with the 16-digit access code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meeting webcast will begin promptly at 10:00 a.m. Pacific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will endeavor to answer as many stockholder-submitted questions as time permits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Additional information regarding the rules and procedures for participating in the Annual Meeting will be set forth in our meeting rules of conduct, which stockholders can view during the meeting at the meeting website.</w:t>
      </w:r>
    </w:p>
    <w:p>
      <w:pPr>
        <w:spacing w:after="0" w:line="17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By hosting the Annual Meeting virtually, we believe we can expand access, improve communication and lower costs, while reducing the environmental impact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467360</wp:posOffset>
            </wp:positionV>
            <wp:extent cx="9861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37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Only holders of record of our common stock at the close of business on January 22, 2026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140,010,690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electronically. Stockholders may also revoke their proxy by entering a new vote over the Internet or by telephone. Stockholders who hold their shares in street name should contact their bank, broker or other nominee for instructions on how to change their vote.</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each of the nominees in Proposal 1 and FOR Proposals 2, 3, and 4 at the Annual Meeting. No business other than that set forth in the accompanying Notice of Annual Meeting of Stockholders is expected to come before the Annual Meeting. Should any other matter requiring a vote of stockholders properly arise, the persons named in the enclosed form of proxy will vote in accordance with their best judgment.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 cannot attend the Annual Meeting to vote, you may vote your shares prior to the meeting via the Internet, or if you requested printed copies of the proxy materials, by telephone or by mail.</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engaged a proxy solicitor, Okapi Partners, LLC, to encourage voting by our stockholders. The total cost for the solicitation campaign is estimated at about $15,000, plus campaign services expenses.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your shares are held in a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your broker, bank or other nominee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addressed, postage-paid envelope provided by your broker. Stockholders who vote by proxy over the Internet or by telephone need not return a proxy card or voting instruction form by mail.</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required quorum for the transaction of business at the Annual Meeting is the presence, either virtually or represented by proxy, of the holders of shares</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representing a majority of the votes entitled to be cast by holders of shares of Common Stock issued and outstanding on the Record Date and entitled to vote at the Annual Meeting. If there is no quorum, the holders of a majority of shares of common stock virtually present at the Annual Meeting, either personally or by proxy, may adjourn the Annual Meeting to another time or date. Shares that are voted “FOR,” “AGAINST” or “ABSTAIN” on any proposal are treated as being present at the meeting for purposes of establishing a quorum for the conduct of business at the meeting. 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(resulting in “</w:t>
      </w:r>
      <w:r>
        <w:rPr>
          <w:rFonts w:ascii="Arial" w:cs="Arial" w:eastAsia="Arial" w:hAnsi="Arial"/>
          <w:sz w:val="16"/>
          <w:szCs w:val="16"/>
          <w:b w:val="1"/>
          <w:bCs w:val="1"/>
          <w:color w:val="auto"/>
        </w:rPr>
        <w:t>broker non-votes</w:t>
      </w:r>
      <w:r>
        <w:rPr>
          <w:rFonts w:ascii="Arial" w:cs="Arial" w:eastAsia="Arial" w:hAnsi="Arial"/>
          <w:sz w:val="16"/>
          <w:szCs w:val="16"/>
          <w:color w:val="auto"/>
        </w:rPr>
        <w:t>” for the matters on which the broker, fiduciary, or custodian does not vote). Whether a proposal is considered routine or non-routine is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608965</wp:posOffset>
            </wp:positionV>
            <wp:extent cx="9861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 w:name="page7"/>
    <w:bookmarkEnd w:id="6"/>
    <w:p>
      <w:pPr>
        <w:ind w:left="95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stock exchange rules. Even with respect to routine matters, some brokers are choosing not to exercise discretionary voting authority. As a result, we urge you to direct your broker, fiduciary, or custodian how to vote your shares on all proposals to ensure that your vote is counted.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212"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With regard to the election of directors, votes may be cast “FOR,” “AGAINST” or “ABSTAIN” for each director nominee. Because directors are elected by a majority of votes cast in an uncontested election, abstentions and broker non-votes, if any, will have no effect on the outcome of the election of directors. If a quorum is present at the meeting, the nominees receiving more “FOR” votes than “AGAINST” votes will be elected. Because Proposal Nos. 2, 3 and 4 must be approved by the affirmative vote of a majority of the shares of Common Stock entitled to vote thereon and present in person or by proxy at the Annual Meeting (the “</w:t>
      </w:r>
      <w:r>
        <w:rPr>
          <w:rFonts w:ascii="Arial" w:cs="Arial" w:eastAsia="Arial" w:hAnsi="Arial"/>
          <w:sz w:val="16"/>
          <w:szCs w:val="16"/>
          <w:b w:val="1"/>
          <w:bCs w:val="1"/>
          <w:color w:val="auto"/>
        </w:rPr>
        <w:t>Required Vote</w:t>
      </w:r>
      <w:r>
        <w:rPr>
          <w:rFonts w:ascii="Arial" w:cs="Arial" w:eastAsia="Arial" w:hAnsi="Arial"/>
          <w:sz w:val="16"/>
          <w:szCs w:val="16"/>
          <w:color w:val="auto"/>
        </w:rPr>
        <w:t>”), abstentions will have the same effect as a vote “AGAINST” the proposal, whereas broker non-votes, if any, will have no effect on its outcome.</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Deadline for Receipt of Stockholder Proposals and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be considered for inclusion in the Proxy Statement and proxy card for the Company’s 2027 Annual Meeting of Stockholders, proposals submitted by stockholders pursuant to Rule 14a-8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stockholders' director nominations pursuant to the proxy access provisions of the Company’s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must be submitted in writing to our Corporate Secretary at the address set forth on the first page of this Proxy Statement. Such proposals and nominations must be received by us not later than our close of business (6:00 p.m. Pacific Time) on September 28, 2026, and, in the case of a proxy access nomination, no earlier than August 29, 2026, and must satisfy the requirements of Rule 14a-8 and our Bylaws, as applicable. The submission of a stockholder proposal or proxy access nomination does not guarantee that it will be included in our proxy materials.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Additionally, our Bylaws provide for advance notice procedures to nominate a person for director (other than pursuant to our Bylaws’ proxy access provisions) or to propose business to be considered by stockholders at a meeting (other than pursuant to Rule 14a-8). To be considered timely under these provisions, the stockholder’s notice must provide the information set forth in the Bylaws (which includes information required under Rule 14a-19 of the Exchange Act) and be received by the Corporate Secretary at our principal executive offices at the address set forth on the first page of this Proxy Statement between November 19, 2026 and our close of business (6:00 p.m. Pacific Time) on December 19, 2026;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2027 Annual Meeting date is advanced by more than 30 days before or delayed by more than 60 days after the anniversary date of the 2026 Annual Meeting, then stockholders must provide notice within time periods specified in our Bylaws. Our Bylaws also specify requirements as to the form and content of a stockholder’s notice. If a stockholder fails to meet these deadlines or fails to satisfy the requirements of Rule 14a-4 under the Exchange Act, we may exercise discretionary voting authority under proxies we solicit to vote on any such proposal as we determine appropriate.</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reserve the right to reject, rule out of order, or take other appropriate action regarding any nomination or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896620</wp:posOffset>
            </wp:positionV>
            <wp:extent cx="9861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Board has nominated the following seven persons as directors to serve until the 2027 Annual Meeting or until their successors have been duly elected and qualified. Each of the nominees is currently a director of Arrowhead and was elected most recently by stockholders at the 2025 Annual Meeting. None of the nominees has a familial relationship with any other nominee or any executive officer of the Company.</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Douglas Ingram, a current director, is not standing for re-election and will retire from the Board at the annual meeting, at which point the size of the Board will be reduced to seven directors. Mr. Ingram’s departure is not the result of any disagreement with the Company, the Board or the management team. The Board thanks Mr. Ingram for his contributions to the Company.</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nominees receiving more “FOR” votes than “AGAINST” votes at the Annual Meeting will be elected. Unless otherwise instructed, the proxy holders will vote the proxies received by them "FOR" the nominees named below. Under Delaware law, a director not receiving a majority of votes cast in an uncontested election could continue to serve as a “holdover director” until the director resigns or is replaced. Under the Company’s director resignation policy, each director is expected to submit an advance, contingent irrevocable resignation that the Board may accept if stockholders to not re-elect that director. In that event, the Board will then decide whether to accept or reject the resignation, or whether other action is required.</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table below sets forth, with respect to each nominee for election, the nominee’s age, current position with Arrowhead and biographical and other information, including the primary skills and experiences considered by our Nomination Committee in determining to recommend them as nominees. The director nominees have indicated that they are willing and able to serve as directors. However, if any of the director nominees becomes unable or, for good cause, unwilling to serve, proxies may be voted for the election of such other person as shall be designated by our Board, or the Board may decrease the size of the Board.</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 the</w:t>
      </w:r>
      <w:r>
        <w:rPr>
          <w:rFonts w:ascii="Arial" w:cs="Arial" w:eastAsia="Arial" w:hAnsi="Arial"/>
          <w:sz w:val="16"/>
          <w:szCs w:val="16"/>
          <w:b w:val="1"/>
          <w:bCs w:val="1"/>
          <w:color w:val="0071CE"/>
        </w:rPr>
        <w:t xml:space="preserve"> </w:t>
      </w:r>
      <w:r>
        <w:rPr>
          <w:rFonts w:ascii="Arial" w:cs="Arial" w:eastAsia="Arial" w:hAnsi="Arial"/>
          <w:sz w:val="16"/>
          <w:szCs w:val="16"/>
          <w:color w:val="000000"/>
        </w:rPr>
        <w:t>Company to serve until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141605</wp:posOffset>
            </wp:positionV>
            <wp:extent cx="4423410" cy="402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23410" cy="402590"/>
                    </a:xfrm>
                    <a:prstGeom prst="rect">
                      <a:avLst/>
                    </a:prstGeom>
                    <a:noFill/>
                  </pic:spPr>
                </pic:pic>
              </a:graphicData>
            </a:graphic>
          </wp:anchor>
        </w:drawing>
      </w:r>
    </w:p>
    <w:p>
      <w:pPr>
        <w:spacing w:after="0" w:line="297"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OUR BOARD UNANIMOUSLY RECOMMENDS A VOTE</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0071CE"/>
        </w:rPr>
        <w:t xml:space="preserve">“FOR” </w:t>
      </w:r>
      <w:r>
        <w:rPr>
          <w:rFonts w:ascii="Arial" w:cs="Arial" w:eastAsia="Arial" w:hAnsi="Arial"/>
          <w:sz w:val="16"/>
          <w:szCs w:val="16"/>
          <w:b w:val="1"/>
          <w:bCs w:val="1"/>
          <w:color w:val="000000"/>
        </w:rPr>
        <w:t>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1862455</wp:posOffset>
            </wp:positionV>
            <wp:extent cx="9861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71CE"/>
        </w:rPr>
        <w:t>Christopher Anzalone, PhD</w:t>
      </w:r>
    </w:p>
    <w:p>
      <w:pPr>
        <w:spacing w:after="0"/>
        <w:rPr>
          <w:sz w:val="20"/>
          <w:szCs w:val="20"/>
          <w:color w:val="auto"/>
        </w:rPr>
      </w:pPr>
      <w:r>
        <w:rPr>
          <w:rFonts w:ascii="Arial" w:cs="Arial" w:eastAsia="Arial" w:hAnsi="Arial"/>
          <w:sz w:val="20"/>
          <w:szCs w:val="20"/>
          <w:b w:val="1"/>
          <w:bCs w:val="1"/>
          <w:color w:val="0071CE"/>
        </w:rPr>
        <w:t>Chief Executive Officer, President, Director &amp; Board Chair</w:t>
      </w:r>
    </w:p>
    <w:p>
      <w:pPr>
        <w:sectPr>
          <w:pgSz w:w="11900" w:h="16838" w:orient="portrait"/>
          <w:cols w:equalWidth="0" w:num="1">
            <w:col w:w="11220"/>
          </w:cols>
          <w:pgMar w:left="340" w:top="198" w:right="33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Before his tenure at the Benet Group, from 1999 to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407670</wp:posOffset>
            </wp:positionV>
            <wp:extent cx="4920615" cy="891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jc w:val="both"/>
        <w:ind w:left="140" w:right="40"/>
        <w:spacing w:after="0" w:line="256"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199390</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765175</wp:posOffset>
            </wp:positionV>
            <wp:extent cx="98615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740"/>
          </w:cols>
          <w:pgMar w:left="34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100"/>
        <w:spacing w:after="0"/>
        <w:rPr>
          <w:sz w:val="20"/>
          <w:szCs w:val="20"/>
          <w:color w:val="auto"/>
        </w:rPr>
      </w:pPr>
      <w:r>
        <w:rPr>
          <w:rFonts w:ascii="Arial" w:cs="Arial" w:eastAsia="Arial" w:hAnsi="Arial"/>
          <w:sz w:val="17"/>
          <w:szCs w:val="17"/>
          <w:b w:val="1"/>
          <w:bCs w:val="1"/>
          <w:color w:val="0071C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192405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98"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71CE"/>
        </w:rPr>
        <w:t>Mauro Ferrari, PhD</w:t>
      </w:r>
    </w:p>
    <w:p>
      <w:pPr>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40" w:hanging="152"/>
        <w:spacing w:after="0"/>
        <w:tabs>
          <w:tab w:leader="none" w:pos="240" w:val="left"/>
        </w:tabs>
        <w:numPr>
          <w:ilvl w:val="0"/>
          <w:numId w:val="6"/>
        </w:numPr>
        <w:rPr>
          <w:rFonts w:ascii="Arial" w:cs="Arial" w:eastAsia="Arial" w:hAnsi="Arial"/>
          <w:sz w:val="18"/>
          <w:szCs w:val="18"/>
          <w:color w:val="0071CE"/>
        </w:rPr>
      </w:pPr>
      <w:r>
        <w:rPr>
          <w:rFonts w:ascii="Arial" w:cs="Arial" w:eastAsia="Arial" w:hAnsi="Arial"/>
          <w:sz w:val="16"/>
          <w:szCs w:val="16"/>
          <w:color w:val="auto"/>
        </w:rPr>
        <w:t>Science Committee (Co-Chair)</w:t>
      </w:r>
    </w:p>
    <w:p>
      <w:pPr>
        <w:spacing w:after="0" w:line="13" w:lineRule="exact"/>
        <w:rPr>
          <w:rFonts w:ascii="Arial" w:cs="Arial" w:eastAsia="Arial" w:hAnsi="Arial"/>
          <w:sz w:val="18"/>
          <w:szCs w:val="18"/>
          <w:color w:val="0071CE"/>
        </w:rPr>
      </w:pPr>
    </w:p>
    <w:p>
      <w:pPr>
        <w:ind w:left="240" w:hanging="152"/>
        <w:spacing w:after="0"/>
        <w:tabs>
          <w:tab w:leader="none" w:pos="240" w:val="left"/>
        </w:tabs>
        <w:numPr>
          <w:ilvl w:val="0"/>
          <w:numId w:val="6"/>
        </w:numPr>
        <w:rPr>
          <w:rFonts w:ascii="Arial" w:cs="Arial" w:eastAsia="Arial" w:hAnsi="Arial"/>
          <w:sz w:val="18"/>
          <w:szCs w:val="18"/>
          <w:b w:val="1"/>
          <w:bCs w:val="1"/>
          <w:color w:val="0071CE"/>
        </w:rPr>
      </w:pPr>
      <w:r>
        <w:rPr>
          <w:rFonts w:ascii="Arial" w:cs="Arial" w:eastAsia="Arial" w:hAnsi="Arial"/>
          <w:sz w:val="16"/>
          <w:szCs w:val="16"/>
          <w:color w:val="auto"/>
        </w:rPr>
        <w:t>Audit Committee</w:t>
      </w:r>
    </w:p>
    <w:p>
      <w:pPr>
        <w:spacing w:after="0" w:line="98" w:lineRule="exact"/>
        <w:rPr>
          <w:rFonts w:ascii="Arial" w:cs="Arial" w:eastAsia="Arial" w:hAnsi="Arial"/>
          <w:sz w:val="18"/>
          <w:szCs w:val="18"/>
          <w:b w:val="1"/>
          <w:bCs w:val="1"/>
          <w:color w:val="0071CE"/>
        </w:rPr>
      </w:pPr>
    </w:p>
    <w:p>
      <w:pPr>
        <w:ind w:left="240" w:hanging="152"/>
        <w:spacing w:after="0"/>
        <w:tabs>
          <w:tab w:leader="none" w:pos="240" w:val="left"/>
        </w:tabs>
        <w:numPr>
          <w:ilvl w:val="0"/>
          <w:numId w:val="6"/>
        </w:numPr>
        <w:rPr>
          <w:rFonts w:ascii="Arial" w:cs="Arial" w:eastAsia="Arial" w:hAnsi="Arial"/>
          <w:sz w:val="18"/>
          <w:szCs w:val="18"/>
          <w:b w:val="1"/>
          <w:bCs w:val="1"/>
          <w:color w:val="0071CE"/>
        </w:rPr>
      </w:pPr>
      <w:r>
        <w:rPr>
          <w:rFonts w:ascii="Arial" w:cs="Arial" w:eastAsia="Arial" w:hAnsi="Arial"/>
          <w:sz w:val="16"/>
          <w:szCs w:val="16"/>
          <w:color w:val="auto"/>
        </w:rPr>
        <w:t>Nomination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Dr. Ferrari has served as Affiliate Professor of Pharmaceutics at the University of Washington in Seattle, WA since 2019. He has also served as CEO and Chairman of the Board of BrYet US, Inc., a biotech company, since 2019. From 2010 to 2019, Dr. Ferrari served at the Houston Methodist Hospital in multiple roles, including: President and CEO of The Houston Methodist Hospital Research Institute (TMHRI), Executive Vice President of Houston Methodist Hospital, and Senior Associate Dean of Weill Cornell Medical College in New York. He also previously served as President of the European Research Council. Dr. Ferrari was formerly a Professor and chair of the Department of NanoMedicine and Biomedical Engineering at the University of Texas Health Science Center at 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his graduate Alma Mater U.C. Berkeley and The Ohio State University. From 2003 to 2005, Dr. Ferrari served as Special Expert on Nanotechnology and Eminent Scholar at The National Cancer Institute. He previously served on the board of the University of St. Thomas in Houston. He has also served as CEO of DXT Therapeutics.</w:t>
      </w:r>
    </w:p>
    <w:p>
      <w:pPr>
        <w:spacing w:after="0" w:line="228"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Dr. Ferrari is an internationally recognized expert in innovative therapeutics, nanomedicine and biomedical engineering. For his work as a biomedical and pharmaceutical researcher, Dr Ferrari has received numerous recognitions such as induction into the National Academy of Inventors, the American Society of Medical and Biological Engineers, the American Association for the Advancement of Science, the European Academy of Sciences, and awards including the Founders Award of the Controlled Release Society, Blaise Pascal Medal of the European Academy of Sciences, the James Shannon Director's Award of the NIH, and the Coulter Award for Innovation and Entrepreneurship. He holds degrees from the University of Padova Italy (Dottore in Matematica), and the University of California, Berkeley (MS and PhD in Mechanical Engineering). He has studied Medicina at The Ohio State University (no degree), and completed executive education programs at Harvard Business School and the Wharton School of the University of Pennsylvania. He has received honorary degrees from the University of Naples "Federico II", (Biotechnology), the University of Palermo (Electrical Engineering) and the University of St Thomas in Houston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1325245</wp:posOffset>
            </wp:positionV>
            <wp:extent cx="4920615" cy="1508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061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jc w:val="both"/>
        <w:ind w:left="140" w:right="40"/>
        <w:spacing w:after="0" w:line="258" w:lineRule="auto"/>
        <w:rPr>
          <w:sz w:val="20"/>
          <w:szCs w:val="20"/>
          <w:color w:val="auto"/>
        </w:rPr>
      </w:pPr>
      <w:r>
        <w:rPr>
          <w:rFonts w:ascii="Arial" w:cs="Arial" w:eastAsia="Arial" w:hAnsi="Arial"/>
          <w:sz w:val="16"/>
          <w:szCs w:val="16"/>
          <w:color w:val="auto"/>
        </w:rPr>
        <w:t>Dr. Ferrari's qualifications to serve on the Board include his extensive training and experience in the fields of innovative therapeutics, nanotechnology, biotechnology and their biomedical applications. Dr. Ferrari has significant technical training, held several academic appointments, was author of over 500 published articles, was awarded over 30 issued patents and is the recipient of most prestigious academic awards in the biomedical sciences, nanomedicine and drug delivery technology. Additionally, Dr. Ferrari has extensive experience in developmental stage organizations having founded several startup companies. He also has experience supervising CFOs in several of his current and prior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165735</wp:posOffset>
            </wp:positionV>
            <wp:extent cx="71234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996950</wp:posOffset>
            </wp:positionV>
            <wp:extent cx="98615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740"/>
          </w:cols>
          <w:pgMar w:left="34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100"/>
        <w:spacing w:after="0"/>
        <w:rPr>
          <w:sz w:val="20"/>
          <w:szCs w:val="20"/>
          <w:color w:val="auto"/>
        </w:rPr>
      </w:pPr>
      <w:r>
        <w:rPr>
          <w:rFonts w:ascii="Arial" w:cs="Arial" w:eastAsia="Arial" w:hAnsi="Arial"/>
          <w:sz w:val="17"/>
          <w:szCs w:val="17"/>
          <w:b w:val="1"/>
          <w:bCs w:val="1"/>
          <w:color w:val="0071CE"/>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192405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98"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Hongbo Lu</w:t>
      </w:r>
    </w:p>
    <w:p>
      <w:pPr>
        <w:ind w:left="4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40" w:hanging="149"/>
        <w:spacing w:after="0"/>
        <w:tabs>
          <w:tab w:leader="none" w:pos="240" w:val="left"/>
        </w:tabs>
        <w:numPr>
          <w:ilvl w:val="0"/>
          <w:numId w:val="7"/>
        </w:numPr>
        <w:rPr>
          <w:rFonts w:ascii="Arial" w:cs="Arial" w:eastAsia="Arial" w:hAnsi="Arial"/>
          <w:sz w:val="18"/>
          <w:szCs w:val="18"/>
          <w:color w:val="0071CE"/>
        </w:rPr>
      </w:pPr>
      <w:r>
        <w:rPr>
          <w:rFonts w:ascii="Arial" w:cs="Arial" w:eastAsia="Arial" w:hAnsi="Arial"/>
          <w:sz w:val="16"/>
          <w:szCs w:val="16"/>
          <w:color w:val="auto"/>
        </w:rPr>
        <w:t>Science Committee</w:t>
      </w:r>
    </w:p>
    <w:p>
      <w:pPr>
        <w:spacing w:after="0" w:line="11" w:lineRule="exact"/>
        <w:rPr>
          <w:rFonts w:ascii="Arial" w:cs="Arial" w:eastAsia="Arial" w:hAnsi="Arial"/>
          <w:sz w:val="18"/>
          <w:szCs w:val="18"/>
          <w:color w:val="0071CE"/>
        </w:rPr>
      </w:pPr>
    </w:p>
    <w:p>
      <w:pPr>
        <w:ind w:left="240" w:hanging="149"/>
        <w:spacing w:after="0"/>
        <w:tabs>
          <w:tab w:leader="none" w:pos="240" w:val="left"/>
        </w:tabs>
        <w:numPr>
          <w:ilvl w:val="0"/>
          <w:numId w:val="7"/>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83" w:lineRule="exact"/>
        <w:rPr>
          <w:rFonts w:ascii="Arial" w:cs="Arial" w:eastAsia="Arial" w:hAnsi="Arial"/>
          <w:sz w:val="16"/>
          <w:szCs w:val="16"/>
          <w:b w:val="1"/>
          <w:bCs w:val="1"/>
          <w:color w:val="0071CE"/>
        </w:rPr>
      </w:pPr>
    </w:p>
    <w:p>
      <w:pPr>
        <w:ind w:left="240" w:hanging="149"/>
        <w:spacing w:after="0"/>
        <w:tabs>
          <w:tab w:leader="none" w:pos="240" w:val="left"/>
        </w:tabs>
        <w:numPr>
          <w:ilvl w:val="0"/>
          <w:numId w:val="7"/>
        </w:numPr>
        <w:rPr>
          <w:rFonts w:ascii="Arial" w:cs="Arial" w:eastAsia="Arial" w:hAnsi="Arial"/>
          <w:sz w:val="16"/>
          <w:szCs w:val="16"/>
          <w:b w:val="1"/>
          <w:bCs w:val="1"/>
          <w:color w:val="0071CE"/>
        </w:rPr>
      </w:pPr>
      <w:r>
        <w:rPr>
          <w:rFonts w:ascii="Arial" w:cs="Arial" w:eastAsia="Arial" w:hAnsi="Arial"/>
          <w:sz w:val="16"/>
          <w:szCs w:val="16"/>
          <w:color w:val="auto"/>
        </w:rPr>
        <w:t>Compensation Committee</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Other Public Company Boards:</w:t>
      </w:r>
    </w:p>
    <w:p>
      <w:pPr>
        <w:spacing w:after="0" w:line="46" w:lineRule="exact"/>
        <w:rPr>
          <w:sz w:val="20"/>
          <w:szCs w:val="20"/>
          <w:color w:val="auto"/>
        </w:rPr>
      </w:pPr>
    </w:p>
    <w:p>
      <w:pPr>
        <w:ind w:left="240" w:hanging="149"/>
        <w:spacing w:after="0"/>
        <w:tabs>
          <w:tab w:leader="none" w:pos="240" w:val="left"/>
        </w:tabs>
        <w:numPr>
          <w:ilvl w:val="0"/>
          <w:numId w:val="8"/>
        </w:numPr>
        <w:rPr>
          <w:rFonts w:ascii="Arial" w:cs="Arial" w:eastAsia="Arial" w:hAnsi="Arial"/>
          <w:sz w:val="18"/>
          <w:szCs w:val="18"/>
          <w:color w:val="0071CE"/>
        </w:rPr>
      </w:pPr>
      <w:r>
        <w:rPr>
          <w:rFonts w:ascii="Arial" w:cs="Arial" w:eastAsia="Arial" w:hAnsi="Arial"/>
          <w:sz w:val="16"/>
          <w:szCs w:val="16"/>
          <w:color w:val="auto"/>
        </w:rPr>
        <w:t>Terns Pharmaceuticals, Inc.</w:t>
      </w:r>
    </w:p>
    <w:p>
      <w:pPr>
        <w:spacing w:after="0" w:line="11" w:lineRule="exact"/>
        <w:rPr>
          <w:rFonts w:ascii="Arial" w:cs="Arial" w:eastAsia="Arial" w:hAnsi="Arial"/>
          <w:sz w:val="18"/>
          <w:szCs w:val="18"/>
          <w:color w:val="0071CE"/>
        </w:rPr>
      </w:pPr>
    </w:p>
    <w:p>
      <w:pPr>
        <w:ind w:left="240" w:hanging="149"/>
        <w:spacing w:after="0"/>
        <w:tabs>
          <w:tab w:leader="none" w:pos="240" w:val="left"/>
        </w:tabs>
        <w:numPr>
          <w:ilvl w:val="0"/>
          <w:numId w:val="8"/>
        </w:numPr>
        <w:rPr>
          <w:rFonts w:ascii="Arial" w:cs="Arial" w:eastAsia="Arial" w:hAnsi="Arial"/>
          <w:sz w:val="16"/>
          <w:szCs w:val="16"/>
          <w:color w:val="026DCE"/>
        </w:rPr>
      </w:pPr>
      <w:r>
        <w:rPr>
          <w:rFonts w:ascii="Arial" w:cs="Arial" w:eastAsia="Arial" w:hAnsi="Arial"/>
          <w:sz w:val="16"/>
          <w:szCs w:val="16"/>
          <w:color w:val="auto"/>
        </w:rPr>
        <w:t>Zenas Biopharma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Hongbo Lu, Ph.D. has served as a founding member of NEXTBio Capital, a biotech investment firm, since 2024. Dr. Lu has over 20 years of healthcare investment experience in both public securities and private companies, including her tenure as a Managing Partner of Vivo Capital, LLC, an investment firm, from 2020 to 2024, as a Managing Partner at Lilly Asia Ventures (LAV), a venture capital firm, from 2017 to 2020, and as a Managing Director at OrbiMed Advisors, an investment firm, from 2011 to 2016. Over her investment career, Dr. Lu served on the boards of over 20 healthcare companies, including Turning Point Therapeutics, Crown Biosciences, Avedro, BlossomHill, Createrna, Avistone, Echosens, and was extensively involved in the company formations of ADARx, Ribox, Visirna, Ablaze, Elpiscience, and Ronovo. She currently serves on the boards of Terns Pharmaceuticals (Nasdaq: TERN) and Zenas (Nasdaq: ZBIO). Dr. Lu started her Wall Street career as a biotechnology analyst at Piper Jaffray &amp; Co. and prior to that, her scientific career in biotechnology startups in the Bay Area. Dr. Lu earned her Ph.D. in Bioengineering from the University of Washington, M.B.A. from the Haas School of Business at the University of California, Berkeley, and graduated with honors from Tsinghua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502285</wp:posOffset>
            </wp:positionV>
            <wp:extent cx="4920615" cy="891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40" w:right="40"/>
        <w:spacing w:after="0" w:line="275"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Dr. Lu’s qualifications to serve on the Board include her deep experience in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and the pharmaceutical industry, her expertise with venture and capital markets, and her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327660</wp:posOffset>
            </wp:positionV>
            <wp:extent cx="71234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740"/>
          </w:cols>
          <w:pgMar w:left="34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0071CE"/>
        </w:rPr>
        <w:t>Adeoye Olukotun, MD, MPH</w:t>
      </w:r>
    </w:p>
    <w:p>
      <w:pPr>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81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Serves on:</w:t>
      </w:r>
    </w:p>
    <w:p>
      <w:pPr>
        <w:spacing w:after="0" w:line="32" w:lineRule="exact"/>
        <w:rPr>
          <w:sz w:val="20"/>
          <w:szCs w:val="20"/>
          <w:color w:val="auto"/>
        </w:rPr>
      </w:pPr>
    </w:p>
    <w:p>
      <w:pPr>
        <w:ind w:left="240" w:hanging="152"/>
        <w:spacing w:after="0"/>
        <w:tabs>
          <w:tab w:leader="none" w:pos="240" w:val="left"/>
        </w:tabs>
        <w:numPr>
          <w:ilvl w:val="0"/>
          <w:numId w:val="9"/>
        </w:numPr>
        <w:rPr>
          <w:rFonts w:ascii="Arial" w:cs="Arial" w:eastAsia="Arial" w:hAnsi="Arial"/>
          <w:sz w:val="18"/>
          <w:szCs w:val="18"/>
          <w:color w:val="0071CE"/>
        </w:rPr>
      </w:pPr>
      <w:r>
        <w:rPr>
          <w:rFonts w:ascii="Arial" w:cs="Arial" w:eastAsia="Arial" w:hAnsi="Arial"/>
          <w:sz w:val="16"/>
          <w:szCs w:val="16"/>
          <w:color w:val="auto"/>
        </w:rPr>
        <w:t>Science Committee (Co-Chair)</w:t>
      </w:r>
    </w:p>
    <w:p>
      <w:pPr>
        <w:spacing w:after="0" w:line="13" w:lineRule="exact"/>
        <w:rPr>
          <w:rFonts w:ascii="Arial" w:cs="Arial" w:eastAsia="Arial" w:hAnsi="Arial"/>
          <w:sz w:val="18"/>
          <w:szCs w:val="18"/>
          <w:color w:val="0071CE"/>
        </w:rPr>
      </w:pPr>
    </w:p>
    <w:p>
      <w:pPr>
        <w:ind w:left="240" w:hanging="152"/>
        <w:spacing w:after="0"/>
        <w:tabs>
          <w:tab w:leader="none" w:pos="240" w:val="left"/>
        </w:tabs>
        <w:numPr>
          <w:ilvl w:val="0"/>
          <w:numId w:val="9"/>
        </w:numPr>
        <w:rPr>
          <w:rFonts w:ascii="Arial" w:cs="Arial" w:eastAsia="Arial" w:hAnsi="Arial"/>
          <w:sz w:val="18"/>
          <w:szCs w:val="18"/>
          <w:color w:val="0071CE"/>
        </w:rPr>
      </w:pPr>
      <w:r>
        <w:rPr>
          <w:rFonts w:ascii="Arial" w:cs="Arial" w:eastAsia="Arial" w:hAnsi="Arial"/>
          <w:sz w:val="16"/>
          <w:szCs w:val="16"/>
          <w:color w:val="auto"/>
        </w:rPr>
        <w:t>Nomination Committee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Other Public Company Boards:</w:t>
      </w:r>
    </w:p>
    <w:p>
      <w:pPr>
        <w:spacing w:after="0" w:line="19" w:lineRule="exact"/>
        <w:rPr>
          <w:sz w:val="20"/>
          <w:szCs w:val="20"/>
          <w:color w:val="auto"/>
        </w:rPr>
      </w:pPr>
    </w:p>
    <w:p>
      <w:pPr>
        <w:ind w:left="240" w:hanging="152"/>
        <w:spacing w:after="0"/>
        <w:tabs>
          <w:tab w:leader="none" w:pos="240" w:val="left"/>
        </w:tabs>
        <w:numPr>
          <w:ilvl w:val="0"/>
          <w:numId w:val="10"/>
        </w:numPr>
        <w:rPr>
          <w:rFonts w:ascii="Arial" w:cs="Arial" w:eastAsia="Arial" w:hAnsi="Arial"/>
          <w:sz w:val="18"/>
          <w:szCs w:val="18"/>
          <w:color w:val="0071CE"/>
        </w:rPr>
      </w:pPr>
      <w:r>
        <w:rPr>
          <w:rFonts w:ascii="Arial" w:cs="Arial" w:eastAsia="Arial" w:hAnsi="Arial"/>
          <w:sz w:val="16"/>
          <w:szCs w:val="16"/>
          <w:color w:val="auto"/>
        </w:rPr>
        <w:t>Tonix Pharmaceuticals Holding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35"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Dr. Olukotun is a Mayo Clinic trained cardiologist who has served as Chief Executive Officer of CR Strategies, LLC, which consults on clinical trial design and FDA strategy for pharmaceutical development, since 2001. Dr. Olukotun currently serves on the board of directors of Tonix Pharmaceuticals Holding Corp. (Nasdaq: TNXP), a commercial-stage biopharmaceuticals company. He served as CEO of Epigen Pharmaceuticals, Inc., a discovery phase biotechnology company, from 2014 to 2017, and as Vice Board Chair of CardioVax, Inc., a clinical-stage biopharmaceutical company, from 2012 to 2016. He spent the first 20 years of his career in roles of increasing responsibility in clinical development, including multiple product approvals, at Pfizer, Bristol-Myers Squibb, and Mallinckrodt. He has over 35 years of experience in the pharmaceutical industry and has been instrumental in the approval and success of numerous cardiology and metabolic medicines, including the first daily beta blocker and the first approved ACE inhibitor, among others. Dr. Olukotun received his Medical Doctor degree from the Albert Einstein College of Medicine in New York, and a Masters in Public Health from Harvard University School of Public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623570</wp:posOffset>
            </wp:positionV>
            <wp:extent cx="4920615" cy="891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jc w:val="both"/>
        <w:ind w:left="140" w:right="40"/>
        <w:spacing w:after="0" w:line="264" w:lineRule="auto"/>
        <w:rPr>
          <w:sz w:val="20"/>
          <w:szCs w:val="20"/>
          <w:color w:val="auto"/>
        </w:rPr>
      </w:pPr>
      <w:r>
        <w:rPr>
          <w:rFonts w:ascii="Arial" w:cs="Arial" w:eastAsia="Arial" w:hAnsi="Arial"/>
          <w:sz w:val="16"/>
          <w:szCs w:val="16"/>
          <w:color w:val="auto"/>
        </w:rPr>
        <w:t>Dr. Olukotun’s qualifications to serve on the Board include his extensive background in biopharmaceutical development, particularly in the cardiometabolic field, his scientific and public health expertise, and his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187325</wp:posOffset>
            </wp:positionV>
            <wp:extent cx="7123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753110</wp:posOffset>
            </wp:positionV>
            <wp:extent cx="98615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580"/>
            <w:col w:w="7740"/>
          </w:cols>
          <w:pgMar w:left="34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100"/>
        <w:spacing w:after="0"/>
        <w:rPr>
          <w:sz w:val="20"/>
          <w:szCs w:val="20"/>
          <w:color w:val="auto"/>
        </w:rPr>
      </w:pPr>
      <w:r>
        <w:rPr>
          <w:rFonts w:ascii="Arial" w:cs="Arial" w:eastAsia="Arial" w:hAnsi="Arial"/>
          <w:sz w:val="17"/>
          <w:szCs w:val="17"/>
          <w:b w:val="1"/>
          <w:bCs w:val="1"/>
          <w:color w:val="0071CE"/>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200660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98"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0071CE"/>
        </w:rPr>
        <w:t>Michael S. Perry, DVM, Ph.D.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40" w:hanging="153"/>
        <w:spacing w:after="0"/>
        <w:tabs>
          <w:tab w:leader="none" w:pos="240" w:val="left"/>
        </w:tabs>
        <w:numPr>
          <w:ilvl w:val="0"/>
          <w:numId w:val="11"/>
        </w:numPr>
        <w:rPr>
          <w:rFonts w:ascii="Arial" w:cs="Arial" w:eastAsia="Arial" w:hAnsi="Arial"/>
          <w:sz w:val="18"/>
          <w:szCs w:val="18"/>
          <w:b w:val="1"/>
          <w:bCs w:val="1"/>
          <w:color w:val="026DCE"/>
        </w:rPr>
      </w:pPr>
      <w:r>
        <w:rPr>
          <w:rFonts w:ascii="Arial" w:cs="Arial" w:eastAsia="Arial" w:hAnsi="Arial"/>
          <w:sz w:val="16"/>
          <w:szCs w:val="16"/>
          <w:color w:val="auto"/>
        </w:rPr>
        <w:t>Compensation Committee (Chair)</w:t>
      </w:r>
    </w:p>
    <w:p>
      <w:pPr>
        <w:spacing w:after="0" w:line="21" w:lineRule="exact"/>
        <w:rPr>
          <w:rFonts w:ascii="Arial" w:cs="Arial" w:eastAsia="Arial" w:hAnsi="Arial"/>
          <w:sz w:val="18"/>
          <w:szCs w:val="18"/>
          <w:b w:val="1"/>
          <w:bCs w:val="1"/>
          <w:color w:val="026DCE"/>
        </w:rPr>
      </w:pPr>
    </w:p>
    <w:p>
      <w:pPr>
        <w:ind w:left="240" w:hanging="153"/>
        <w:spacing w:after="0" w:line="234" w:lineRule="auto"/>
        <w:tabs>
          <w:tab w:leader="none" w:pos="240" w:val="left"/>
        </w:tabs>
        <w:numPr>
          <w:ilvl w:val="0"/>
          <w:numId w:val="11"/>
        </w:numPr>
        <w:rPr>
          <w:rFonts w:ascii="Arial" w:cs="Arial" w:eastAsia="Arial" w:hAnsi="Arial"/>
          <w:sz w:val="18"/>
          <w:szCs w:val="18"/>
          <w:b w:val="1"/>
          <w:bCs w:val="1"/>
          <w:color w:val="026DCE"/>
        </w:rPr>
      </w:pPr>
      <w:r>
        <w:rPr>
          <w:rFonts w:ascii="Arial" w:cs="Arial" w:eastAsia="Arial" w:hAnsi="Arial"/>
          <w:sz w:val="16"/>
          <w:szCs w:val="16"/>
          <w:color w:val="auto"/>
        </w:rPr>
        <w:t>Audit Committee</w:t>
      </w:r>
    </w:p>
    <w:p>
      <w:pPr>
        <w:spacing w:after="0" w:line="14" w:lineRule="exact"/>
        <w:rPr>
          <w:rFonts w:ascii="Arial" w:cs="Arial" w:eastAsia="Arial" w:hAnsi="Arial"/>
          <w:sz w:val="18"/>
          <w:szCs w:val="18"/>
          <w:b w:val="1"/>
          <w:bCs w:val="1"/>
          <w:color w:val="026DCE"/>
        </w:rPr>
      </w:pPr>
    </w:p>
    <w:p>
      <w:pPr>
        <w:ind w:left="240" w:hanging="153"/>
        <w:spacing w:after="0" w:line="234" w:lineRule="auto"/>
        <w:tabs>
          <w:tab w:leader="none" w:pos="240" w:val="left"/>
        </w:tabs>
        <w:numPr>
          <w:ilvl w:val="0"/>
          <w:numId w:val="11"/>
        </w:numPr>
        <w:rPr>
          <w:rFonts w:ascii="Arial" w:cs="Arial" w:eastAsia="Arial" w:hAnsi="Arial"/>
          <w:sz w:val="18"/>
          <w:szCs w:val="18"/>
          <w:b w:val="1"/>
          <w:bCs w:val="1"/>
          <w:color w:val="026DCE"/>
        </w:rPr>
      </w:pPr>
      <w:r>
        <w:rPr>
          <w:rFonts w:ascii="Arial" w:cs="Arial" w:eastAsia="Arial" w:hAnsi="Arial"/>
          <w:sz w:val="16"/>
          <w:szCs w:val="16"/>
          <w:color w:val="auto"/>
        </w:rPr>
        <w:t>Nomination Committee</w:t>
      </w:r>
    </w:p>
    <w:p>
      <w:pPr>
        <w:spacing w:after="0" w:line="14" w:lineRule="exact"/>
        <w:rPr>
          <w:rFonts w:ascii="Arial" w:cs="Arial" w:eastAsia="Arial" w:hAnsi="Arial"/>
          <w:sz w:val="18"/>
          <w:szCs w:val="18"/>
          <w:b w:val="1"/>
          <w:bCs w:val="1"/>
          <w:color w:val="026DCE"/>
        </w:rPr>
      </w:pPr>
    </w:p>
    <w:p>
      <w:pPr>
        <w:ind w:left="240" w:hanging="153"/>
        <w:spacing w:after="0" w:line="234" w:lineRule="auto"/>
        <w:tabs>
          <w:tab w:leader="none" w:pos="240" w:val="left"/>
        </w:tabs>
        <w:numPr>
          <w:ilvl w:val="0"/>
          <w:numId w:val="11"/>
        </w:numPr>
        <w:rPr>
          <w:rFonts w:ascii="Arial" w:cs="Arial" w:eastAsia="Arial" w:hAnsi="Arial"/>
          <w:sz w:val="18"/>
          <w:szCs w:val="18"/>
          <w:b w:val="1"/>
          <w:bCs w:val="1"/>
          <w:color w:val="026DCE"/>
        </w:rPr>
      </w:pPr>
      <w:r>
        <w:rPr>
          <w:rFonts w:ascii="Arial" w:cs="Arial" w:eastAsia="Arial" w:hAnsi="Arial"/>
          <w:sz w:val="16"/>
          <w:szCs w:val="16"/>
          <w:color w:val="auto"/>
        </w:rPr>
        <w:t> Science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Dr. Perry is currently a Venture Partner with Bioscience Managers, a global venture capital firm. Dr. Perry was Chief Executive Officer of Avita Medical, Inc., a regenerative medicine company based in Valencia, CA (Nasdaq: RCEL) from 2017 to 2022. From 2014 to 2017, he served as Chief Scientific Officer of Novartis' Cell and Gene Therapy Unit, and from 2012 to 2014 he served as Vice President and Global Head of Stem Cell Therapy for Novartis Pharmaceuticals Corp., the US affiliate of Switzerland-based Novartis AG, a global pharmaceutical company. Dr. Perry has also served as SVP and Global Head of R&amp;D at Baxter Healthcare, and as President and as CEO of Cell &amp; Gene Therapy at Novartis AG. Earlier in his career he served as VP Regulatory Affairs at Novartis Pharmaceuticals, Sandoz Pharmaceuticals, and Syntex Corporation. He also served as Director of Regulatory Affairs at Schering-Plough Corporation. Dr. Perry also served as a Venture Partner with Bay City Capital, LLC for eight years. Dr. Perry has previously served as a board member for the following companies: Ampliphi Bioscience Corp., Gamida Cell Ltd., Targeted Genetics, Inc., American Xeno, Inc., 7 Hills Pharma, BioTransplant, Inc., ltamar Biomedical Ltd., Systemix, Inc., Genetic Therapy, Inc., Extropy Pharmaceuticals, Inc., and Pharsight Corp. Dr. Perry served as Chair of the Compensation Committee at Ampliphi Bioscience Corp., Genetic Therapy Inc., and at Gamida Cell Ltd. He has also served as a member of the Audit Committee at several biotech companies and as Chairman or member of the Nomination Committee. Dr. Perry additionally served as board Chairman at American Xeno Inc., Extropy Pharmaceuticals Inc., and at 7 Hills Pharma, Inc. Dr. Perry holds an Honors Bachelor of Science in Physics and Engineering and a Ph.D. in Biomedical Pharmacology from the University of Guelph. He also holds a Doctor of Veterinary Medicine &amp; Surgery from the Ontario Veterinary College and is a graduate of the International Advanced Management Program at Harvard Business School. Dr. Perry currently serves as Adjunct Professor at the Gates Center for Regenerative Medicine at the University of Colorado Anschutz Medical Campus and as Faculty at Houston Methodist and Chair of the Translational Medicine Advisory Board of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1201420</wp:posOffset>
            </wp:positionV>
            <wp:extent cx="4928870" cy="882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88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jc w:val="both"/>
        <w:ind w:left="140" w:right="20"/>
        <w:spacing w:after="0" w:line="256"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190500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756285</wp:posOffset>
            </wp:positionV>
            <wp:extent cx="98615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540"/>
            <w:col w:w="7740"/>
          </w:cols>
          <w:pgMar w:left="34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100"/>
        <w:spacing w:after="0"/>
        <w:rPr>
          <w:sz w:val="20"/>
          <w:szCs w:val="20"/>
          <w:color w:val="auto"/>
        </w:rPr>
      </w:pPr>
      <w:r>
        <w:rPr>
          <w:rFonts w:ascii="Arial" w:cs="Arial" w:eastAsia="Arial" w:hAnsi="Arial"/>
          <w:sz w:val="17"/>
          <w:szCs w:val="17"/>
          <w:b w:val="1"/>
          <w:bCs w:val="1"/>
          <w:color w:val="0071CE"/>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192405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98"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71CE"/>
        </w:rPr>
        <w:t>Victoria Vakiener</w:t>
      </w:r>
    </w:p>
    <w:p>
      <w:pPr>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Serves on:</w:t>
      </w:r>
    </w:p>
    <w:p>
      <w:pPr>
        <w:ind w:left="240" w:hanging="153"/>
        <w:spacing w:after="0"/>
        <w:tabs>
          <w:tab w:leader="none" w:pos="240" w:val="left"/>
        </w:tabs>
        <w:numPr>
          <w:ilvl w:val="0"/>
          <w:numId w:val="12"/>
        </w:numPr>
        <w:rPr>
          <w:rFonts w:ascii="Arial" w:cs="Arial" w:eastAsia="Arial" w:hAnsi="Arial"/>
          <w:sz w:val="16"/>
          <w:szCs w:val="16"/>
          <w:color w:val="026DCE"/>
        </w:rPr>
      </w:pPr>
      <w:r>
        <w:rPr>
          <w:rFonts w:ascii="Arial" w:cs="Arial" w:eastAsia="Arial" w:hAnsi="Arial"/>
          <w:sz w:val="16"/>
          <w:szCs w:val="16"/>
          <w:color w:val="auto"/>
        </w:rPr>
        <w:t>Nomination Committee (Chair)</w:t>
      </w:r>
    </w:p>
    <w:p>
      <w:pPr>
        <w:ind w:left="240" w:hanging="153"/>
        <w:spacing w:after="0"/>
        <w:tabs>
          <w:tab w:leader="none" w:pos="240" w:val="left"/>
        </w:tabs>
        <w:numPr>
          <w:ilvl w:val="0"/>
          <w:numId w:val="12"/>
        </w:numPr>
        <w:rPr>
          <w:rFonts w:ascii="Arial" w:cs="Arial" w:eastAsia="Arial" w:hAnsi="Arial"/>
          <w:sz w:val="16"/>
          <w:szCs w:val="16"/>
          <w:color w:val="026DCE"/>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Ms. Vakiener served on the board of directors and chaired the nominating committee at Chimerix, Inc., a clinical-stage biopharmaceutical company, until its acquisition by Jazz Pharmaceuticals in April 2025. From November 2018 through September 2021, she served as Chief Commercial Officer of Epizyme, Inc., a commercial-stage biopharmaceutical company, where she built the commercial organization and launched TAZVERIK for two indications within six months. Prior to joining Epizyme, Ms. Vakiener was an executive at Johnson &amp; Johnson, a pharmaceutical company, for more than 20 years where she held positions of leadership with increasing responsibility across the company's pharmaceutical and diagnostics businesses. Ms. Vakiener began her pharmaceutical career at Schering-Plough, where she spent nine years in both scientific and commercial roles. Ms. Vakiener received a B.S. in Biochemistry from Albright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596265</wp:posOffset>
            </wp:positionV>
            <wp:extent cx="4928870" cy="814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88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jc w:val="both"/>
        <w:ind w:left="140" w:right="20"/>
        <w:spacing w:after="0" w:line="256" w:lineRule="auto"/>
        <w:rPr>
          <w:sz w:val="20"/>
          <w:szCs w:val="20"/>
          <w:color w:val="auto"/>
        </w:rPr>
      </w:pPr>
      <w:r>
        <w:rPr>
          <w:rFonts w:ascii="Arial" w:cs="Arial" w:eastAsia="Arial" w:hAnsi="Arial"/>
          <w:sz w:val="16"/>
          <w:szCs w:val="16"/>
          <w:color w:val="auto"/>
        </w:rPr>
        <w:t>Ms. Vakiener's qualifications to serve on the board include her extensive experience in drug development and commercialization, including executive level leadership roles and directorships in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165100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740"/>
          </w:cols>
          <w:pgMar w:left="340" w:top="198"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0071CE"/>
        </w:rPr>
        <w:t>William Waddill</w:t>
      </w:r>
    </w:p>
    <w:p>
      <w:pPr>
        <w:spacing w:after="0"/>
        <w:rPr>
          <w:sz w:val="20"/>
          <w:szCs w:val="20"/>
          <w:color w:val="auto"/>
        </w:rPr>
      </w:pPr>
      <w:r>
        <w:rPr>
          <w:rFonts w:ascii="Arial" w:cs="Arial" w:eastAsia="Arial" w:hAnsi="Arial"/>
          <w:sz w:val="19"/>
          <w:szCs w:val="19"/>
          <w:b w:val="1"/>
          <w:bCs w:val="1"/>
          <w:i w:val="1"/>
          <w:iCs w:val="1"/>
          <w:color w:val="026DCE"/>
        </w:rPr>
        <w:t>Lead I</w:t>
      </w:r>
      <w:r>
        <w:rPr>
          <w:rFonts w:ascii="Arial" w:cs="Arial" w:eastAsia="Arial" w:hAnsi="Arial"/>
          <w:sz w:val="19"/>
          <w:szCs w:val="19"/>
          <w:b w:val="1"/>
          <w:bCs w:val="1"/>
          <w:i w:val="1"/>
          <w:iCs w:val="1"/>
          <w:color w:val="0071CE"/>
        </w:rPr>
        <w:t>ndependent Director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Serves on:</w:t>
      </w:r>
    </w:p>
    <w:p>
      <w:pPr>
        <w:spacing w:after="0" w:line="8" w:lineRule="exact"/>
        <w:rPr>
          <w:sz w:val="20"/>
          <w:szCs w:val="20"/>
          <w:color w:val="auto"/>
        </w:rPr>
      </w:pPr>
    </w:p>
    <w:p>
      <w:pPr>
        <w:ind w:left="240" w:hanging="152"/>
        <w:spacing w:after="0"/>
        <w:tabs>
          <w:tab w:leader="none" w:pos="24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Audit Committee (Chair)</w:t>
      </w:r>
    </w:p>
    <w:p>
      <w:pPr>
        <w:spacing w:after="0" w:line="5" w:lineRule="exact"/>
        <w:rPr>
          <w:rFonts w:ascii="Arial" w:cs="Arial" w:eastAsia="Arial" w:hAnsi="Arial"/>
          <w:sz w:val="16"/>
          <w:szCs w:val="16"/>
          <w:color w:val="0071CE"/>
        </w:rPr>
      </w:pPr>
    </w:p>
    <w:p>
      <w:pPr>
        <w:ind w:left="240" w:hanging="152"/>
        <w:spacing w:after="0" w:line="211" w:lineRule="auto"/>
        <w:tabs>
          <w:tab w:leader="none" w:pos="24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 Compensation Committee</w:t>
      </w:r>
    </w:p>
    <w:p>
      <w:pPr>
        <w:ind w:left="240" w:hanging="152"/>
        <w:spacing w:after="0"/>
        <w:tabs>
          <w:tab w:leader="none" w:pos="240" w:val="left"/>
        </w:tabs>
        <w:numPr>
          <w:ilvl w:val="0"/>
          <w:numId w:val="13"/>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Boards:</w:t>
      </w:r>
    </w:p>
    <w:p>
      <w:pPr>
        <w:ind w:left="240" w:hanging="152"/>
        <w:spacing w:after="0"/>
        <w:tabs>
          <w:tab w:leader="none" w:pos="2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Protagonist Therapeutics, Inc.</w:t>
      </w:r>
    </w:p>
    <w:p>
      <w:pPr>
        <w:ind w:left="240" w:hanging="152"/>
        <w:spacing w:after="0"/>
        <w:tabs>
          <w:tab w:leader="none" w:pos="2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 Annexon,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40"/>
        <w:spacing w:after="0" w:line="255" w:lineRule="auto"/>
        <w:rPr>
          <w:sz w:val="20"/>
          <w:szCs w:val="20"/>
          <w:color w:val="auto"/>
        </w:rPr>
      </w:pPr>
      <w:r>
        <w:rPr>
          <w:rFonts w:ascii="Arial" w:cs="Arial" w:eastAsia="Arial" w:hAnsi="Arial"/>
          <w:sz w:val="16"/>
          <w:szCs w:val="16"/>
          <w:color w:val="auto"/>
        </w:rPr>
        <w:t>Mr. Waddill began his career over 35 years ago in commercial banking and public accounting and has been in the biotechnology industry for over 30 years. He currently serves on the boards of Protagonist Therapeutics (Nasdaq: PTGX), and Annexon, Inc. (Nasdaq: ANNX), both clinical-stage biopharmaceutical companies, and he previously served on the board of Turnstone Biologics. Mr. Waddill was Senior Vice President and CFO of Calithera Biosciences, from 2014 to 2016 and Senior Vice President and CFO at OncoMed Pharmaceuticals from 2007 to 2014, both of which were then-public biopharmaceutical companies. Prior to that, he served as the Senior Vice President and CFO of llypsa, Inc., a biotechnology company that was acquired in 2007 by Amgen, Inc. Before joining llypsa, he served as the founder and principal at Square One Finance, a financial consulting business. 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544830</wp:posOffset>
            </wp:positionV>
            <wp:extent cx="4920615" cy="8483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061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jc w:val="both"/>
        <w:ind w:left="140" w:right="40"/>
        <w:spacing w:after="0" w:line="264"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and audit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153035</wp:posOffset>
            </wp:positionV>
            <wp:extent cx="71234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718820</wp:posOffset>
            </wp:positionV>
            <wp:extent cx="98615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720"/>
            <w:col w:w="7740"/>
          </w:cols>
          <w:pgMar w:left="34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100"/>
        <w:spacing w:after="0"/>
        <w:rPr>
          <w:sz w:val="20"/>
          <w:szCs w:val="20"/>
          <w:color w:val="auto"/>
        </w:rPr>
      </w:pPr>
      <w:r>
        <w:rPr>
          <w:rFonts w:ascii="Arial" w:cs="Arial" w:eastAsia="Arial" w:hAnsi="Arial"/>
          <w:sz w:val="17"/>
          <w:szCs w:val="17"/>
          <w:b w:val="1"/>
          <w:bCs w:val="1"/>
          <w:color w:val="0071CE"/>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200660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98"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Nomination Committee of the Board annually considers the size, composition and needs of the Board and, as appropriate, recommends the nominees for directors to the Board for approval. The Nomination Committee considers and evaluates suggestions from many sources regarding possible candidates for directors. Below are general criteria for the evaluation of current and proposed directors:</w:t>
      </w:r>
    </w:p>
    <w:p>
      <w:pPr>
        <w:spacing w:after="0" w:line="8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highest ethical character and shared values with our Code of Conduct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Accomplishment within a candidate’s field, with superior credentials and recognition</w:t>
      </w:r>
    </w:p>
    <w:p>
      <w:pPr>
        <w:spacing w:after="0" w:line="113"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Relevant expertise and experience and the ability to offer advice and guidance to the Chief Executive Officer based on such expertise and experience</w:t>
      </w:r>
    </w:p>
    <w:p>
      <w:pPr>
        <w:spacing w:after="0" w:line="29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exercise sound business judgment</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Nomination Committee believes that the Board should represent a diverse mix of skills, regional and industry experience and backgrounds with a goal of assembling a Board with complementary skills, experiences and backgrounds for the benefit of the Company. In furtherance of this goal, the Committee seeks to include highly qualified candidates with diverse backgrounds in the pool from which the Nominating Committee selects the nominees with the skills, experience and qualifications that it believes best support the Company in the context of the Board as a whole. The Nominating Committee assesses its effectiveness in balancing these considerations as part of its annual assessment of the composition of the Board. In this regard, two of our directors are female and one of our directors is from an underrepresented community.</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Listed below are selected key contributions of each current Board member. The table is not intended to be an exhaustive summary of all the contributions of each Board member.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00" w:type="dxa"/>
            <w:vAlign w:val="bottom"/>
            <w:tcBorders>
              <w:bottom w:val="single" w:sz="8" w:color="0071CE"/>
            </w:tcBorders>
            <w:shd w:val="clear" w:color="auto" w:fill="0071CE"/>
          </w:tcPr>
          <w:p>
            <w:pPr>
              <w:ind w:left="840"/>
              <w:spacing w:after="0"/>
              <w:rPr>
                <w:sz w:val="20"/>
                <w:szCs w:val="20"/>
                <w:color w:val="auto"/>
              </w:rPr>
            </w:pPr>
            <w:r>
              <w:rPr>
                <w:rFonts w:ascii="Arial" w:cs="Arial" w:eastAsia="Arial" w:hAnsi="Arial"/>
                <w:sz w:val="14"/>
                <w:szCs w:val="14"/>
                <w:b w:val="1"/>
                <w:bCs w:val="1"/>
                <w:color w:val="FFFFFF"/>
              </w:rPr>
              <w:t>Expertise</w:t>
            </w:r>
          </w:p>
        </w:tc>
        <w:tc>
          <w:tcPr>
            <w:tcW w:w="1320" w:type="dxa"/>
            <w:vAlign w:val="bottom"/>
            <w:tcBorders>
              <w:bottom w:val="single" w:sz="8" w:color="0071CE"/>
            </w:tcBorders>
            <w:shd w:val="clear" w:color="auto" w:fill="0071CE"/>
          </w:tcPr>
          <w:p>
            <w:pPr>
              <w:jc w:val="center"/>
              <w:ind w:left="84"/>
              <w:spacing w:after="0"/>
              <w:rPr>
                <w:sz w:val="20"/>
                <w:szCs w:val="20"/>
                <w:color w:val="auto"/>
              </w:rPr>
            </w:pPr>
            <w:r>
              <w:rPr>
                <w:rFonts w:ascii="Arial" w:cs="Arial" w:eastAsia="Arial" w:hAnsi="Arial"/>
                <w:sz w:val="14"/>
                <w:szCs w:val="14"/>
                <w:b w:val="1"/>
                <w:bCs w:val="1"/>
                <w:color w:val="FFFFFF"/>
              </w:rPr>
              <w:t>Anzalone</w:t>
            </w:r>
          </w:p>
        </w:tc>
        <w:tc>
          <w:tcPr>
            <w:tcW w:w="1100" w:type="dxa"/>
            <w:vAlign w:val="bottom"/>
            <w:tcBorders>
              <w:bottom w:val="single" w:sz="8" w:color="0071CE"/>
            </w:tcBorders>
            <w:shd w:val="clear" w:color="auto" w:fill="0071CE"/>
          </w:tcPr>
          <w:p>
            <w:pPr>
              <w:jc w:val="center"/>
              <w:ind w:right="44"/>
              <w:spacing w:after="0"/>
              <w:rPr>
                <w:sz w:val="20"/>
                <w:szCs w:val="20"/>
                <w:color w:val="auto"/>
              </w:rPr>
            </w:pPr>
            <w:r>
              <w:rPr>
                <w:rFonts w:ascii="Arial" w:cs="Arial" w:eastAsia="Arial" w:hAnsi="Arial"/>
                <w:sz w:val="14"/>
                <w:szCs w:val="14"/>
                <w:b w:val="1"/>
                <w:bCs w:val="1"/>
                <w:color w:val="FFFFFF"/>
              </w:rPr>
              <w:t>Ferrari</w:t>
            </w:r>
          </w:p>
        </w:tc>
        <w:tc>
          <w:tcPr>
            <w:tcW w:w="9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Lu</w:t>
            </w:r>
          </w:p>
        </w:tc>
        <w:tc>
          <w:tcPr>
            <w:tcW w:w="12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Olukotun</w:t>
            </w:r>
          </w:p>
        </w:tc>
        <w:tc>
          <w:tcPr>
            <w:tcW w:w="9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12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Vakiener</w:t>
            </w:r>
          </w:p>
        </w:tc>
        <w:tc>
          <w:tcPr>
            <w:tcW w:w="1240" w:type="dxa"/>
            <w:vAlign w:val="bottom"/>
            <w:tcBorders>
              <w:bottom w:val="single" w:sz="8" w:color="0071CE"/>
            </w:tcBorders>
            <w:shd w:val="clear" w:color="auto" w:fill="0071CE"/>
          </w:tcPr>
          <w:p>
            <w:pPr>
              <w:jc w:val="center"/>
              <w:ind w:right="24"/>
              <w:spacing w:after="0"/>
              <w:rPr>
                <w:sz w:val="20"/>
                <w:szCs w:val="20"/>
                <w:color w:val="auto"/>
              </w:rPr>
            </w:pPr>
            <w:r>
              <w:rPr>
                <w:rFonts w:ascii="Arial" w:cs="Arial" w:eastAsia="Arial" w:hAnsi="Arial"/>
                <w:sz w:val="14"/>
                <w:szCs w:val="14"/>
                <w:b w:val="1"/>
                <w:bCs w:val="1"/>
                <w:color w:val="FFFFFF"/>
              </w:rPr>
              <w:t>Waddill</w:t>
            </w:r>
          </w:p>
        </w:tc>
        <w:tc>
          <w:tcPr>
            <w:tcW w:w="0" w:type="dxa"/>
            <w:vAlign w:val="bottom"/>
          </w:tcPr>
          <w:p>
            <w:pPr>
              <w:spacing w:after="0"/>
              <w:rPr>
                <w:sz w:val="1"/>
                <w:szCs w:val="1"/>
                <w:color w:val="auto"/>
              </w:rPr>
            </w:pPr>
          </w:p>
        </w:tc>
      </w:tr>
      <w:tr>
        <w:trPr>
          <w:trHeight w:val="189"/>
        </w:trPr>
        <w:tc>
          <w:tcPr>
            <w:tcW w:w="200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Biopharma Research</w:t>
            </w:r>
          </w:p>
        </w:tc>
        <w:tc>
          <w:tcPr>
            <w:tcW w:w="1320" w:type="dxa"/>
            <w:vAlign w:val="bottom"/>
            <w:vMerge w:val="restart"/>
            <w:shd w:val="clear" w:color="auto" w:fill="E5E5E5"/>
          </w:tcPr>
          <w:p>
            <w:pPr>
              <w:jc w:val="center"/>
              <w:ind w:left="64"/>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vMerge w:val="restart"/>
            <w:shd w:val="clear" w:color="auto" w:fill="E5E5E5"/>
          </w:tcPr>
          <w:p>
            <w:pPr>
              <w:jc w:val="center"/>
              <w:ind w:right="4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vMerge w:val="restart"/>
            <w:shd w:val="clear" w:color="auto" w:fill="E5E5E5"/>
          </w:tcPr>
          <w:p>
            <w:pPr>
              <w:jc w:val="center"/>
              <w:ind w:righ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229"/>
        </w:trPr>
        <w:tc>
          <w:tcPr>
            <w:tcW w:w="200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&amp; Development</w:t>
            </w:r>
          </w:p>
        </w:tc>
        <w:tc>
          <w:tcPr>
            <w:tcW w:w="1320" w:type="dxa"/>
            <w:vAlign w:val="bottom"/>
            <w:vMerge w:val="continue"/>
            <w:shd w:val="clear" w:color="auto" w:fill="E5E5E5"/>
          </w:tcPr>
          <w:p>
            <w:pPr>
              <w:spacing w:after="0"/>
              <w:rPr>
                <w:sz w:val="19"/>
                <w:szCs w:val="19"/>
                <w:color w:val="auto"/>
              </w:rPr>
            </w:pPr>
          </w:p>
        </w:tc>
        <w:tc>
          <w:tcPr>
            <w:tcW w:w="1100" w:type="dxa"/>
            <w:vAlign w:val="bottom"/>
            <w:vMerge w:val="continue"/>
            <w:shd w:val="clear" w:color="auto" w:fill="E5E5E5"/>
          </w:tcPr>
          <w:p>
            <w:pPr>
              <w:spacing w:after="0"/>
              <w:rPr>
                <w:sz w:val="19"/>
                <w:szCs w:val="19"/>
                <w:color w:val="auto"/>
              </w:rPr>
            </w:pPr>
          </w:p>
        </w:tc>
        <w:tc>
          <w:tcPr>
            <w:tcW w:w="940" w:type="dxa"/>
            <w:vAlign w:val="bottom"/>
            <w:vMerge w:val="continue"/>
            <w:shd w:val="clear" w:color="auto" w:fill="E5E5E5"/>
          </w:tcPr>
          <w:p>
            <w:pPr>
              <w:spacing w:after="0"/>
              <w:rPr>
                <w:sz w:val="19"/>
                <w:szCs w:val="19"/>
                <w:color w:val="auto"/>
              </w:rPr>
            </w:pPr>
          </w:p>
        </w:tc>
        <w:tc>
          <w:tcPr>
            <w:tcW w:w="1280" w:type="dxa"/>
            <w:vAlign w:val="bottom"/>
            <w:vMerge w:val="continue"/>
            <w:shd w:val="clear" w:color="auto" w:fill="E5E5E5"/>
          </w:tcPr>
          <w:p>
            <w:pPr>
              <w:spacing w:after="0"/>
              <w:rPr>
                <w:sz w:val="19"/>
                <w:szCs w:val="19"/>
                <w:color w:val="auto"/>
              </w:rPr>
            </w:pPr>
          </w:p>
        </w:tc>
        <w:tc>
          <w:tcPr>
            <w:tcW w:w="960" w:type="dxa"/>
            <w:vAlign w:val="bottom"/>
            <w:vMerge w:val="continue"/>
            <w:shd w:val="clear" w:color="auto" w:fill="E5E5E5"/>
          </w:tcPr>
          <w:p>
            <w:pPr>
              <w:spacing w:after="0"/>
              <w:rPr>
                <w:sz w:val="19"/>
                <w:szCs w:val="19"/>
                <w:color w:val="auto"/>
              </w:rPr>
            </w:pPr>
          </w:p>
        </w:tc>
        <w:tc>
          <w:tcPr>
            <w:tcW w:w="1220" w:type="dxa"/>
            <w:vAlign w:val="bottom"/>
            <w:vMerge w:val="continue"/>
            <w:shd w:val="clear" w:color="auto" w:fill="E5E5E5"/>
          </w:tcPr>
          <w:p>
            <w:pPr>
              <w:spacing w:after="0"/>
              <w:rPr>
                <w:sz w:val="19"/>
                <w:szCs w:val="19"/>
                <w:color w:val="auto"/>
              </w:rPr>
            </w:pPr>
          </w:p>
        </w:tc>
        <w:tc>
          <w:tcPr>
            <w:tcW w:w="124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00" w:type="dxa"/>
            <w:vAlign w:val="bottom"/>
          </w:tcPr>
          <w:p>
            <w:pPr>
              <w:ind w:left="20"/>
              <w:spacing w:after="0"/>
              <w:rPr>
                <w:sz w:val="20"/>
                <w:szCs w:val="20"/>
                <w:color w:val="auto"/>
              </w:rPr>
            </w:pPr>
            <w:r>
              <w:rPr>
                <w:rFonts w:ascii="Arial" w:cs="Arial" w:eastAsia="Arial" w:hAnsi="Arial"/>
                <w:sz w:val="15"/>
                <w:szCs w:val="15"/>
                <w:b w:val="1"/>
                <w:bCs w:val="1"/>
                <w:color w:val="auto"/>
              </w:rPr>
              <w:t>Healthcare</w:t>
            </w:r>
          </w:p>
        </w:tc>
        <w:tc>
          <w:tcPr>
            <w:tcW w:w="1320" w:type="dxa"/>
            <w:vAlign w:val="bottom"/>
          </w:tcPr>
          <w:p>
            <w:pPr>
              <w:jc w:val="center"/>
              <w:ind w:left="64"/>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tcPr>
          <w:p>
            <w:pPr>
              <w:jc w:val="center"/>
              <w:ind w:right="4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200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Drug Development</w:t>
            </w:r>
          </w:p>
        </w:tc>
        <w:tc>
          <w:tcPr>
            <w:tcW w:w="1320" w:type="dxa"/>
            <w:vAlign w:val="bottom"/>
            <w:shd w:val="clear" w:color="auto" w:fill="E5E5E5"/>
          </w:tcPr>
          <w:p>
            <w:pPr>
              <w:jc w:val="center"/>
              <w:ind w:left="64"/>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shd w:val="clear" w:color="auto" w:fill="E5E5E5"/>
          </w:tcPr>
          <w:p>
            <w:pPr>
              <w:jc w:val="center"/>
              <w:ind w:right="4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shd w:val="clear" w:color="auto" w:fill="E5E5E5"/>
          </w:tcPr>
          <w:p>
            <w:pPr>
              <w:spacing w:after="0"/>
              <w:rPr>
                <w:sz w:val="24"/>
                <w:szCs w:val="24"/>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000" w:type="dxa"/>
            <w:vAlign w:val="bottom"/>
            <w:shd w:val="clear" w:color="auto" w:fill="E5E5E5"/>
          </w:tcPr>
          <w:p>
            <w:pPr>
              <w:spacing w:after="0"/>
              <w:rPr>
                <w:sz w:val="5"/>
                <w:szCs w:val="5"/>
                <w:color w:val="auto"/>
              </w:rPr>
            </w:pPr>
          </w:p>
        </w:tc>
        <w:tc>
          <w:tcPr>
            <w:tcW w:w="1320" w:type="dxa"/>
            <w:vAlign w:val="bottom"/>
            <w:shd w:val="clear" w:color="auto" w:fill="E5E5E5"/>
          </w:tcPr>
          <w:p>
            <w:pPr>
              <w:spacing w:after="0"/>
              <w:rPr>
                <w:sz w:val="5"/>
                <w:szCs w:val="5"/>
                <w:color w:val="auto"/>
              </w:rPr>
            </w:pPr>
          </w:p>
        </w:tc>
        <w:tc>
          <w:tcPr>
            <w:tcW w:w="1100" w:type="dxa"/>
            <w:vAlign w:val="bottom"/>
            <w:shd w:val="clear" w:color="auto" w:fill="E5E5E5"/>
          </w:tcPr>
          <w:p>
            <w:pPr>
              <w:spacing w:after="0"/>
              <w:rPr>
                <w:sz w:val="5"/>
                <w:szCs w:val="5"/>
                <w:color w:val="auto"/>
              </w:rPr>
            </w:pPr>
          </w:p>
        </w:tc>
        <w:tc>
          <w:tcPr>
            <w:tcW w:w="940" w:type="dxa"/>
            <w:vAlign w:val="bottom"/>
            <w:shd w:val="clear" w:color="auto" w:fill="E5E5E5"/>
          </w:tcPr>
          <w:p>
            <w:pPr>
              <w:spacing w:after="0"/>
              <w:rPr>
                <w:sz w:val="5"/>
                <w:szCs w:val="5"/>
                <w:color w:val="auto"/>
              </w:rPr>
            </w:pPr>
          </w:p>
        </w:tc>
        <w:tc>
          <w:tcPr>
            <w:tcW w:w="1280" w:type="dxa"/>
            <w:vAlign w:val="bottom"/>
            <w:shd w:val="clear" w:color="auto" w:fill="E5E5E5"/>
          </w:tcPr>
          <w:p>
            <w:pPr>
              <w:spacing w:after="0"/>
              <w:rPr>
                <w:sz w:val="5"/>
                <w:szCs w:val="5"/>
                <w:color w:val="auto"/>
              </w:rPr>
            </w:pPr>
          </w:p>
        </w:tc>
        <w:tc>
          <w:tcPr>
            <w:tcW w:w="960" w:type="dxa"/>
            <w:vAlign w:val="bottom"/>
            <w:shd w:val="clear" w:color="auto" w:fill="E5E5E5"/>
          </w:tcPr>
          <w:p>
            <w:pPr>
              <w:spacing w:after="0"/>
              <w:rPr>
                <w:sz w:val="5"/>
                <w:szCs w:val="5"/>
                <w:color w:val="auto"/>
              </w:rPr>
            </w:pPr>
          </w:p>
        </w:tc>
        <w:tc>
          <w:tcPr>
            <w:tcW w:w="1220" w:type="dxa"/>
            <w:vAlign w:val="bottom"/>
            <w:shd w:val="clear" w:color="auto" w:fill="E5E5E5"/>
          </w:tcPr>
          <w:p>
            <w:pPr>
              <w:spacing w:after="0"/>
              <w:rPr>
                <w:sz w:val="5"/>
                <w:szCs w:val="5"/>
                <w:color w:val="auto"/>
              </w:rPr>
            </w:pPr>
          </w:p>
        </w:tc>
        <w:tc>
          <w:tcPr>
            <w:tcW w:w="124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2000" w:type="dxa"/>
            <w:vAlign w:val="bottom"/>
          </w:tcPr>
          <w:p>
            <w:pPr>
              <w:ind w:left="20"/>
              <w:spacing w:after="0"/>
              <w:rPr>
                <w:sz w:val="20"/>
                <w:szCs w:val="20"/>
                <w:color w:val="auto"/>
              </w:rPr>
            </w:pPr>
            <w:r>
              <w:rPr>
                <w:rFonts w:ascii="Arial" w:cs="Arial" w:eastAsia="Arial" w:hAnsi="Arial"/>
                <w:sz w:val="15"/>
                <w:szCs w:val="15"/>
                <w:b w:val="1"/>
                <w:bCs w:val="1"/>
                <w:color w:val="auto"/>
              </w:rPr>
              <w:t>Executive Leadership</w:t>
            </w:r>
          </w:p>
        </w:tc>
        <w:tc>
          <w:tcPr>
            <w:tcW w:w="1320" w:type="dxa"/>
            <w:vAlign w:val="bottom"/>
          </w:tcPr>
          <w:p>
            <w:pPr>
              <w:jc w:val="center"/>
              <w:ind w:left="64"/>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tcPr>
          <w:p>
            <w:pPr>
              <w:jc w:val="center"/>
              <w:ind w:right="4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0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Public Company</w:t>
            </w:r>
          </w:p>
        </w:tc>
        <w:tc>
          <w:tcPr>
            <w:tcW w:w="1320" w:type="dxa"/>
            <w:vAlign w:val="bottom"/>
            <w:vMerge w:val="restart"/>
            <w:shd w:val="clear" w:color="auto" w:fill="E5E5E5"/>
          </w:tcPr>
          <w:p>
            <w:pPr>
              <w:jc w:val="center"/>
              <w:ind w:left="64"/>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vMerge w:val="restart"/>
            <w:shd w:val="clear" w:color="auto" w:fill="E5E5E5"/>
          </w:tcPr>
          <w:p>
            <w:pPr>
              <w:jc w:val="center"/>
              <w:ind w:right="4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vMerge w:val="restart"/>
            <w:shd w:val="clear" w:color="auto" w:fill="E5E5E5"/>
          </w:tcPr>
          <w:p>
            <w:pPr>
              <w:jc w:val="center"/>
              <w:ind w:righ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154"/>
        </w:trPr>
        <w:tc>
          <w:tcPr>
            <w:tcW w:w="2000" w:type="dxa"/>
            <w:vAlign w:val="bottom"/>
            <w:vMerge w:val="restart"/>
            <w:shd w:val="clear" w:color="auto" w:fill="E5E5E5"/>
          </w:tcPr>
          <w:p>
            <w:pPr>
              <w:ind w:left="20"/>
              <w:spacing w:after="0"/>
              <w:rPr>
                <w:sz w:val="20"/>
                <w:szCs w:val="20"/>
                <w:color w:val="auto"/>
              </w:rPr>
            </w:pPr>
            <w:r>
              <w:rPr>
                <w:rFonts w:ascii="Arial" w:cs="Arial" w:eastAsia="Arial" w:hAnsi="Arial"/>
                <w:sz w:val="15"/>
                <w:szCs w:val="15"/>
                <w:b w:val="1"/>
                <w:bCs w:val="1"/>
                <w:color w:val="auto"/>
              </w:rPr>
              <w:t>Governance</w:t>
            </w:r>
          </w:p>
        </w:tc>
        <w:tc>
          <w:tcPr>
            <w:tcW w:w="1320" w:type="dxa"/>
            <w:vAlign w:val="bottom"/>
            <w:vMerge w:val="continue"/>
            <w:shd w:val="clear" w:color="auto" w:fill="E5E5E5"/>
          </w:tcPr>
          <w:p>
            <w:pPr>
              <w:spacing w:after="0"/>
              <w:rPr>
                <w:sz w:val="13"/>
                <w:szCs w:val="13"/>
                <w:color w:val="auto"/>
              </w:rPr>
            </w:pPr>
          </w:p>
        </w:tc>
        <w:tc>
          <w:tcPr>
            <w:tcW w:w="1100" w:type="dxa"/>
            <w:vAlign w:val="bottom"/>
            <w:vMerge w:val="continue"/>
            <w:shd w:val="clear" w:color="auto" w:fill="E5E5E5"/>
          </w:tcPr>
          <w:p>
            <w:pPr>
              <w:spacing w:after="0"/>
              <w:rPr>
                <w:sz w:val="13"/>
                <w:szCs w:val="13"/>
                <w:color w:val="auto"/>
              </w:rPr>
            </w:pPr>
          </w:p>
        </w:tc>
        <w:tc>
          <w:tcPr>
            <w:tcW w:w="940" w:type="dxa"/>
            <w:vAlign w:val="bottom"/>
            <w:vMerge w:val="continue"/>
            <w:shd w:val="clear" w:color="auto" w:fill="E5E5E5"/>
          </w:tcPr>
          <w:p>
            <w:pPr>
              <w:spacing w:after="0"/>
              <w:rPr>
                <w:sz w:val="13"/>
                <w:szCs w:val="13"/>
                <w:color w:val="auto"/>
              </w:rPr>
            </w:pPr>
          </w:p>
        </w:tc>
        <w:tc>
          <w:tcPr>
            <w:tcW w:w="1280" w:type="dxa"/>
            <w:vAlign w:val="bottom"/>
            <w:vMerge w:val="continue"/>
            <w:shd w:val="clear" w:color="auto" w:fill="E5E5E5"/>
          </w:tcPr>
          <w:p>
            <w:pPr>
              <w:spacing w:after="0"/>
              <w:rPr>
                <w:sz w:val="13"/>
                <w:szCs w:val="13"/>
                <w:color w:val="auto"/>
              </w:rPr>
            </w:pPr>
          </w:p>
        </w:tc>
        <w:tc>
          <w:tcPr>
            <w:tcW w:w="960" w:type="dxa"/>
            <w:vAlign w:val="bottom"/>
            <w:vMerge w:val="continue"/>
            <w:shd w:val="clear" w:color="auto" w:fill="E5E5E5"/>
          </w:tcPr>
          <w:p>
            <w:pPr>
              <w:spacing w:after="0"/>
              <w:rPr>
                <w:sz w:val="13"/>
                <w:szCs w:val="13"/>
                <w:color w:val="auto"/>
              </w:rPr>
            </w:pPr>
          </w:p>
        </w:tc>
        <w:tc>
          <w:tcPr>
            <w:tcW w:w="1220" w:type="dxa"/>
            <w:vAlign w:val="bottom"/>
            <w:vMerge w:val="continue"/>
            <w:shd w:val="clear" w:color="auto" w:fill="E5E5E5"/>
          </w:tcPr>
          <w:p>
            <w:pPr>
              <w:spacing w:after="0"/>
              <w:rPr>
                <w:sz w:val="13"/>
                <w:szCs w:val="13"/>
                <w:color w:val="auto"/>
              </w:rPr>
            </w:pPr>
          </w:p>
        </w:tc>
        <w:tc>
          <w:tcPr>
            <w:tcW w:w="1240" w:type="dxa"/>
            <w:vAlign w:val="bottom"/>
            <w:vMerge w:val="continue"/>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2000" w:type="dxa"/>
            <w:vAlign w:val="bottom"/>
            <w:vMerge w:val="continue"/>
            <w:shd w:val="clear" w:color="auto" w:fill="E5E5E5"/>
          </w:tcPr>
          <w:p>
            <w:pPr>
              <w:spacing w:after="0"/>
              <w:rPr>
                <w:sz w:val="4"/>
                <w:szCs w:val="4"/>
                <w:color w:val="auto"/>
              </w:rPr>
            </w:pPr>
          </w:p>
        </w:tc>
        <w:tc>
          <w:tcPr>
            <w:tcW w:w="1320" w:type="dxa"/>
            <w:vAlign w:val="bottom"/>
            <w:shd w:val="clear" w:color="auto" w:fill="E5E5E5"/>
          </w:tcPr>
          <w:p>
            <w:pPr>
              <w:spacing w:after="0"/>
              <w:rPr>
                <w:sz w:val="4"/>
                <w:szCs w:val="4"/>
                <w:color w:val="auto"/>
              </w:rPr>
            </w:pPr>
          </w:p>
        </w:tc>
        <w:tc>
          <w:tcPr>
            <w:tcW w:w="1100" w:type="dxa"/>
            <w:vAlign w:val="bottom"/>
            <w:shd w:val="clear" w:color="auto" w:fill="E5E5E5"/>
          </w:tcPr>
          <w:p>
            <w:pPr>
              <w:spacing w:after="0"/>
              <w:rPr>
                <w:sz w:val="4"/>
                <w:szCs w:val="4"/>
                <w:color w:val="auto"/>
              </w:rPr>
            </w:pPr>
          </w:p>
        </w:tc>
        <w:tc>
          <w:tcPr>
            <w:tcW w:w="940" w:type="dxa"/>
            <w:vAlign w:val="bottom"/>
            <w:shd w:val="clear" w:color="auto" w:fill="E5E5E5"/>
          </w:tcPr>
          <w:p>
            <w:pPr>
              <w:spacing w:after="0"/>
              <w:rPr>
                <w:sz w:val="4"/>
                <w:szCs w:val="4"/>
                <w:color w:val="auto"/>
              </w:rPr>
            </w:pPr>
          </w:p>
        </w:tc>
        <w:tc>
          <w:tcPr>
            <w:tcW w:w="1280" w:type="dxa"/>
            <w:vAlign w:val="bottom"/>
            <w:shd w:val="clear" w:color="auto" w:fill="E5E5E5"/>
          </w:tcPr>
          <w:p>
            <w:pPr>
              <w:spacing w:after="0"/>
              <w:rPr>
                <w:sz w:val="4"/>
                <w:szCs w:val="4"/>
                <w:color w:val="auto"/>
              </w:rPr>
            </w:pPr>
          </w:p>
        </w:tc>
        <w:tc>
          <w:tcPr>
            <w:tcW w:w="960" w:type="dxa"/>
            <w:vAlign w:val="bottom"/>
            <w:shd w:val="clear" w:color="auto" w:fill="E5E5E5"/>
          </w:tcPr>
          <w:p>
            <w:pPr>
              <w:spacing w:after="0"/>
              <w:rPr>
                <w:sz w:val="4"/>
                <w:szCs w:val="4"/>
                <w:color w:val="auto"/>
              </w:rPr>
            </w:pPr>
          </w:p>
        </w:tc>
        <w:tc>
          <w:tcPr>
            <w:tcW w:w="1220" w:type="dxa"/>
            <w:vAlign w:val="bottom"/>
            <w:shd w:val="clear" w:color="auto" w:fill="E5E5E5"/>
          </w:tcPr>
          <w:p>
            <w:pPr>
              <w:spacing w:after="0"/>
              <w:rPr>
                <w:sz w:val="4"/>
                <w:szCs w:val="4"/>
                <w:color w:val="auto"/>
              </w:rPr>
            </w:pPr>
          </w:p>
        </w:tc>
        <w:tc>
          <w:tcPr>
            <w:tcW w:w="124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00" w:type="dxa"/>
            <w:vAlign w:val="bottom"/>
            <w:shd w:val="clear" w:color="auto" w:fill="E5E5E5"/>
          </w:tcPr>
          <w:p>
            <w:pPr>
              <w:spacing w:after="0"/>
              <w:rPr>
                <w:sz w:val="6"/>
                <w:szCs w:val="6"/>
                <w:color w:val="auto"/>
              </w:rPr>
            </w:pPr>
          </w:p>
        </w:tc>
        <w:tc>
          <w:tcPr>
            <w:tcW w:w="1320" w:type="dxa"/>
            <w:vAlign w:val="bottom"/>
            <w:shd w:val="clear" w:color="auto" w:fill="E5E5E5"/>
          </w:tcPr>
          <w:p>
            <w:pPr>
              <w:spacing w:after="0"/>
              <w:rPr>
                <w:sz w:val="6"/>
                <w:szCs w:val="6"/>
                <w:color w:val="auto"/>
              </w:rPr>
            </w:pPr>
          </w:p>
        </w:tc>
        <w:tc>
          <w:tcPr>
            <w:tcW w:w="1100" w:type="dxa"/>
            <w:vAlign w:val="bottom"/>
            <w:shd w:val="clear" w:color="auto" w:fill="E5E5E5"/>
          </w:tcPr>
          <w:p>
            <w:pPr>
              <w:spacing w:after="0"/>
              <w:rPr>
                <w:sz w:val="6"/>
                <w:szCs w:val="6"/>
                <w:color w:val="auto"/>
              </w:rPr>
            </w:pPr>
          </w:p>
        </w:tc>
        <w:tc>
          <w:tcPr>
            <w:tcW w:w="940" w:type="dxa"/>
            <w:vAlign w:val="bottom"/>
            <w:shd w:val="clear" w:color="auto" w:fill="E5E5E5"/>
          </w:tcPr>
          <w:p>
            <w:pPr>
              <w:spacing w:after="0"/>
              <w:rPr>
                <w:sz w:val="6"/>
                <w:szCs w:val="6"/>
                <w:color w:val="auto"/>
              </w:rPr>
            </w:pPr>
          </w:p>
        </w:tc>
        <w:tc>
          <w:tcPr>
            <w:tcW w:w="1280" w:type="dxa"/>
            <w:vAlign w:val="bottom"/>
            <w:shd w:val="clear" w:color="auto" w:fill="E5E5E5"/>
          </w:tcPr>
          <w:p>
            <w:pPr>
              <w:spacing w:after="0"/>
              <w:rPr>
                <w:sz w:val="6"/>
                <w:szCs w:val="6"/>
                <w:color w:val="auto"/>
              </w:rPr>
            </w:pPr>
          </w:p>
        </w:tc>
        <w:tc>
          <w:tcPr>
            <w:tcW w:w="960" w:type="dxa"/>
            <w:vAlign w:val="bottom"/>
            <w:shd w:val="clear" w:color="auto" w:fill="E5E5E5"/>
          </w:tcPr>
          <w:p>
            <w:pPr>
              <w:spacing w:after="0"/>
              <w:rPr>
                <w:sz w:val="6"/>
                <w:szCs w:val="6"/>
                <w:color w:val="auto"/>
              </w:rPr>
            </w:pPr>
          </w:p>
        </w:tc>
        <w:tc>
          <w:tcPr>
            <w:tcW w:w="1220" w:type="dxa"/>
            <w:vAlign w:val="bottom"/>
            <w:shd w:val="clear" w:color="auto" w:fill="E5E5E5"/>
          </w:tcPr>
          <w:p>
            <w:pPr>
              <w:spacing w:after="0"/>
              <w:rPr>
                <w:sz w:val="6"/>
                <w:szCs w:val="6"/>
                <w:color w:val="auto"/>
              </w:rPr>
            </w:pPr>
          </w:p>
        </w:tc>
        <w:tc>
          <w:tcPr>
            <w:tcW w:w="124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2000" w:type="dxa"/>
            <w:vAlign w:val="bottom"/>
          </w:tcPr>
          <w:p>
            <w:pPr>
              <w:ind w:left="20"/>
              <w:spacing w:after="0"/>
              <w:rPr>
                <w:sz w:val="20"/>
                <w:szCs w:val="20"/>
                <w:color w:val="auto"/>
              </w:rPr>
            </w:pPr>
            <w:r>
              <w:rPr>
                <w:rFonts w:ascii="Arial" w:cs="Arial" w:eastAsia="Arial" w:hAnsi="Arial"/>
                <w:sz w:val="15"/>
                <w:szCs w:val="15"/>
                <w:b w:val="1"/>
                <w:bCs w:val="1"/>
                <w:color w:val="auto"/>
              </w:rPr>
              <w:t>Accounting/Audit</w:t>
            </w:r>
          </w:p>
        </w:tc>
        <w:tc>
          <w:tcPr>
            <w:tcW w:w="1320" w:type="dxa"/>
            <w:vAlign w:val="bottom"/>
          </w:tcPr>
          <w:p>
            <w:pPr>
              <w:spacing w:after="0"/>
              <w:rPr>
                <w:sz w:val="24"/>
                <w:szCs w:val="24"/>
                <w:color w:val="auto"/>
              </w:rPr>
            </w:pPr>
          </w:p>
        </w:tc>
        <w:tc>
          <w:tcPr>
            <w:tcW w:w="1100" w:type="dxa"/>
            <w:vAlign w:val="bottom"/>
          </w:tcPr>
          <w:p>
            <w:pPr>
              <w:jc w:val="center"/>
              <w:ind w:right="44"/>
              <w:spacing w:after="0"/>
              <w:rPr>
                <w:sz w:val="20"/>
                <w:szCs w:val="20"/>
                <w:color w:val="auto"/>
              </w:rPr>
            </w:pPr>
            <w:r>
              <w:rPr>
                <w:rFonts w:ascii="Arial" w:cs="Arial" w:eastAsia="Arial" w:hAnsi="Arial"/>
                <w:sz w:val="15"/>
                <w:szCs w:val="15"/>
                <w:b w:val="1"/>
                <w:bCs w:val="1"/>
                <w:color w:val="0071CE"/>
                <w:w w:val="99"/>
              </w:rPr>
              <w:t>X</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tcPr>
          <w:p>
            <w:pPr>
              <w:jc w:val="center"/>
              <w:ind w:righ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200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Capital Markets</w:t>
            </w:r>
          </w:p>
        </w:tc>
        <w:tc>
          <w:tcPr>
            <w:tcW w:w="1320" w:type="dxa"/>
            <w:vAlign w:val="bottom"/>
            <w:shd w:val="clear" w:color="auto" w:fill="E5E5E5"/>
          </w:tcPr>
          <w:p>
            <w:pPr>
              <w:jc w:val="center"/>
              <w:ind w:left="64"/>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shd w:val="clear" w:color="auto" w:fill="E5E5E5"/>
          </w:tcPr>
          <w:p>
            <w:pPr>
              <w:spacing w:after="0"/>
              <w:rPr>
                <w:sz w:val="24"/>
                <w:szCs w:val="24"/>
                <w:color w:val="auto"/>
              </w:rPr>
            </w:pPr>
          </w:p>
        </w:tc>
        <w:tc>
          <w:tcPr>
            <w:tcW w:w="9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80" w:type="dxa"/>
            <w:vAlign w:val="bottom"/>
            <w:shd w:val="clear" w:color="auto" w:fill="E5E5E5"/>
          </w:tcPr>
          <w:p>
            <w:pPr>
              <w:spacing w:after="0"/>
              <w:rPr>
                <w:sz w:val="24"/>
                <w:szCs w:val="24"/>
                <w:color w:val="auto"/>
              </w:rPr>
            </w:pPr>
          </w:p>
        </w:tc>
        <w:tc>
          <w:tcPr>
            <w:tcW w:w="9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shd w:val="clear" w:color="auto" w:fill="E5E5E5"/>
          </w:tcPr>
          <w:p>
            <w:pPr>
              <w:spacing w:after="0"/>
              <w:rPr>
                <w:sz w:val="24"/>
                <w:szCs w:val="24"/>
                <w:color w:val="auto"/>
              </w:rPr>
            </w:pPr>
          </w:p>
        </w:tc>
        <w:tc>
          <w:tcPr>
            <w:tcW w:w="1240" w:type="dxa"/>
            <w:vAlign w:val="bottom"/>
            <w:shd w:val="clear" w:color="auto" w:fill="E5E5E5"/>
          </w:tcPr>
          <w:p>
            <w:pPr>
              <w:jc w:val="center"/>
              <w:ind w:righ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2000" w:type="dxa"/>
            <w:vAlign w:val="bottom"/>
            <w:shd w:val="clear" w:color="auto" w:fill="E5E5E5"/>
          </w:tcPr>
          <w:p>
            <w:pPr>
              <w:spacing w:after="0"/>
              <w:rPr>
                <w:sz w:val="5"/>
                <w:szCs w:val="5"/>
                <w:color w:val="auto"/>
              </w:rPr>
            </w:pPr>
          </w:p>
        </w:tc>
        <w:tc>
          <w:tcPr>
            <w:tcW w:w="1320" w:type="dxa"/>
            <w:vAlign w:val="bottom"/>
            <w:shd w:val="clear" w:color="auto" w:fill="E5E5E5"/>
          </w:tcPr>
          <w:p>
            <w:pPr>
              <w:spacing w:after="0"/>
              <w:rPr>
                <w:sz w:val="5"/>
                <w:szCs w:val="5"/>
                <w:color w:val="auto"/>
              </w:rPr>
            </w:pPr>
          </w:p>
        </w:tc>
        <w:tc>
          <w:tcPr>
            <w:tcW w:w="1100" w:type="dxa"/>
            <w:vAlign w:val="bottom"/>
            <w:shd w:val="clear" w:color="auto" w:fill="E5E5E5"/>
          </w:tcPr>
          <w:p>
            <w:pPr>
              <w:spacing w:after="0"/>
              <w:rPr>
                <w:sz w:val="5"/>
                <w:szCs w:val="5"/>
                <w:color w:val="auto"/>
              </w:rPr>
            </w:pPr>
          </w:p>
        </w:tc>
        <w:tc>
          <w:tcPr>
            <w:tcW w:w="940" w:type="dxa"/>
            <w:vAlign w:val="bottom"/>
            <w:shd w:val="clear" w:color="auto" w:fill="E5E5E5"/>
          </w:tcPr>
          <w:p>
            <w:pPr>
              <w:spacing w:after="0"/>
              <w:rPr>
                <w:sz w:val="5"/>
                <w:szCs w:val="5"/>
                <w:color w:val="auto"/>
              </w:rPr>
            </w:pPr>
          </w:p>
        </w:tc>
        <w:tc>
          <w:tcPr>
            <w:tcW w:w="1280" w:type="dxa"/>
            <w:vAlign w:val="bottom"/>
            <w:shd w:val="clear" w:color="auto" w:fill="E5E5E5"/>
          </w:tcPr>
          <w:p>
            <w:pPr>
              <w:spacing w:after="0"/>
              <w:rPr>
                <w:sz w:val="5"/>
                <w:szCs w:val="5"/>
                <w:color w:val="auto"/>
              </w:rPr>
            </w:pPr>
          </w:p>
        </w:tc>
        <w:tc>
          <w:tcPr>
            <w:tcW w:w="960" w:type="dxa"/>
            <w:vAlign w:val="bottom"/>
            <w:shd w:val="clear" w:color="auto" w:fill="E5E5E5"/>
          </w:tcPr>
          <w:p>
            <w:pPr>
              <w:spacing w:after="0"/>
              <w:rPr>
                <w:sz w:val="5"/>
                <w:szCs w:val="5"/>
                <w:color w:val="auto"/>
              </w:rPr>
            </w:pPr>
          </w:p>
        </w:tc>
        <w:tc>
          <w:tcPr>
            <w:tcW w:w="1220" w:type="dxa"/>
            <w:vAlign w:val="bottom"/>
            <w:shd w:val="clear" w:color="auto" w:fill="E5E5E5"/>
          </w:tcPr>
          <w:p>
            <w:pPr>
              <w:spacing w:after="0"/>
              <w:rPr>
                <w:sz w:val="5"/>
                <w:szCs w:val="5"/>
                <w:color w:val="auto"/>
              </w:rPr>
            </w:pPr>
          </w:p>
        </w:tc>
        <w:tc>
          <w:tcPr>
            <w:tcW w:w="124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2000" w:type="dxa"/>
            <w:vAlign w:val="bottom"/>
          </w:tcPr>
          <w:p>
            <w:pPr>
              <w:ind w:left="20"/>
              <w:spacing w:after="0"/>
              <w:rPr>
                <w:sz w:val="20"/>
                <w:szCs w:val="20"/>
                <w:color w:val="auto"/>
              </w:rPr>
            </w:pPr>
            <w:r>
              <w:rPr>
                <w:rFonts w:ascii="Arial" w:cs="Arial" w:eastAsia="Arial" w:hAnsi="Arial"/>
                <w:sz w:val="15"/>
                <w:szCs w:val="15"/>
                <w:b w:val="1"/>
                <w:bCs w:val="1"/>
                <w:color w:val="auto"/>
              </w:rPr>
              <w:t>Commercial</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000" w:type="dxa"/>
            <w:vAlign w:val="bottom"/>
            <w:tcBorders>
              <w:bottom w:val="single" w:sz="8" w:color="0071CE"/>
            </w:tcBorders>
          </w:tcPr>
          <w:p>
            <w:pPr>
              <w:spacing w:after="0"/>
              <w:rPr>
                <w:sz w:val="5"/>
                <w:szCs w:val="5"/>
                <w:color w:val="auto"/>
              </w:rPr>
            </w:pPr>
          </w:p>
        </w:tc>
        <w:tc>
          <w:tcPr>
            <w:tcW w:w="1320" w:type="dxa"/>
            <w:vAlign w:val="bottom"/>
            <w:tcBorders>
              <w:bottom w:val="single" w:sz="8" w:color="0071CE"/>
            </w:tcBorders>
          </w:tcPr>
          <w:p>
            <w:pPr>
              <w:spacing w:after="0"/>
              <w:rPr>
                <w:sz w:val="5"/>
                <w:szCs w:val="5"/>
                <w:color w:val="auto"/>
              </w:rPr>
            </w:pPr>
          </w:p>
        </w:tc>
        <w:tc>
          <w:tcPr>
            <w:tcW w:w="1100" w:type="dxa"/>
            <w:vAlign w:val="bottom"/>
            <w:tcBorders>
              <w:bottom w:val="single" w:sz="8" w:color="0071CE"/>
            </w:tcBorders>
          </w:tcPr>
          <w:p>
            <w:pPr>
              <w:spacing w:after="0"/>
              <w:rPr>
                <w:sz w:val="5"/>
                <w:szCs w:val="5"/>
                <w:color w:val="auto"/>
              </w:rPr>
            </w:pPr>
          </w:p>
        </w:tc>
        <w:tc>
          <w:tcPr>
            <w:tcW w:w="940" w:type="dxa"/>
            <w:vAlign w:val="bottom"/>
            <w:tcBorders>
              <w:bottom w:val="single" w:sz="8" w:color="0071CE"/>
            </w:tcBorders>
          </w:tcPr>
          <w:p>
            <w:pPr>
              <w:spacing w:after="0"/>
              <w:rPr>
                <w:sz w:val="5"/>
                <w:szCs w:val="5"/>
                <w:color w:val="auto"/>
              </w:rPr>
            </w:pPr>
          </w:p>
        </w:tc>
        <w:tc>
          <w:tcPr>
            <w:tcW w:w="1280" w:type="dxa"/>
            <w:vAlign w:val="bottom"/>
            <w:tcBorders>
              <w:bottom w:val="single" w:sz="8" w:color="0071CE"/>
            </w:tcBorders>
          </w:tcPr>
          <w:p>
            <w:pPr>
              <w:spacing w:after="0"/>
              <w:rPr>
                <w:sz w:val="5"/>
                <w:szCs w:val="5"/>
                <w:color w:val="auto"/>
              </w:rPr>
            </w:pPr>
          </w:p>
        </w:tc>
        <w:tc>
          <w:tcPr>
            <w:tcW w:w="960" w:type="dxa"/>
            <w:vAlign w:val="bottom"/>
            <w:tcBorders>
              <w:bottom w:val="single" w:sz="8" w:color="0071CE"/>
            </w:tcBorders>
          </w:tcPr>
          <w:p>
            <w:pPr>
              <w:spacing w:after="0"/>
              <w:rPr>
                <w:sz w:val="5"/>
                <w:szCs w:val="5"/>
                <w:color w:val="auto"/>
              </w:rPr>
            </w:pPr>
          </w:p>
        </w:tc>
        <w:tc>
          <w:tcPr>
            <w:tcW w:w="1220" w:type="dxa"/>
            <w:vAlign w:val="bottom"/>
            <w:tcBorders>
              <w:bottom w:val="single" w:sz="8" w:color="0071CE"/>
            </w:tcBorders>
          </w:tcPr>
          <w:p>
            <w:pPr>
              <w:spacing w:after="0"/>
              <w:rPr>
                <w:sz w:val="5"/>
                <w:szCs w:val="5"/>
                <w:color w:val="auto"/>
              </w:rPr>
            </w:pPr>
          </w:p>
        </w:tc>
        <w:tc>
          <w:tcPr>
            <w:tcW w:w="1240" w:type="dxa"/>
            <w:vAlign w:val="bottom"/>
            <w:tcBorders>
              <w:bottom w:val="single" w:sz="8" w:color="0071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565785</wp:posOffset>
            </wp:positionV>
            <wp:extent cx="98615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2143125" cy="2400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1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Corporate Governance, Environmental and Social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corporate governance, environmental, and social commitment policies and practices:</w:t>
      </w:r>
    </w:p>
    <w:p>
      <w:pPr>
        <w:spacing w:after="0" w:line="127" w:lineRule="exact"/>
        <w:rPr>
          <w:sz w:val="20"/>
          <w:szCs w:val="20"/>
          <w:color w:val="auto"/>
        </w:rPr>
      </w:pPr>
    </w:p>
    <w:p>
      <w:pPr>
        <w:jc w:val="both"/>
        <w:ind w:left="340" w:hanging="251"/>
        <w:spacing w:after="0" w:line="257" w:lineRule="auto"/>
        <w:tabs>
          <w:tab w:leader="none" w:pos="329" w:val="left"/>
        </w:tabs>
        <w:numPr>
          <w:ilvl w:val="0"/>
          <w:numId w:val="16"/>
        </w:numPr>
        <w:rPr>
          <w:rFonts w:ascii="Arial" w:cs="Arial" w:eastAsia="Arial" w:hAnsi="Arial"/>
          <w:sz w:val="16"/>
          <w:szCs w:val="16"/>
          <w:color w:val="0071CE"/>
        </w:rPr>
      </w:pPr>
      <w:r>
        <w:rPr>
          <w:rFonts w:ascii="Arial" w:cs="Arial" w:eastAsia="Arial" w:hAnsi="Arial"/>
          <w:sz w:val="16"/>
          <w:szCs w:val="16"/>
          <w:b w:val="1"/>
          <w:bCs w:val="1"/>
          <w:color w:val="auto"/>
        </w:rPr>
        <w:t>Lead Independent Directo</w:t>
      </w:r>
      <w:r>
        <w:rPr>
          <w:rFonts w:ascii="Arial" w:cs="Arial" w:eastAsia="Arial" w:hAnsi="Arial"/>
          <w:sz w:val="16"/>
          <w:szCs w:val="16"/>
          <w:color w:val="auto"/>
        </w:rPr>
        <w:t>r</w:t>
      </w:r>
      <w:r>
        <w:rPr>
          <w:rFonts w:ascii="Arial" w:cs="Arial" w:eastAsia="Arial" w:hAnsi="Arial"/>
          <w:sz w:val="16"/>
          <w:szCs w:val="16"/>
          <w:b w:val="1"/>
          <w:bCs w:val="1"/>
          <w:color w:val="auto"/>
        </w:rPr>
        <w:t xml:space="preserve">: </w:t>
      </w:r>
      <w:r>
        <w:rPr>
          <w:rFonts w:ascii="Arial" w:cs="Arial" w:eastAsia="Arial" w:hAnsi="Arial"/>
          <w:sz w:val="16"/>
          <w:szCs w:val="16"/>
          <w:color w:val="auto"/>
        </w:rPr>
        <w:t>Because our CEO serves as the Board Chair, we have elected a Lead Independent Director to lead discussions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decision-making of the Board when it would not be appropriate for the CEO to do so, including during executive sessions of the independent directors of the Board.</w:t>
      </w:r>
    </w:p>
    <w:p>
      <w:pPr>
        <w:spacing w:after="0" w:line="205" w:lineRule="exact"/>
        <w:rPr>
          <w:rFonts w:ascii="Arial" w:cs="Arial" w:eastAsia="Arial" w:hAnsi="Arial"/>
          <w:sz w:val="16"/>
          <w:szCs w:val="16"/>
          <w:color w:val="0071CE"/>
        </w:rPr>
      </w:pPr>
    </w:p>
    <w:p>
      <w:pPr>
        <w:jc w:val="both"/>
        <w:ind w:left="340" w:hanging="251"/>
        <w:spacing w:after="0" w:line="265" w:lineRule="auto"/>
        <w:tabs>
          <w:tab w:leader="none" w:pos="336" w:val="left"/>
        </w:tabs>
        <w:numPr>
          <w:ilvl w:val="0"/>
          <w:numId w:val="16"/>
        </w:numPr>
        <w:rPr>
          <w:rFonts w:ascii="Arial" w:cs="Arial" w:eastAsia="Arial" w:hAnsi="Arial"/>
          <w:sz w:val="14"/>
          <w:szCs w:val="14"/>
          <w:b w:val="1"/>
          <w:bCs w:val="1"/>
          <w:color w:val="026DCE"/>
        </w:rPr>
      </w:pPr>
      <w:r>
        <w:rPr>
          <w:rFonts w:ascii="Arial" w:cs="Arial" w:eastAsia="Arial" w:hAnsi="Arial"/>
          <w:sz w:val="16"/>
          <w:szCs w:val="16"/>
          <w:b w:val="1"/>
          <w:bCs w:val="1"/>
          <w:color w:val="auto"/>
        </w:rPr>
        <w:t xml:space="preserve">Combined Chair and CEO: </w:t>
      </w:r>
      <w:r>
        <w:rPr>
          <w:rFonts w:ascii="Arial" w:cs="Arial" w:eastAsia="Arial" w:hAnsi="Arial"/>
          <w:sz w:val="16"/>
          <w:szCs w:val="16"/>
          <w:color w:val="auto"/>
        </w:rPr>
        <w:t>Dr. Anzalone currently serves as Board Chair and Chief Executive Officer. Our Bylaws do not require that our Board Chair</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Executive Officer positions be separate, and our Board believes that having a combined CEO and Chair is the appropriate leadership structure for us at this time as it helps promote unified leadership and direction and provides management a single, clear focus to execute our strategy and business plans</w:t>
      </w:r>
      <w:r>
        <w:rPr>
          <w:rFonts w:ascii="Arial" w:cs="Arial" w:eastAsia="Arial" w:hAnsi="Arial"/>
          <w:sz w:val="16"/>
          <w:szCs w:val="16"/>
          <w:color w:val="0000FF"/>
        </w:rPr>
        <w:t>.</w:t>
      </w:r>
    </w:p>
    <w:p>
      <w:pPr>
        <w:spacing w:after="0" w:line="199" w:lineRule="exact"/>
        <w:rPr>
          <w:rFonts w:ascii="Arial" w:cs="Arial" w:eastAsia="Arial" w:hAnsi="Arial"/>
          <w:sz w:val="14"/>
          <w:szCs w:val="14"/>
          <w:b w:val="1"/>
          <w:bCs w:val="1"/>
          <w:color w:val="026DCE"/>
        </w:rPr>
      </w:pPr>
    </w:p>
    <w:p>
      <w:pPr>
        <w:jc w:val="both"/>
        <w:ind w:left="340" w:hanging="251"/>
        <w:spacing w:after="0"/>
        <w:tabs>
          <w:tab w:leader="none" w:pos="329" w:val="left"/>
        </w:tabs>
        <w:numPr>
          <w:ilvl w:val="0"/>
          <w:numId w:val="16"/>
        </w:numPr>
        <w:rPr>
          <w:rFonts w:ascii="Arial" w:cs="Arial" w:eastAsia="Arial" w:hAnsi="Arial"/>
          <w:sz w:val="16"/>
          <w:szCs w:val="16"/>
          <w:color w:val="0071CE"/>
        </w:rPr>
      </w:pPr>
      <w:r>
        <w:rPr>
          <w:rFonts w:ascii="Arial" w:cs="Arial" w:eastAsia="Arial" w:hAnsi="Arial"/>
          <w:sz w:val="16"/>
          <w:szCs w:val="16"/>
          <w:b w:val="1"/>
          <w:bCs w:val="1"/>
          <w:color w:val="auto"/>
        </w:rPr>
        <w:t xml:space="preserve">Majority Independent Board: </w:t>
      </w:r>
      <w:r>
        <w:rPr>
          <w:rFonts w:ascii="Arial" w:cs="Arial" w:eastAsia="Arial" w:hAnsi="Arial"/>
          <w:sz w:val="16"/>
          <w:szCs w:val="16"/>
          <w:color w:val="auto"/>
        </w:rPr>
        <w:t>A majority of the members of the Board are independent directors, as defined under the listing rules of the Nasdaq Stock</w:t>
      </w:r>
      <w:r>
        <w:rPr>
          <w:rFonts w:ascii="Arial" w:cs="Arial" w:eastAsia="Arial" w:hAnsi="Arial"/>
          <w:sz w:val="16"/>
          <w:szCs w:val="16"/>
          <w:b w:val="1"/>
          <w:bCs w:val="1"/>
          <w:color w:val="auto"/>
        </w:rPr>
        <w:t xml:space="preserve"> </w:t>
      </w:r>
      <w:r>
        <w:rPr>
          <w:rFonts w:ascii="Arial" w:cs="Arial" w:eastAsia="Arial" w:hAnsi="Arial"/>
          <w:sz w:val="16"/>
          <w:szCs w:val="16"/>
          <w:color w:val="auto"/>
        </w:rPr>
        <w:t>Market (the "</w:t>
      </w:r>
      <w:r>
        <w:rPr>
          <w:rFonts w:ascii="Arial" w:cs="Arial" w:eastAsia="Arial" w:hAnsi="Arial"/>
          <w:sz w:val="16"/>
          <w:szCs w:val="16"/>
          <w:b w:val="1"/>
          <w:bCs w:val="1"/>
          <w:color w:val="auto"/>
        </w:rPr>
        <w:t>Nasdaq Marketplace Rules</w:t>
      </w:r>
      <w:r>
        <w:rPr>
          <w:rFonts w:ascii="Arial" w:cs="Arial" w:eastAsia="Arial" w:hAnsi="Arial"/>
          <w:sz w:val="16"/>
          <w:szCs w:val="16"/>
          <w:color w:val="auto"/>
        </w:rPr>
        <w:t>"). The Nasdaq Marketplace Rules require that a majority of the Board be comprised of independent directors who, in the opinion of the Board, do not have a relationship that would interfere with the exercise of independent judgment in carrying out the responsibilities of a director. The Board undertook a review of its composition and the independence of each director. Based upon information requested from and provided by each director concerning his or her background, employment and affiliations, the Board has determined that all of the Company’s directors and director nominees are independent, except Dr. Anzalone, due to his employment relationship with the Company. Douglass Given was also determined to be not independent during the period he served on the Board. In making such determinations, our Board considered the relationships that each such non-employee director has with our Company and all other facts and circumstances our Board deemed relevant in determining independence, including the beneficial ownership of our capital stock by each non-employee director.</w:t>
      </w:r>
    </w:p>
    <w:p>
      <w:pPr>
        <w:spacing w:after="0" w:line="220" w:lineRule="exact"/>
        <w:rPr>
          <w:rFonts w:ascii="Arial" w:cs="Arial" w:eastAsia="Arial" w:hAnsi="Arial"/>
          <w:sz w:val="16"/>
          <w:szCs w:val="16"/>
          <w:color w:val="0071CE"/>
        </w:rPr>
      </w:pPr>
    </w:p>
    <w:p>
      <w:pPr>
        <w:jc w:val="both"/>
        <w:ind w:left="340" w:hanging="251"/>
        <w:spacing w:after="0" w:line="241" w:lineRule="auto"/>
        <w:tabs>
          <w:tab w:leader="none" w:pos="329" w:val="left"/>
        </w:tabs>
        <w:numPr>
          <w:ilvl w:val="0"/>
          <w:numId w:val="16"/>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Risk: </w:t>
      </w:r>
      <w:r>
        <w:rPr>
          <w:rFonts w:ascii="Arial" w:cs="Arial" w:eastAsia="Arial" w:hAnsi="Arial"/>
          <w:sz w:val="16"/>
          <w:szCs w:val="16"/>
          <w:color w:val="auto"/>
        </w:rPr>
        <w:t>The Board has overall responsibility for the oversight of the Company’s risk management process, which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 The Board believes its programs for overseeing risk would be effective under a variety of leadership frameworks.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567690</wp:posOffset>
            </wp:positionV>
            <wp:extent cx="986155"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040"/>
        <w:spacing w:after="0"/>
        <w:rPr>
          <w:sz w:val="20"/>
          <w:szCs w:val="20"/>
          <w:color w:val="auto"/>
        </w:rPr>
      </w:pPr>
      <w:r>
        <w:rPr>
          <w:rFonts w:ascii="Arial" w:cs="Arial" w:eastAsia="Arial" w:hAnsi="Arial"/>
          <w:sz w:val="17"/>
          <w:szCs w:val="17"/>
          <w:b w:val="1"/>
          <w:bCs w:val="1"/>
          <w:color w:val="0071CE"/>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Accordingly, the Board’s risk oversight function did not significantly impact its selection of the current leadership structure.</w:t>
      </w:r>
    </w:p>
    <w:p>
      <w:pPr>
        <w:spacing w:after="0" w:line="113" w:lineRule="exact"/>
        <w:rPr>
          <w:sz w:val="20"/>
          <w:szCs w:val="20"/>
          <w:color w:val="auto"/>
        </w:rPr>
      </w:pPr>
    </w:p>
    <w:p>
      <w:pPr>
        <w:jc w:val="both"/>
        <w:ind w:left="340" w:hanging="251"/>
        <w:spacing w:after="0" w:line="265"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Code of Conduct: </w:t>
      </w:r>
      <w:r>
        <w:rPr>
          <w:rFonts w:ascii="Arial" w:cs="Arial" w:eastAsia="Arial" w:hAnsi="Arial"/>
          <w:sz w:val="16"/>
          <w:szCs w:val="16"/>
          <w:color w:val="auto"/>
        </w:rPr>
        <w:t>All of the Company’s employees, officers, and directors are subject to the Company’s Code of Conduct, which is available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website at www.arrowheadpharma.com. The code meets the requirements of Nasdaq Marketplace Rules, as well as the code of ethics requirements of the SEC. We intend to disclose future amendments to certain provisions of the Code of Conduct, and waivers of the Code of Conduct granted to officers and directors, on the Company's website within four business days following the date of the amendment or waiver.</w:t>
      </w:r>
    </w:p>
    <w:p>
      <w:pPr>
        <w:spacing w:after="0" w:line="64" w:lineRule="exact"/>
        <w:rPr>
          <w:rFonts w:ascii="Arial" w:cs="Arial" w:eastAsia="Arial" w:hAnsi="Arial"/>
          <w:sz w:val="16"/>
          <w:szCs w:val="16"/>
          <w:color w:val="0071CE"/>
        </w:rPr>
      </w:pPr>
    </w:p>
    <w:p>
      <w:pPr>
        <w:jc w:val="both"/>
        <w:ind w:left="340" w:hanging="251"/>
        <w:spacing w:after="0" w:line="257"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Independent Committees: </w:t>
      </w:r>
      <w:r>
        <w:rPr>
          <w:rFonts w:ascii="Arial" w:cs="Arial" w:eastAsia="Arial" w:hAnsi="Arial"/>
          <w:sz w:val="16"/>
          <w:szCs w:val="16"/>
          <w:color w:val="auto"/>
        </w:rPr>
        <w:t>The Audit, Compensation, and Nomination Committees consist entirely of independent directors, and each of the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serving on the Audit Committee and the Compensation Committee satisfy the additional independence criteria applicable to directors on such committees.</w:t>
      </w:r>
    </w:p>
    <w:p>
      <w:pPr>
        <w:spacing w:after="0" w:line="70" w:lineRule="exact"/>
        <w:rPr>
          <w:rFonts w:ascii="Arial" w:cs="Arial" w:eastAsia="Arial" w:hAnsi="Arial"/>
          <w:sz w:val="16"/>
          <w:szCs w:val="16"/>
          <w:color w:val="0071CE"/>
        </w:rPr>
      </w:pPr>
    </w:p>
    <w:p>
      <w:pPr>
        <w:ind w:left="340" w:hanging="251"/>
        <w:spacing w:after="0" w:line="286"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Regularly Held Executive Sessions: </w:t>
      </w:r>
      <w:r>
        <w:rPr>
          <w:rFonts w:ascii="Arial" w:cs="Arial" w:eastAsia="Arial" w:hAnsi="Arial"/>
          <w:sz w:val="16"/>
          <w:szCs w:val="16"/>
          <w:color w:val="auto"/>
        </w:rPr>
        <w:t>The independent directors meet separately in executive session on a regular basis to discuss matters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Board, without members of the management team present.</w:t>
      </w:r>
    </w:p>
    <w:p>
      <w:pPr>
        <w:spacing w:after="0" w:line="61" w:lineRule="exact"/>
        <w:rPr>
          <w:rFonts w:ascii="Arial" w:cs="Arial" w:eastAsia="Arial" w:hAnsi="Arial"/>
          <w:sz w:val="16"/>
          <w:szCs w:val="16"/>
          <w:color w:val="0071CE"/>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Proxy Access: </w:t>
      </w:r>
      <w:r>
        <w:rPr>
          <w:rFonts w:ascii="Arial" w:cs="Arial" w:eastAsia="Arial" w:hAnsi="Arial"/>
          <w:sz w:val="16"/>
          <w:szCs w:val="16"/>
          <w:color w:val="auto"/>
        </w:rPr>
        <w:t>Stockholders have a proxy access right with market-standard terms (3% for 3 years, up to 20% of the Board).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Strategy: </w:t>
      </w:r>
      <w:r>
        <w:rPr>
          <w:rFonts w:ascii="Arial" w:cs="Arial" w:eastAsia="Arial" w:hAnsi="Arial"/>
          <w:sz w:val="16"/>
          <w:szCs w:val="16"/>
          <w:color w:val="auto"/>
        </w:rPr>
        <w:t>The Board reviews at least annually the Company’s business initiatives, capital projects and budget matters.</w:t>
      </w:r>
    </w:p>
    <w:p>
      <w:pPr>
        <w:spacing w:after="0" w:line="126" w:lineRule="exact"/>
        <w:rPr>
          <w:rFonts w:ascii="Arial" w:cs="Arial" w:eastAsia="Arial" w:hAnsi="Arial"/>
          <w:sz w:val="16"/>
          <w:szCs w:val="16"/>
          <w:color w:val="0071CE"/>
        </w:rPr>
      </w:pPr>
    </w:p>
    <w:p>
      <w:pPr>
        <w:ind w:left="340" w:hanging="251"/>
        <w:spacing w:after="0" w:line="286"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Environmental and Social Responsibility Oversight: </w:t>
      </w:r>
      <w:r>
        <w:rPr>
          <w:rFonts w:ascii="Arial" w:cs="Arial" w:eastAsia="Arial" w:hAnsi="Arial"/>
          <w:sz w:val="16"/>
          <w:szCs w:val="16"/>
          <w:color w:val="auto"/>
        </w:rPr>
        <w:t>The Board has designated one of its members, Adeoye Olukotun, with responsibility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confirming the Company’s environmental and social programs align with the Board’s expectations in these matters.</w:t>
      </w:r>
    </w:p>
    <w:p>
      <w:pPr>
        <w:spacing w:after="0" w:line="47"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17"/>
        </w:numPr>
        <w:rPr>
          <w:rFonts w:ascii="Arial" w:cs="Arial" w:eastAsia="Arial" w:hAnsi="Arial"/>
          <w:sz w:val="16"/>
          <w:szCs w:val="16"/>
          <w:color w:val="026DCE"/>
        </w:rPr>
      </w:pPr>
      <w:r>
        <w:rPr>
          <w:rFonts w:ascii="Arial" w:cs="Arial" w:eastAsia="Arial" w:hAnsi="Arial"/>
          <w:sz w:val="16"/>
          <w:szCs w:val="16"/>
          <w:b w:val="1"/>
          <w:bCs w:val="1"/>
          <w:color w:val="auto"/>
        </w:rPr>
        <w:t xml:space="preserve">Cybersecurity: </w:t>
      </w:r>
      <w:r>
        <w:rPr>
          <w:rFonts w:ascii="Arial" w:cs="Arial" w:eastAsia="Arial" w:hAnsi="Arial"/>
          <w:sz w:val="16"/>
          <w:szCs w:val="16"/>
          <w:color w:val="auto"/>
        </w:rPr>
        <w:t>The Company maintains a cybersecurity program, with direct oversight from senior management and the Audit Committee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to manage information, data, and technology security. The Company has formed an internal cross-functional Technology Risk Management Committee comprised of representative leaders from various aspects of the Company’s business to broadly implement its cybersecurity program.</w:t>
      </w:r>
    </w:p>
    <w:p>
      <w:pPr>
        <w:spacing w:after="0" w:line="69" w:lineRule="exact"/>
        <w:rPr>
          <w:rFonts w:ascii="Arial" w:cs="Arial" w:eastAsia="Arial" w:hAnsi="Arial"/>
          <w:sz w:val="16"/>
          <w:szCs w:val="16"/>
          <w:color w:val="026DCE"/>
        </w:rPr>
      </w:pPr>
    </w:p>
    <w:p>
      <w:pPr>
        <w:ind w:left="340" w:right="20" w:hanging="251"/>
        <w:spacing w:after="0" w:line="286"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Related Party Transaction Oversight: </w:t>
      </w:r>
      <w:r>
        <w:rPr>
          <w:rFonts w:ascii="Arial" w:cs="Arial" w:eastAsia="Arial" w:hAnsi="Arial"/>
          <w:sz w:val="16"/>
          <w:szCs w:val="16"/>
          <w:color w:val="auto"/>
        </w:rPr>
        <w:t>The Audit Committee is responsible for reviewing and approving all disclosable related-party transactions or, if</w:t>
      </w:r>
      <w:r>
        <w:rPr>
          <w:rFonts w:ascii="Arial" w:cs="Arial" w:eastAsia="Arial" w:hAnsi="Arial"/>
          <w:sz w:val="16"/>
          <w:szCs w:val="16"/>
          <w:b w:val="1"/>
          <w:bCs w:val="1"/>
          <w:color w:val="auto"/>
        </w:rPr>
        <w:t xml:space="preserve"> </w:t>
      </w:r>
      <w:r>
        <w:rPr>
          <w:rFonts w:ascii="Arial" w:cs="Arial" w:eastAsia="Arial" w:hAnsi="Arial"/>
          <w:sz w:val="16"/>
          <w:szCs w:val="16"/>
          <w:color w:val="auto"/>
        </w:rPr>
        <w:t>the size and nature of the transaction warrants, a special committee of non-related Board members is formed to negotiate and approve the transaction.</w:t>
      </w:r>
    </w:p>
    <w:p>
      <w:pPr>
        <w:spacing w:after="0" w:line="47" w:lineRule="exact"/>
        <w:rPr>
          <w:rFonts w:ascii="Arial" w:cs="Arial" w:eastAsia="Arial" w:hAnsi="Arial"/>
          <w:sz w:val="16"/>
          <w:szCs w:val="16"/>
          <w:color w:val="0071CE"/>
        </w:rPr>
      </w:pPr>
    </w:p>
    <w:p>
      <w:pPr>
        <w:jc w:val="both"/>
        <w:ind w:left="340" w:hanging="251"/>
        <w:spacing w:after="0" w:line="261"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The Company continues to assess its environmental impact and ways in which it can operate more responsibly and sustainably.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research and development facilities in San Diego, California and Verona, Wisconsin were built to meet LEED certification standards. The Company has contracted with a third party to operate a solar power generation plant at our San Diego facility with a generating capacity of approximately 1,406kW, which is comprised of a rooftop system, parking lot solar canopies, and a 1,200 kW battery storage system to supply power to the building. Additionally, the Company has continued its efforts to minimize use of paper records in favor of electronic records and has a robust recycling program for paper, batteries, and electronic equipment.</w:t>
      </w:r>
    </w:p>
    <w:p>
      <w:pPr>
        <w:spacing w:after="0" w:line="68" w:lineRule="exact"/>
        <w:rPr>
          <w:rFonts w:ascii="Arial" w:cs="Arial" w:eastAsia="Arial" w:hAnsi="Arial"/>
          <w:sz w:val="16"/>
          <w:szCs w:val="16"/>
          <w:color w:val="0071CE"/>
        </w:rPr>
      </w:pPr>
    </w:p>
    <w:p>
      <w:pPr>
        <w:jc w:val="both"/>
        <w:ind w:left="340" w:hanging="251"/>
        <w:spacing w:after="0" w:line="248" w:lineRule="auto"/>
        <w:tabs>
          <w:tab w:leader="none" w:pos="329" w:val="left"/>
        </w:tabs>
        <w:numPr>
          <w:ilvl w:val="0"/>
          <w:numId w:val="17"/>
        </w:numPr>
        <w:rPr>
          <w:rFonts w:ascii="Arial" w:cs="Arial" w:eastAsia="Arial" w:hAnsi="Arial"/>
          <w:sz w:val="16"/>
          <w:szCs w:val="16"/>
          <w:color w:val="0071CE"/>
        </w:rPr>
      </w:pPr>
      <w:r>
        <w:rPr>
          <w:rFonts w:ascii="Arial" w:cs="Arial" w:eastAsia="Arial" w:hAnsi="Arial"/>
          <w:sz w:val="16"/>
          <w:szCs w:val="16"/>
          <w:b w:val="1"/>
          <w:bCs w:val="1"/>
          <w:color w:val="auto"/>
        </w:rPr>
        <w:t xml:space="preserve">Human Capital Management: </w:t>
      </w:r>
      <w:r>
        <w:rPr>
          <w:rFonts w:ascii="Arial" w:cs="Arial" w:eastAsia="Arial" w:hAnsi="Arial"/>
          <w:sz w:val="16"/>
          <w:szCs w:val="16"/>
          <w:color w:val="auto"/>
        </w:rPr>
        <w:t>Arrowhead has a vibrant and growing culture and we are committed to the health and welfare of our employees. Our</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important work developing advanced drugs for patients requires a specialized and dedicated workforce. Arrowhead supports the development of our employees with a competitive compensation and benefits package, internal advancement, and individualized development opportunities. We are committed to training young scientists and businesspeople and offer multiple internships and entry level positions each year.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Stockholders who wish to communicate with the Board or any individual director can write to: Corporate Secretary, Arrowhead Pharmaceuticals, Inc., 177 E. Colorado Blvd., Suite 700, Pasadena, CA 91105. Your letter should indicate that you are an Arrowhead stockholder. Depending on the subject matter, management will:</w:t>
      </w:r>
    </w:p>
    <w:p>
      <w:pPr>
        <w:spacing w:after="0" w:line="90" w:lineRule="exact"/>
        <w:rPr>
          <w:sz w:val="20"/>
          <w:szCs w:val="20"/>
          <w:color w:val="auto"/>
        </w:rPr>
      </w:pPr>
    </w:p>
    <w:p>
      <w:pPr>
        <w:ind w:left="320" w:hanging="231"/>
        <w:spacing w:after="0"/>
        <w:tabs>
          <w:tab w:leader="none" w:pos="32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Forward the communication to the Board Chair, if addressed to the board of directors; or</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If not addressed to, or otherwise appropriate for, any director or directors, attempt to handle the inquiry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586740</wp:posOffset>
            </wp:positionV>
            <wp:extent cx="986155"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purpose of this screening is to allow the Board to avoid having to consider irrelevant or inappropriate communications (such as advertisements, solicitations and hostile communications).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held a total of six meetings during the fiscal year ended September 30, 2025. The Board has three standing committees: Audit Committee, Compensation Committee, and Nomination Committee.</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The functions of the Audit Committee are to select and oversee the independent registered public accounting firm, to review the scope and results of the year-end audit with management and the independent auditors, to review the Company’s accounting principles and its system of internal accounting controls, to review and oversee the Company's response to any cybersecurity incidents, to review the Company’s annual and quarterly reports before filing with the SEC, and to review any related-party transactions. The Audit Committee met four times during fiscal 2025. The current members of the Audit Committee are William Waddill (Committee Chair), Mauro Ferrari, Mike Perry and Victoria Vakiener. The Board has determined that all members of the Audit Committee are independent directors under the Nasdaq Marketplace Rules, satisfy the additional independence criteria applicable to directors on the Audit Committee under the rules and regulations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Marketplace Rules and are “financially literate” under the Nasdaq Marketplace Rules. The Board has determined that Mr. Waddill is an “audit committee financial expert” in accordance with the applicable rules and regulations established by the SEC, based on his experience as noted above. The Audit Committee Charter is available on the Company’s website at www.arrowheadpharma.com.</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functions of the Compensation Committee are to review and approve the corporate goals and objectives relevant to the Chief Executive Officer's compensation, to review salaries, bonuses, equity awards, and other benefits payable to the Company’s executive officers and to administer the Company’s equity incentive compensation plans.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2025, the Compensation Committee engaged Compensia, Inc. (“</w:t>
      </w:r>
      <w:r>
        <w:rPr>
          <w:rFonts w:ascii="Arial" w:cs="Arial" w:eastAsia="Arial" w:hAnsi="Arial"/>
          <w:sz w:val="16"/>
          <w:szCs w:val="16"/>
          <w:b w:val="1"/>
          <w:bCs w:val="1"/>
          <w:color w:val="auto"/>
        </w:rPr>
        <w:t>Compensia</w:t>
      </w:r>
      <w:r>
        <w:rPr>
          <w:rFonts w:ascii="Arial" w:cs="Arial" w:eastAsia="Arial" w:hAnsi="Arial"/>
          <w:sz w:val="16"/>
          <w:szCs w:val="16"/>
          <w:color w:val="auto"/>
        </w:rPr>
        <w:t>”), a national compensation consulting firm, to provide advice and guidance with regard to compensation for our NEOs. The decision to engage the consultant was not made or recommended by management and the Compensation Committee has the sole discretion to engage or change the consultant. The Compensation Committee met four times during fiscal 2025. The current members of the Compensation Committee are Michael Perry (Committee Chair), Hongbo Lu, and William Waddill. The Board has determined that all members of the Compensation Committee are independent directors under the Nasdaq Marketplace Rules and satisfy the additional independence criteria applicable to directors on the Compensation Committee under the rules and regulations of the SEC and the Nasdaq Marketplace Rules. The Compensation Committee Charter is available on the Company’s website at www.arrowheadpharma.com. The Compensation Committee has not delegated any of its responsibilities or authorities granted under its charter but has delegated authority under the 2021 Incentive Plan to the Chief Executive Officer to grant equity awards to non-executive employees within prescribed limits set by the Compensation Committee.</w:t>
      </w:r>
    </w:p>
    <w:p>
      <w:pPr>
        <w:spacing w:after="0" w:line="36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Nomination Committee is responsible for proposing a slate of directors for election by the stockholders at each annual meeting and for proposing candidates to fill any vacancies. The Nomination Committee met once during fiscal 2025. The current members of the Nomination Committee are Victoria Vakiener (Committee Chair), Mauro Ferrari, Adeoye Olukotun, Michael Perry, Hongbo Lu, and William Waddill. The Board has determined that all members of the Nomination Committee are independent directors under the Nasdaq Marketplace Rules. The Nomination Committee’s charter is available on the Company’s website at www.arrowheadpharma.com.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the Committee Chair) screens the available information about the potential candidate(s). Based on the results of the initial screening, interviews with candidates are scheduled with Nomination Committee members, other members of the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489585</wp:posOffset>
            </wp:positionV>
            <wp:extent cx="986155"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senior members of management. Upon completion of these interviews and other due diligence, the Nomination Committee may recommend a candidate to the Board for appointment.</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from time to time, through a formal search process managed by a third-party search firm. Arrowhead stockholders may also recommend candidates by sending the candidate’s name and resume to the Nomination Committee pursuant to the procedures set forth above for communication with the Board. The Nomination Committee evaluates director candidates recommended by stockholders in the same way that it evaluates candidates recommended by its members, other members of the Board, or other persons.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directors should share qualities such as governance and business experience at the corporate level, relevant competitive experience, and strong communication and analytical skills. Independent directors must meet the criteria for independence set forth by the Nasdaq Marketplace Rules and, as applicable, the SEC. In any given search, the Nomination Committee may also define particular characteristics for candidates to balance the overall mix of skills, backgrounds and characteristics of the Board and the needs of the Company. During any search, the Nomination Committee reserves the right to modify its stated search criteria for exceptional candidates.</w:t>
      </w:r>
    </w:p>
    <w:p>
      <w:pPr>
        <w:spacing w:after="0" w:line="38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2018, the Board established a Science Committee to review and advise on science and technology topics of interest to the Company. The current members of the Science &amp; Technology Committee are Mauro Ferrari (Committee Co-Chair), Adeoye Olukotun (Committee Co-Chair), Hongbo Lu, and Michael Perry.</w:t>
      </w: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Each of our incumbent directors attended at least 75% of the aggregate of (i) the total number of meetings of the Board held during fiscal 2025, and (ii) the total number of meetings held by all committees of the Board during fiscal 2025 on which such person served, in each case during the period in which such person served on the Board or committee and was expected to attend such meeting(s) in accordance with the Company's governance policies and practices.</w:t>
      </w:r>
    </w:p>
    <w:p>
      <w:pPr>
        <w:spacing w:after="0" w:line="3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addition, all of the directors then serving on the Board and standing for re-election attended the virtual 2025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459105</wp:posOffset>
            </wp:positionV>
            <wp:extent cx="9861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Director Compensation</w:t>
      </w:r>
    </w:p>
    <w:p>
      <w:pPr>
        <w:spacing w:after="0" w:line="42" w:lineRule="exact"/>
        <w:rPr>
          <w:sz w:val="20"/>
          <w:szCs w:val="20"/>
          <w:color w:val="auto"/>
        </w:rPr>
      </w:pPr>
    </w:p>
    <w:p>
      <w:pPr>
        <w:jc w:val="both"/>
        <w:spacing w:after="0"/>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2025, the Company maintained the structure of director compensation it adopted in 2019 to provide a base retainer for each director with higher base retainers for service by the Board Chair and committee leadership as well as an annual equity award of restricted stock units that vests one year from the date of grant or, in the case of a newly-appointed director, an initial equity award of restricted stock units that vests in three equal annual installments on each anniversary of the date of grant, subject, in each case, to continued service through the applicable vesting date. The average total compensation paid to the Company's non-executive directors for service in 2025 is at or below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total compensation paid to non-executive directors of its peer group as described later in this proxy statement. The Compensation Committee believes the structure aligns compensation according to the level of service contributions by each director. The fees payable to directors for service on the Board and for service on each committee of the Board on which the director serves are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shd w:val="clear" w:color="auto" w:fill="026DCE"/>
          </w:tcPr>
          <w:p>
            <w:pPr>
              <w:ind w:left="1960"/>
              <w:spacing w:after="0"/>
              <w:rPr>
                <w:sz w:val="20"/>
                <w:szCs w:val="20"/>
                <w:color w:val="auto"/>
              </w:rPr>
            </w:pPr>
            <w:r>
              <w:rPr>
                <w:rFonts w:ascii="Arial" w:cs="Arial" w:eastAsia="Arial" w:hAnsi="Arial"/>
                <w:sz w:val="14"/>
                <w:szCs w:val="14"/>
                <w:b w:val="1"/>
                <w:bCs w:val="1"/>
                <w:color w:val="FFFFFF"/>
              </w:rPr>
              <w:t>Board of Directors:</w:t>
            </w:r>
          </w:p>
        </w:tc>
        <w:tc>
          <w:tcPr>
            <w:tcW w:w="3480" w:type="dxa"/>
            <w:vAlign w:val="bottom"/>
            <w:shd w:val="clear" w:color="auto" w:fill="026DCE"/>
          </w:tcPr>
          <w:p>
            <w:pPr>
              <w:ind w:left="1220"/>
              <w:spacing w:after="0"/>
              <w:rPr>
                <w:sz w:val="20"/>
                <w:szCs w:val="20"/>
                <w:color w:val="auto"/>
              </w:rPr>
            </w:pPr>
            <w:r>
              <w:rPr>
                <w:rFonts w:ascii="Arial" w:cs="Arial" w:eastAsia="Arial" w:hAnsi="Arial"/>
                <w:sz w:val="14"/>
                <w:szCs w:val="14"/>
                <w:b w:val="1"/>
                <w:bCs w:val="1"/>
                <w:color w:val="FFFFFF"/>
              </w:rPr>
              <w:t>2025 Annual Retainer:</w:t>
            </w:r>
          </w:p>
        </w:tc>
        <w:tc>
          <w:tcPr>
            <w:tcW w:w="3020" w:type="dxa"/>
            <w:vAlign w:val="bottom"/>
            <w:shd w:val="clear" w:color="auto" w:fill="026DCE"/>
          </w:tcPr>
          <w:p>
            <w:pPr>
              <w:ind w:left="760"/>
              <w:spacing w:after="0"/>
              <w:rPr>
                <w:sz w:val="20"/>
                <w:szCs w:val="20"/>
                <w:color w:val="auto"/>
              </w:rPr>
            </w:pPr>
            <w:r>
              <w:rPr>
                <w:rFonts w:ascii="Arial" w:cs="Arial" w:eastAsia="Arial" w:hAnsi="Arial"/>
                <w:sz w:val="14"/>
                <w:szCs w:val="14"/>
                <w:b w:val="1"/>
                <w:bCs w:val="1"/>
                <w:color w:val="FFFFFF"/>
              </w:rPr>
              <w:t>2024 Annual Retainer:</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All non-employee directors</w:t>
            </w:r>
          </w:p>
        </w:tc>
        <w:tc>
          <w:tcPr>
            <w:tcW w:w="3480" w:type="dxa"/>
            <w:vAlign w:val="bottom"/>
          </w:tcPr>
          <w:p>
            <w:pPr>
              <w:jc w:val="center"/>
              <w:ind w:left="381"/>
              <w:spacing w:after="0"/>
              <w:rPr>
                <w:sz w:val="20"/>
                <w:szCs w:val="20"/>
                <w:color w:val="auto"/>
              </w:rPr>
            </w:pPr>
            <w:r>
              <w:rPr>
                <w:rFonts w:ascii="Arial" w:cs="Arial" w:eastAsia="Arial" w:hAnsi="Arial"/>
                <w:sz w:val="16"/>
                <w:szCs w:val="16"/>
                <w:color w:val="auto"/>
              </w:rPr>
              <w:t>$80,000</w:t>
            </w:r>
          </w:p>
        </w:tc>
        <w:tc>
          <w:tcPr>
            <w:tcW w:w="3020" w:type="dxa"/>
            <w:vAlign w:val="bottom"/>
          </w:tcPr>
          <w:p>
            <w:pPr>
              <w:jc w:val="center"/>
              <w:spacing w:after="0"/>
              <w:rPr>
                <w:sz w:val="20"/>
                <w:szCs w:val="20"/>
                <w:color w:val="auto"/>
              </w:rPr>
            </w:pPr>
            <w:r>
              <w:rPr>
                <w:rFonts w:ascii="Arial" w:cs="Arial" w:eastAsia="Arial" w:hAnsi="Arial"/>
                <w:sz w:val="16"/>
                <w:szCs w:val="16"/>
                <w:color w:val="auto"/>
              </w:rPr>
              <w:t>$80,000</w:t>
            </w:r>
          </w:p>
        </w:tc>
      </w:tr>
      <w:tr>
        <w:trPr>
          <w:trHeight w:val="217"/>
        </w:trPr>
        <w:tc>
          <w:tcPr>
            <w:tcW w:w="4740" w:type="dxa"/>
            <w:vAlign w:val="bottom"/>
            <w:shd w:val="clear" w:color="auto" w:fill="E5E5E5"/>
          </w:tcPr>
          <w:p>
            <w:pPr>
              <w:ind w:left="20"/>
              <w:spacing w:after="0"/>
              <w:rPr>
                <w:sz w:val="20"/>
                <w:szCs w:val="20"/>
                <w:color w:val="auto"/>
              </w:rPr>
            </w:pPr>
            <w:r>
              <w:rPr>
                <w:rFonts w:ascii="Arial" w:cs="Arial" w:eastAsia="Arial" w:hAnsi="Arial"/>
                <w:sz w:val="16"/>
                <w:szCs w:val="16"/>
                <w:color w:val="auto"/>
              </w:rPr>
              <w:t>Additional retainer for Lead Independent Director</w:t>
            </w:r>
          </w:p>
        </w:tc>
        <w:tc>
          <w:tcPr>
            <w:tcW w:w="348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rPr>
              <w:t>$15,000</w:t>
            </w:r>
          </w:p>
        </w:tc>
        <w:tc>
          <w:tcPr>
            <w:tcW w:w="3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$15,000</w:t>
            </w: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Audit Committee:</w:t>
            </w:r>
          </w:p>
        </w:tc>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47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Chairman</w:t>
            </w:r>
          </w:p>
        </w:tc>
        <w:tc>
          <w:tcPr>
            <w:tcW w:w="348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rPr>
              <w:t>$5,000</w:t>
            </w:r>
          </w:p>
        </w:tc>
        <w:tc>
          <w:tcPr>
            <w:tcW w:w="3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$5,000</w:t>
            </w: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Compensation Committee:</w:t>
            </w:r>
          </w:p>
        </w:tc>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47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Chairman</w:t>
            </w:r>
          </w:p>
        </w:tc>
        <w:tc>
          <w:tcPr>
            <w:tcW w:w="348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rPr>
              <w:t>$10,000</w:t>
            </w:r>
          </w:p>
        </w:tc>
        <w:tc>
          <w:tcPr>
            <w:tcW w:w="3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$5,000</w:t>
            </w: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Nomination Committee</w:t>
            </w:r>
          </w:p>
        </w:tc>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47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Chairman</w:t>
            </w:r>
          </w:p>
        </w:tc>
        <w:tc>
          <w:tcPr>
            <w:tcW w:w="348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rPr>
              <w:t>$5,000</w:t>
            </w:r>
          </w:p>
        </w:tc>
        <w:tc>
          <w:tcPr>
            <w:tcW w:w="3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r>
    </w:tbl>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2025. Dr. Anzalone’s compensation is set forth in the discussion of Executive Compensation and in the Summary Compensation Table. He did not receive any additional compensation for his services as a director.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shd w:val="clear" w:color="auto" w:fill="0071CE"/>
          </w:tcPr>
          <w:p>
            <w:pPr>
              <w:spacing w:after="0"/>
              <w:rPr>
                <w:sz w:val="16"/>
                <w:szCs w:val="16"/>
                <w:color w:val="auto"/>
              </w:rPr>
            </w:pPr>
          </w:p>
        </w:tc>
        <w:tc>
          <w:tcPr>
            <w:tcW w:w="2060" w:type="dxa"/>
            <w:vAlign w:val="bottom"/>
            <w:shd w:val="clear" w:color="auto" w:fill="0071CE"/>
          </w:tcPr>
          <w:p>
            <w:pPr>
              <w:jc w:val="center"/>
              <w:ind w:right="19"/>
              <w:spacing w:after="0"/>
              <w:rPr>
                <w:sz w:val="20"/>
                <w:szCs w:val="20"/>
                <w:color w:val="auto"/>
              </w:rPr>
            </w:pPr>
            <w:r>
              <w:rPr>
                <w:rFonts w:ascii="Arial" w:cs="Arial" w:eastAsia="Arial" w:hAnsi="Arial"/>
                <w:sz w:val="16"/>
                <w:szCs w:val="16"/>
                <w:b w:val="1"/>
                <w:bCs w:val="1"/>
                <w:color w:val="FFFFFF"/>
              </w:rPr>
              <w:t>Fee Earned</w:t>
            </w:r>
          </w:p>
        </w:tc>
        <w:tc>
          <w:tcPr>
            <w:tcW w:w="202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rPr>
              <w:t>Stock</w:t>
            </w:r>
          </w:p>
        </w:tc>
        <w:tc>
          <w:tcPr>
            <w:tcW w:w="1940" w:type="dxa"/>
            <w:vAlign w:val="bottom"/>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200" w:type="dxa"/>
            <w:vAlign w:val="bottom"/>
            <w:shd w:val="clear" w:color="auto" w:fill="0071CE"/>
          </w:tcPr>
          <w:p>
            <w:pPr>
              <w:spacing w:after="0"/>
              <w:rPr>
                <w:sz w:val="7"/>
                <w:szCs w:val="7"/>
                <w:color w:val="auto"/>
              </w:rPr>
            </w:pPr>
          </w:p>
        </w:tc>
        <w:tc>
          <w:tcPr>
            <w:tcW w:w="2060" w:type="dxa"/>
            <w:vAlign w:val="bottom"/>
            <w:vMerge w:val="restart"/>
            <w:shd w:val="clear" w:color="auto" w:fill="0071CE"/>
          </w:tcPr>
          <w:p>
            <w:pPr>
              <w:jc w:val="center"/>
              <w:ind w:right="19"/>
              <w:spacing w:after="0" w:line="162" w:lineRule="exact"/>
              <w:rPr>
                <w:sz w:val="20"/>
                <w:szCs w:val="20"/>
                <w:color w:val="auto"/>
              </w:rPr>
            </w:pPr>
            <w:r>
              <w:rPr>
                <w:rFonts w:ascii="Arial" w:cs="Arial" w:eastAsia="Arial" w:hAnsi="Arial"/>
                <w:sz w:val="16"/>
                <w:szCs w:val="16"/>
                <w:b w:val="1"/>
                <w:bCs w:val="1"/>
                <w:color w:val="FFFFFF"/>
                <w:w w:val="99"/>
              </w:rPr>
              <w:t>or</w:t>
            </w:r>
          </w:p>
        </w:tc>
        <w:tc>
          <w:tcPr>
            <w:tcW w:w="2020" w:type="dxa"/>
            <w:vAlign w:val="bottom"/>
            <w:vMerge w:val="continue"/>
            <w:shd w:val="clear" w:color="auto" w:fill="0071CE"/>
          </w:tcPr>
          <w:p>
            <w:pPr>
              <w:spacing w:after="0"/>
              <w:rPr>
                <w:sz w:val="7"/>
                <w:szCs w:val="7"/>
                <w:color w:val="auto"/>
              </w:rPr>
            </w:pPr>
          </w:p>
        </w:tc>
        <w:tc>
          <w:tcPr>
            <w:tcW w:w="1940" w:type="dxa"/>
            <w:vAlign w:val="bottom"/>
            <w:shd w:val="clear" w:color="auto" w:fill="0071C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0" w:type="dxa"/>
            <w:vAlign w:val="bottom"/>
            <w:vMerge w:val="restart"/>
            <w:shd w:val="clear" w:color="auto" w:fill="0071CE"/>
          </w:tcPr>
          <w:p>
            <w:pPr>
              <w:ind w:left="2400"/>
              <w:spacing w:after="0" w:line="162" w:lineRule="exact"/>
              <w:rPr>
                <w:sz w:val="20"/>
                <w:szCs w:val="20"/>
                <w:color w:val="auto"/>
              </w:rPr>
            </w:pPr>
            <w:r>
              <w:rPr>
                <w:rFonts w:ascii="Arial" w:cs="Arial" w:eastAsia="Arial" w:hAnsi="Arial"/>
                <w:sz w:val="16"/>
                <w:szCs w:val="16"/>
                <w:b w:val="1"/>
                <w:bCs w:val="1"/>
                <w:color w:val="FFFFFF"/>
              </w:rPr>
              <w:t>Name</w:t>
            </w:r>
          </w:p>
        </w:tc>
        <w:tc>
          <w:tcPr>
            <w:tcW w:w="2060" w:type="dxa"/>
            <w:vAlign w:val="bottom"/>
            <w:vMerge w:val="continue"/>
            <w:shd w:val="clear" w:color="auto" w:fill="0071CE"/>
          </w:tcPr>
          <w:p>
            <w:pPr>
              <w:spacing w:after="0"/>
              <w:rPr>
                <w:sz w:val="7"/>
                <w:szCs w:val="7"/>
                <w:color w:val="auto"/>
              </w:rPr>
            </w:pPr>
          </w:p>
        </w:tc>
        <w:tc>
          <w:tcPr>
            <w:tcW w:w="2020" w:type="dxa"/>
            <w:vAlign w:val="bottom"/>
            <w:vMerge w:val="restart"/>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Awards ($)</w:t>
            </w:r>
          </w:p>
        </w:tc>
        <w:tc>
          <w:tcPr>
            <w:tcW w:w="1940" w:type="dxa"/>
            <w:vAlign w:val="bottom"/>
            <w:vMerge w:val="restart"/>
            <w:shd w:val="clear" w:color="auto" w:fill="0071CE"/>
          </w:tcPr>
          <w:p>
            <w:pPr>
              <w:ind w:left="620"/>
              <w:spacing w:after="0" w:line="162" w:lineRule="exact"/>
              <w:rPr>
                <w:sz w:val="20"/>
                <w:szCs w:val="20"/>
                <w:color w:val="auto"/>
              </w:rPr>
            </w:pPr>
            <w:r>
              <w:rPr>
                <w:rFonts w:ascii="Arial" w:cs="Arial" w:eastAsia="Arial" w:hAnsi="Arial"/>
                <w:sz w:val="16"/>
                <w:szCs w:val="16"/>
                <w:b w:val="1"/>
                <w:bCs w:val="1"/>
                <w:color w:val="FFFFFF"/>
              </w:rPr>
              <w:t>Total ($)</w:t>
            </w:r>
          </w:p>
        </w:tc>
        <w:tc>
          <w:tcPr>
            <w:tcW w:w="0" w:type="dxa"/>
            <w:vAlign w:val="bottom"/>
          </w:tcPr>
          <w:p>
            <w:pPr>
              <w:spacing w:after="0"/>
              <w:rPr>
                <w:sz w:val="1"/>
                <w:szCs w:val="1"/>
                <w:color w:val="auto"/>
              </w:rPr>
            </w:pPr>
          </w:p>
        </w:tc>
      </w:tr>
      <w:tr>
        <w:trPr>
          <w:trHeight w:val="81"/>
        </w:trPr>
        <w:tc>
          <w:tcPr>
            <w:tcW w:w="5200" w:type="dxa"/>
            <w:vAlign w:val="bottom"/>
            <w:vMerge w:val="continue"/>
            <w:shd w:val="clear" w:color="auto" w:fill="0071CE"/>
          </w:tcPr>
          <w:p>
            <w:pPr>
              <w:spacing w:after="0"/>
              <w:rPr>
                <w:sz w:val="7"/>
                <w:szCs w:val="7"/>
                <w:color w:val="auto"/>
              </w:rPr>
            </w:pPr>
          </w:p>
        </w:tc>
        <w:tc>
          <w:tcPr>
            <w:tcW w:w="2060" w:type="dxa"/>
            <w:vAlign w:val="bottom"/>
            <w:vMerge w:val="restart"/>
            <w:shd w:val="clear" w:color="auto" w:fill="0071CE"/>
          </w:tcPr>
          <w:p>
            <w:pPr>
              <w:jc w:val="center"/>
              <w:ind w:right="19"/>
              <w:spacing w:after="0" w:line="162" w:lineRule="exact"/>
              <w:rPr>
                <w:sz w:val="20"/>
                <w:szCs w:val="20"/>
                <w:color w:val="auto"/>
              </w:rPr>
            </w:pPr>
            <w:r>
              <w:rPr>
                <w:rFonts w:ascii="Arial" w:cs="Arial" w:eastAsia="Arial" w:hAnsi="Arial"/>
                <w:sz w:val="16"/>
                <w:szCs w:val="16"/>
                <w:b w:val="1"/>
                <w:bCs w:val="1"/>
                <w:color w:val="FFFFFF"/>
                <w:w w:val="99"/>
              </w:rPr>
              <w:t>Paid in Cash</w:t>
            </w:r>
          </w:p>
        </w:tc>
        <w:tc>
          <w:tcPr>
            <w:tcW w:w="2020" w:type="dxa"/>
            <w:vAlign w:val="bottom"/>
            <w:vMerge w:val="continue"/>
            <w:shd w:val="clear" w:color="auto" w:fill="0071CE"/>
          </w:tcPr>
          <w:p>
            <w:pPr>
              <w:spacing w:after="0"/>
              <w:rPr>
                <w:sz w:val="7"/>
                <w:szCs w:val="7"/>
                <w:color w:val="auto"/>
              </w:rPr>
            </w:pPr>
          </w:p>
        </w:tc>
        <w:tc>
          <w:tcPr>
            <w:tcW w:w="1940" w:type="dxa"/>
            <w:vAlign w:val="bottom"/>
            <w:vMerge w:val="continue"/>
            <w:shd w:val="clear" w:color="auto" w:fill="0071C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0" w:type="dxa"/>
            <w:vAlign w:val="bottom"/>
            <w:shd w:val="clear" w:color="auto" w:fill="0071CE"/>
          </w:tcPr>
          <w:p>
            <w:pPr>
              <w:spacing w:after="0"/>
              <w:rPr>
                <w:sz w:val="7"/>
                <w:szCs w:val="7"/>
                <w:color w:val="auto"/>
              </w:rPr>
            </w:pPr>
          </w:p>
        </w:tc>
        <w:tc>
          <w:tcPr>
            <w:tcW w:w="2060" w:type="dxa"/>
            <w:vAlign w:val="bottom"/>
            <w:vMerge w:val="continue"/>
            <w:shd w:val="clear" w:color="auto" w:fill="0071CE"/>
          </w:tcPr>
          <w:p>
            <w:pPr>
              <w:spacing w:after="0"/>
              <w:rPr>
                <w:sz w:val="7"/>
                <w:szCs w:val="7"/>
                <w:color w:val="auto"/>
              </w:rPr>
            </w:pPr>
          </w:p>
        </w:tc>
        <w:tc>
          <w:tcPr>
            <w:tcW w:w="202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rPr>
              <w:t>(1) (2)</w:t>
            </w:r>
          </w:p>
        </w:tc>
        <w:tc>
          <w:tcPr>
            <w:tcW w:w="1940" w:type="dxa"/>
            <w:vAlign w:val="bottom"/>
            <w:shd w:val="clear" w:color="auto" w:fill="0071C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5200" w:type="dxa"/>
            <w:vAlign w:val="bottom"/>
            <w:shd w:val="clear" w:color="auto" w:fill="0071CE"/>
          </w:tcPr>
          <w:p>
            <w:pPr>
              <w:spacing w:after="0"/>
              <w:rPr>
                <w:sz w:val="12"/>
                <w:szCs w:val="12"/>
                <w:color w:val="auto"/>
              </w:rPr>
            </w:pPr>
          </w:p>
        </w:tc>
        <w:tc>
          <w:tcPr>
            <w:tcW w:w="2060" w:type="dxa"/>
            <w:vAlign w:val="bottom"/>
            <w:vMerge w:val="restart"/>
            <w:shd w:val="clear" w:color="auto" w:fill="0071CE"/>
          </w:tcPr>
          <w:p>
            <w:pPr>
              <w:jc w:val="center"/>
              <w:ind w:right="19"/>
              <w:spacing w:after="0"/>
              <w:rPr>
                <w:sz w:val="20"/>
                <w:szCs w:val="20"/>
                <w:color w:val="auto"/>
              </w:rPr>
            </w:pPr>
            <w:r>
              <w:rPr>
                <w:rFonts w:ascii="Arial" w:cs="Arial" w:eastAsia="Arial" w:hAnsi="Arial"/>
                <w:sz w:val="16"/>
                <w:szCs w:val="16"/>
                <w:b w:val="1"/>
                <w:bCs w:val="1"/>
                <w:color w:val="FFFFFF"/>
              </w:rPr>
              <w:t>($)</w:t>
            </w:r>
          </w:p>
        </w:tc>
        <w:tc>
          <w:tcPr>
            <w:tcW w:w="2020" w:type="dxa"/>
            <w:vAlign w:val="bottom"/>
            <w:vMerge w:val="continue"/>
            <w:shd w:val="clear" w:color="auto" w:fill="0071CE"/>
          </w:tcPr>
          <w:p>
            <w:pPr>
              <w:spacing w:after="0"/>
              <w:rPr>
                <w:sz w:val="12"/>
                <w:szCs w:val="12"/>
                <w:color w:val="auto"/>
              </w:rPr>
            </w:pPr>
          </w:p>
        </w:tc>
        <w:tc>
          <w:tcPr>
            <w:tcW w:w="194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200" w:type="dxa"/>
            <w:vAlign w:val="bottom"/>
            <w:tcBorders>
              <w:bottom w:val="single" w:sz="8" w:color="0071CE"/>
            </w:tcBorders>
            <w:shd w:val="clear" w:color="auto" w:fill="0071CE"/>
          </w:tcPr>
          <w:p>
            <w:pPr>
              <w:spacing w:after="0"/>
              <w:rPr>
                <w:sz w:val="8"/>
                <w:szCs w:val="8"/>
                <w:color w:val="auto"/>
              </w:rPr>
            </w:pPr>
          </w:p>
        </w:tc>
        <w:tc>
          <w:tcPr>
            <w:tcW w:w="2060" w:type="dxa"/>
            <w:vAlign w:val="bottom"/>
            <w:tcBorders>
              <w:bottom w:val="single" w:sz="8" w:color="0071CE"/>
            </w:tcBorders>
            <w:vMerge w:val="continue"/>
            <w:shd w:val="clear" w:color="auto" w:fill="0071CE"/>
          </w:tcPr>
          <w:p>
            <w:pPr>
              <w:spacing w:after="0"/>
              <w:rPr>
                <w:sz w:val="8"/>
                <w:szCs w:val="8"/>
                <w:color w:val="auto"/>
              </w:rPr>
            </w:pPr>
          </w:p>
        </w:tc>
        <w:tc>
          <w:tcPr>
            <w:tcW w:w="2020" w:type="dxa"/>
            <w:vAlign w:val="bottom"/>
            <w:tcBorders>
              <w:bottom w:val="single" w:sz="8" w:color="0071CE"/>
            </w:tcBorders>
            <w:shd w:val="clear" w:color="auto" w:fill="0071CE"/>
          </w:tcPr>
          <w:p>
            <w:pPr>
              <w:spacing w:after="0"/>
              <w:rPr>
                <w:sz w:val="8"/>
                <w:szCs w:val="8"/>
                <w:color w:val="auto"/>
              </w:rPr>
            </w:pPr>
          </w:p>
        </w:tc>
        <w:tc>
          <w:tcPr>
            <w:tcW w:w="1940" w:type="dxa"/>
            <w:vAlign w:val="bottom"/>
            <w:tcBorders>
              <w:bottom w:val="single" w:sz="8" w:color="0071CE"/>
            </w:tcBorders>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Douglass Given (3)</w:t>
            </w:r>
          </w:p>
        </w:tc>
        <w:tc>
          <w:tcPr>
            <w:tcW w:w="206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$23,750</w:t>
            </w:r>
          </w:p>
        </w:tc>
        <w:tc>
          <w:tcPr>
            <w:tcW w:w="2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9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$23,750</w:t>
            </w:r>
          </w:p>
        </w:tc>
        <w:tc>
          <w:tcPr>
            <w:tcW w:w="0" w:type="dxa"/>
            <w:vAlign w:val="bottom"/>
          </w:tcPr>
          <w:p>
            <w:pPr>
              <w:spacing w:after="0"/>
              <w:rPr>
                <w:sz w:val="1"/>
                <w:szCs w:val="1"/>
                <w:color w:val="auto"/>
              </w:rPr>
            </w:pPr>
          </w:p>
        </w:tc>
      </w:tr>
      <w:tr>
        <w:trPr>
          <w:trHeight w:val="215"/>
        </w:trPr>
        <w:tc>
          <w:tcPr>
            <w:tcW w:w="5200" w:type="dxa"/>
            <w:vAlign w:val="bottom"/>
          </w:tcPr>
          <w:p>
            <w:pPr>
              <w:ind w:left="120"/>
              <w:spacing w:after="0"/>
              <w:rPr>
                <w:sz w:val="20"/>
                <w:szCs w:val="20"/>
                <w:color w:val="auto"/>
              </w:rPr>
            </w:pPr>
            <w:r>
              <w:rPr>
                <w:rFonts w:ascii="Arial" w:cs="Arial" w:eastAsia="Arial" w:hAnsi="Arial"/>
                <w:sz w:val="16"/>
                <w:szCs w:val="16"/>
                <w:color w:val="auto"/>
              </w:rPr>
              <w:t>Michael S. Perry</w:t>
            </w:r>
          </w:p>
        </w:tc>
        <w:tc>
          <w:tcPr>
            <w:tcW w:w="2060" w:type="dxa"/>
            <w:vAlign w:val="bottom"/>
          </w:tcPr>
          <w:p>
            <w:pPr>
              <w:jc w:val="center"/>
              <w:ind w:right="19"/>
              <w:spacing w:after="0"/>
              <w:rPr>
                <w:sz w:val="20"/>
                <w:szCs w:val="20"/>
                <w:color w:val="auto"/>
              </w:rPr>
            </w:pPr>
            <w:r>
              <w:rPr>
                <w:rFonts w:ascii="Arial" w:cs="Arial" w:eastAsia="Arial" w:hAnsi="Arial"/>
                <w:sz w:val="16"/>
                <w:szCs w:val="16"/>
                <w:color w:val="auto"/>
              </w:rPr>
              <w:t>$87,500</w:t>
            </w:r>
          </w:p>
        </w:tc>
        <w:tc>
          <w:tcPr>
            <w:tcW w:w="2020" w:type="dxa"/>
            <w:vAlign w:val="bottom"/>
          </w:tcPr>
          <w:p>
            <w:pPr>
              <w:jc w:val="center"/>
              <w:spacing w:after="0"/>
              <w:rPr>
                <w:sz w:val="20"/>
                <w:szCs w:val="20"/>
                <w:color w:val="auto"/>
              </w:rPr>
            </w:pPr>
            <w:r>
              <w:rPr>
                <w:rFonts w:ascii="Arial" w:cs="Arial" w:eastAsia="Arial" w:hAnsi="Arial"/>
                <w:sz w:val="16"/>
                <w:szCs w:val="16"/>
                <w:color w:val="auto"/>
              </w:rPr>
              <w:t>$340,684</w:t>
            </w:r>
          </w:p>
        </w:tc>
        <w:tc>
          <w:tcPr>
            <w:tcW w:w="1940" w:type="dxa"/>
            <w:vAlign w:val="bottom"/>
          </w:tcPr>
          <w:p>
            <w:pPr>
              <w:jc w:val="center"/>
              <w:spacing w:after="0"/>
              <w:rPr>
                <w:sz w:val="20"/>
                <w:szCs w:val="20"/>
                <w:color w:val="auto"/>
              </w:rPr>
            </w:pPr>
            <w:r>
              <w:rPr>
                <w:rFonts w:ascii="Arial" w:cs="Arial" w:eastAsia="Arial" w:hAnsi="Arial"/>
                <w:sz w:val="16"/>
                <w:szCs w:val="16"/>
                <w:color w:val="auto"/>
              </w:rPr>
              <w:t>$428,184</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Mauro Ferrari</w:t>
            </w:r>
          </w:p>
        </w:tc>
        <w:tc>
          <w:tcPr>
            <w:tcW w:w="206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$80,000</w:t>
            </w:r>
          </w:p>
        </w:tc>
        <w:tc>
          <w:tcPr>
            <w:tcW w:w="2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$340,684</w:t>
            </w:r>
          </w:p>
        </w:tc>
        <w:tc>
          <w:tcPr>
            <w:tcW w:w="19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$420,684</w:t>
            </w:r>
          </w:p>
        </w:tc>
        <w:tc>
          <w:tcPr>
            <w:tcW w:w="0" w:type="dxa"/>
            <w:vAlign w:val="bottom"/>
          </w:tcPr>
          <w:p>
            <w:pPr>
              <w:spacing w:after="0"/>
              <w:rPr>
                <w:sz w:val="1"/>
                <w:szCs w:val="1"/>
                <w:color w:val="auto"/>
              </w:rPr>
            </w:pPr>
          </w:p>
        </w:tc>
      </w:tr>
      <w:tr>
        <w:trPr>
          <w:trHeight w:val="215"/>
        </w:trPr>
        <w:tc>
          <w:tcPr>
            <w:tcW w:w="5200" w:type="dxa"/>
            <w:vAlign w:val="bottom"/>
          </w:tcPr>
          <w:p>
            <w:pPr>
              <w:ind w:left="120"/>
              <w:spacing w:after="0"/>
              <w:rPr>
                <w:sz w:val="20"/>
                <w:szCs w:val="20"/>
                <w:color w:val="auto"/>
              </w:rPr>
            </w:pPr>
            <w:r>
              <w:rPr>
                <w:rFonts w:ascii="Arial" w:cs="Arial" w:eastAsia="Arial" w:hAnsi="Arial"/>
                <w:sz w:val="16"/>
                <w:szCs w:val="16"/>
                <w:color w:val="auto"/>
              </w:rPr>
              <w:t>William Waddill</w:t>
            </w:r>
          </w:p>
        </w:tc>
        <w:tc>
          <w:tcPr>
            <w:tcW w:w="2060" w:type="dxa"/>
            <w:vAlign w:val="bottom"/>
          </w:tcPr>
          <w:p>
            <w:pPr>
              <w:jc w:val="center"/>
              <w:ind w:right="19"/>
              <w:spacing w:after="0"/>
              <w:rPr>
                <w:sz w:val="20"/>
                <w:szCs w:val="20"/>
                <w:color w:val="auto"/>
              </w:rPr>
            </w:pPr>
            <w:r>
              <w:rPr>
                <w:rFonts w:ascii="Arial" w:cs="Arial" w:eastAsia="Arial" w:hAnsi="Arial"/>
                <w:sz w:val="16"/>
                <w:szCs w:val="16"/>
                <w:color w:val="auto"/>
              </w:rPr>
              <w:t>$97,500</w:t>
            </w:r>
          </w:p>
        </w:tc>
        <w:tc>
          <w:tcPr>
            <w:tcW w:w="2020" w:type="dxa"/>
            <w:vAlign w:val="bottom"/>
          </w:tcPr>
          <w:p>
            <w:pPr>
              <w:jc w:val="center"/>
              <w:spacing w:after="0"/>
              <w:rPr>
                <w:sz w:val="20"/>
                <w:szCs w:val="20"/>
                <w:color w:val="auto"/>
              </w:rPr>
            </w:pPr>
            <w:r>
              <w:rPr>
                <w:rFonts w:ascii="Arial" w:cs="Arial" w:eastAsia="Arial" w:hAnsi="Arial"/>
                <w:sz w:val="16"/>
                <w:szCs w:val="16"/>
                <w:color w:val="auto"/>
              </w:rPr>
              <w:t>$340,684</w:t>
            </w:r>
          </w:p>
        </w:tc>
        <w:tc>
          <w:tcPr>
            <w:tcW w:w="1940" w:type="dxa"/>
            <w:vAlign w:val="bottom"/>
          </w:tcPr>
          <w:p>
            <w:pPr>
              <w:jc w:val="center"/>
              <w:spacing w:after="0"/>
              <w:rPr>
                <w:sz w:val="20"/>
                <w:szCs w:val="20"/>
                <w:color w:val="auto"/>
              </w:rPr>
            </w:pPr>
            <w:r>
              <w:rPr>
                <w:rFonts w:ascii="Arial" w:cs="Arial" w:eastAsia="Arial" w:hAnsi="Arial"/>
                <w:sz w:val="16"/>
                <w:szCs w:val="16"/>
                <w:color w:val="auto"/>
              </w:rPr>
              <w:t>$438,184</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Hongbo Lu</w:t>
            </w:r>
          </w:p>
        </w:tc>
        <w:tc>
          <w:tcPr>
            <w:tcW w:w="206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$80,000</w:t>
            </w:r>
          </w:p>
        </w:tc>
        <w:tc>
          <w:tcPr>
            <w:tcW w:w="2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$340,684</w:t>
            </w:r>
          </w:p>
        </w:tc>
        <w:tc>
          <w:tcPr>
            <w:tcW w:w="19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$420,684</w:t>
            </w:r>
          </w:p>
        </w:tc>
        <w:tc>
          <w:tcPr>
            <w:tcW w:w="0" w:type="dxa"/>
            <w:vAlign w:val="bottom"/>
          </w:tcPr>
          <w:p>
            <w:pPr>
              <w:spacing w:after="0"/>
              <w:rPr>
                <w:sz w:val="1"/>
                <w:szCs w:val="1"/>
                <w:color w:val="auto"/>
              </w:rPr>
            </w:pPr>
          </w:p>
        </w:tc>
      </w:tr>
      <w:tr>
        <w:trPr>
          <w:trHeight w:val="215"/>
        </w:trPr>
        <w:tc>
          <w:tcPr>
            <w:tcW w:w="5200" w:type="dxa"/>
            <w:vAlign w:val="bottom"/>
          </w:tcPr>
          <w:p>
            <w:pPr>
              <w:ind w:left="120"/>
              <w:spacing w:after="0"/>
              <w:rPr>
                <w:sz w:val="20"/>
                <w:szCs w:val="20"/>
                <w:color w:val="auto"/>
              </w:rPr>
            </w:pPr>
            <w:r>
              <w:rPr>
                <w:rFonts w:ascii="Arial" w:cs="Arial" w:eastAsia="Arial" w:hAnsi="Arial"/>
                <w:sz w:val="16"/>
                <w:szCs w:val="16"/>
                <w:color w:val="auto"/>
              </w:rPr>
              <w:t>Douglas Ingram (4)(5)</w:t>
            </w:r>
          </w:p>
        </w:tc>
        <w:tc>
          <w:tcPr>
            <w:tcW w:w="2060" w:type="dxa"/>
            <w:vAlign w:val="bottom"/>
          </w:tcPr>
          <w:p>
            <w:pPr>
              <w:jc w:val="center"/>
              <w:ind w:right="19"/>
              <w:spacing w:after="0"/>
              <w:rPr>
                <w:sz w:val="20"/>
                <w:szCs w:val="20"/>
                <w:color w:val="auto"/>
              </w:rPr>
            </w:pPr>
            <w:r>
              <w:rPr>
                <w:rFonts w:ascii="Arial" w:cs="Arial" w:eastAsia="Arial" w:hAnsi="Arial"/>
                <w:sz w:val="16"/>
                <w:szCs w:val="16"/>
                <w:color w:val="auto"/>
              </w:rPr>
              <w:t>$60,000</w:t>
            </w:r>
          </w:p>
        </w:tc>
        <w:tc>
          <w:tcPr>
            <w:tcW w:w="2020" w:type="dxa"/>
            <w:vAlign w:val="bottom"/>
          </w:tcPr>
          <w:p>
            <w:pPr>
              <w:jc w:val="center"/>
              <w:spacing w:after="0"/>
              <w:rPr>
                <w:sz w:val="20"/>
                <w:szCs w:val="20"/>
                <w:color w:val="auto"/>
              </w:rPr>
            </w:pPr>
            <w:r>
              <w:rPr>
                <w:rFonts w:ascii="Arial" w:cs="Arial" w:eastAsia="Arial" w:hAnsi="Arial"/>
                <w:sz w:val="16"/>
                <w:szCs w:val="16"/>
                <w:color w:val="auto"/>
              </w:rPr>
              <w:t>$786,350</w:t>
            </w:r>
          </w:p>
        </w:tc>
        <w:tc>
          <w:tcPr>
            <w:tcW w:w="1940" w:type="dxa"/>
            <w:vAlign w:val="bottom"/>
          </w:tcPr>
          <w:p>
            <w:pPr>
              <w:jc w:val="center"/>
              <w:spacing w:after="0"/>
              <w:rPr>
                <w:sz w:val="20"/>
                <w:szCs w:val="20"/>
                <w:color w:val="auto"/>
              </w:rPr>
            </w:pPr>
            <w:r>
              <w:rPr>
                <w:rFonts w:ascii="Arial" w:cs="Arial" w:eastAsia="Arial" w:hAnsi="Arial"/>
                <w:sz w:val="16"/>
                <w:szCs w:val="16"/>
                <w:color w:val="auto"/>
              </w:rPr>
              <w:t>$846,350</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Adeoye Olukotun</w:t>
            </w:r>
          </w:p>
        </w:tc>
        <w:tc>
          <w:tcPr>
            <w:tcW w:w="2060" w:type="dxa"/>
            <w:vAlign w:val="bottom"/>
            <w:shd w:val="clear" w:color="auto" w:fill="E5E5E5"/>
          </w:tcPr>
          <w:p>
            <w:pPr>
              <w:jc w:val="center"/>
              <w:ind w:right="19"/>
              <w:spacing w:after="0"/>
              <w:rPr>
                <w:sz w:val="20"/>
                <w:szCs w:val="20"/>
                <w:color w:val="auto"/>
              </w:rPr>
            </w:pPr>
            <w:r>
              <w:rPr>
                <w:rFonts w:ascii="Arial" w:cs="Arial" w:eastAsia="Arial" w:hAnsi="Arial"/>
                <w:sz w:val="16"/>
                <w:szCs w:val="16"/>
                <w:color w:val="auto"/>
              </w:rPr>
              <w:t>$80,000</w:t>
            </w:r>
          </w:p>
        </w:tc>
        <w:tc>
          <w:tcPr>
            <w:tcW w:w="2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$340,684</w:t>
            </w:r>
          </w:p>
        </w:tc>
        <w:tc>
          <w:tcPr>
            <w:tcW w:w="19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$420,684</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026DCE"/>
            </w:tcBorders>
          </w:tcPr>
          <w:p>
            <w:pPr>
              <w:ind w:left="120"/>
              <w:spacing w:after="0"/>
              <w:rPr>
                <w:sz w:val="20"/>
                <w:szCs w:val="20"/>
                <w:color w:val="auto"/>
              </w:rPr>
            </w:pPr>
            <w:r>
              <w:rPr>
                <w:rFonts w:ascii="Arial" w:cs="Arial" w:eastAsia="Arial" w:hAnsi="Arial"/>
                <w:sz w:val="16"/>
                <w:szCs w:val="16"/>
                <w:color w:val="auto"/>
              </w:rPr>
              <w:t>Victoria Vakiener</w:t>
            </w:r>
          </w:p>
        </w:tc>
        <w:tc>
          <w:tcPr>
            <w:tcW w:w="2060" w:type="dxa"/>
            <w:vAlign w:val="bottom"/>
            <w:tcBorders>
              <w:bottom w:val="single" w:sz="8" w:color="026DCE"/>
            </w:tcBorders>
          </w:tcPr>
          <w:p>
            <w:pPr>
              <w:jc w:val="center"/>
              <w:ind w:right="19"/>
              <w:spacing w:after="0"/>
              <w:rPr>
                <w:sz w:val="20"/>
                <w:szCs w:val="20"/>
                <w:color w:val="auto"/>
              </w:rPr>
            </w:pPr>
            <w:r>
              <w:rPr>
                <w:rFonts w:ascii="Arial" w:cs="Arial" w:eastAsia="Arial" w:hAnsi="Arial"/>
                <w:sz w:val="16"/>
                <w:szCs w:val="16"/>
                <w:color w:val="auto"/>
              </w:rPr>
              <w:t>$83,750</w:t>
            </w:r>
          </w:p>
        </w:tc>
        <w:tc>
          <w:tcPr>
            <w:tcW w:w="2020" w:type="dxa"/>
            <w:vAlign w:val="bottom"/>
            <w:tcBorders>
              <w:bottom w:val="single" w:sz="8" w:color="026DCE"/>
            </w:tcBorders>
          </w:tcPr>
          <w:p>
            <w:pPr>
              <w:jc w:val="center"/>
              <w:spacing w:after="0"/>
              <w:rPr>
                <w:sz w:val="20"/>
                <w:szCs w:val="20"/>
                <w:color w:val="auto"/>
              </w:rPr>
            </w:pPr>
            <w:r>
              <w:rPr>
                <w:rFonts w:ascii="Arial" w:cs="Arial" w:eastAsia="Arial" w:hAnsi="Arial"/>
                <w:sz w:val="16"/>
                <w:szCs w:val="16"/>
                <w:color w:val="auto"/>
              </w:rPr>
              <w:t>$340,684</w:t>
            </w:r>
          </w:p>
        </w:tc>
        <w:tc>
          <w:tcPr>
            <w:tcW w:w="1940" w:type="dxa"/>
            <w:vAlign w:val="bottom"/>
            <w:tcBorders>
              <w:bottom w:val="single" w:sz="8" w:color="026DCE"/>
            </w:tcBorders>
          </w:tcPr>
          <w:p>
            <w:pPr>
              <w:jc w:val="center"/>
              <w:spacing w:after="0"/>
              <w:rPr>
                <w:sz w:val="20"/>
                <w:szCs w:val="20"/>
                <w:color w:val="auto"/>
              </w:rPr>
            </w:pPr>
            <w:r>
              <w:rPr>
                <w:rFonts w:ascii="Arial" w:cs="Arial" w:eastAsia="Arial" w:hAnsi="Arial"/>
                <w:sz w:val="16"/>
                <w:szCs w:val="16"/>
                <w:color w:val="auto"/>
              </w:rPr>
              <w:t>$424,434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500" w:hanging="492"/>
        <w:spacing w:after="0" w:line="248" w:lineRule="auto"/>
        <w:tabs>
          <w:tab w:leader="none" w:pos="48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RSUs granted during fiscal year 2025 to each director. The assumptions used to calculate the value of the stock underlying the RSU awards are set forth in Note 9 of the Notes to the Consolidated Financial Statements included with the Company’s Annual Report on Form 10-K.</w:t>
      </w:r>
    </w:p>
    <w:p>
      <w:pPr>
        <w:jc w:val="both"/>
        <w:ind w:left="500" w:hanging="492"/>
        <w:spacing w:after="0" w:line="272" w:lineRule="auto"/>
        <w:tabs>
          <w:tab w:leader="none" w:pos="48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 subject to continued service through the vesting date, with the exception of the RSUs granted to Mr. Ingram in connection with his appointment to the Board, which vest in three equal installments on each anniversary of the date of grant, subject to continued service through each such vesting date.</w:t>
      </w:r>
    </w:p>
    <w:p>
      <w:pPr>
        <w:spacing w:after="0" w:line="19" w:lineRule="exact"/>
        <w:rPr>
          <w:rFonts w:ascii="Arial" w:cs="Arial" w:eastAsia="Arial" w:hAnsi="Arial"/>
          <w:sz w:val="14"/>
          <w:szCs w:val="14"/>
          <w:color w:val="auto"/>
        </w:rPr>
      </w:pPr>
    </w:p>
    <w:p>
      <w:pPr>
        <w:ind w:left="480" w:hanging="472"/>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Douglass Given retired from the Board effective as of December 31, 2024.</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Ingram joined the Board during fiscal year 2025 and his cash compensation was pro-rated for such fiscal year.</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connection with his appointment, Mr. Ingram received a sign-on grant of restricted stock units valued at $786,350.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743585</wp:posOffset>
            </wp:positionV>
            <wp:extent cx="98615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As of the last day of fiscal year 2025, the directors held the following outstanding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grants in the aggregate: Douglass Given — 0; Michael S. Perry — 16,733; Mauro Ferrari —16,733; William Waddill — 16,733; Adeoye Olukotun — 16,733; Victoria Vakiener — 16,733; Hongbo Lu — 32,786; and Douglas Ingram —38,396.</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the last day of fiscal year 2025, the directors held the following outstanding option ("</w:t>
      </w:r>
      <w:r>
        <w:rPr>
          <w:rFonts w:ascii="Arial" w:cs="Arial" w:eastAsia="Arial" w:hAnsi="Arial"/>
          <w:sz w:val="16"/>
          <w:szCs w:val="16"/>
          <w:b w:val="1"/>
          <w:bCs w:val="1"/>
          <w:color w:val="auto"/>
        </w:rPr>
        <w:t>Options</w:t>
      </w:r>
      <w:r>
        <w:rPr>
          <w:rFonts w:ascii="Arial" w:cs="Arial" w:eastAsia="Arial" w:hAnsi="Arial"/>
          <w:sz w:val="16"/>
          <w:szCs w:val="16"/>
          <w:color w:val="auto"/>
        </w:rPr>
        <w:t>") grants in the aggregate: Douglass Given — 0; Michael S. Perry — 4,593; Mauro Ferrari — 4,593; William Waddill — 4,593; Adeoye Olukotun — 4,593; Victoria Vakiener — 4,593; Hongbo Lu — 0; and Douglas Ingram — 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nominees listed above receiving more “FOR” votes than “AGAINST” votes, assuming a quorum is present, will be elected as directors to serve until the 2027 Annual Meeting or until their successors have been duly elected and qualified. Because directors are elected by a majority of votes cast, abstentions from voting and broker non-votes, if any,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156210</wp:posOffset>
            </wp:positionV>
            <wp:extent cx="4663440" cy="368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63440" cy="368935"/>
                    </a:xfrm>
                    <a:prstGeom prst="rect">
                      <a:avLst/>
                    </a:prstGeom>
                    <a:noFill/>
                  </pic:spPr>
                </pic:pic>
              </a:graphicData>
            </a:graphic>
          </wp:anchor>
        </w:drawing>
      </w:r>
    </w:p>
    <w:p>
      <w:pPr>
        <w:spacing w:after="0" w:line="266"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39"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EACH OF THE NOMINEES FOR DIRECTOR IN 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598805</wp:posOffset>
            </wp:positionV>
            <wp:extent cx="986155"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55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Two — Approval of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6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of this Proxy Statement for the year ended September 30, 2025. As required pursuant to Section 14A of the Exchange Act, the Board is asking stockholders to cast a non-binding, advisory vote “FOR” the following resolution:</w:t>
      </w:r>
    </w:p>
    <w:p>
      <w:pPr>
        <w:spacing w:after="0" w:line="77"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in this Proxy Statement, is hereby APPROVED, on an advisory basis.”</w:t>
      </w:r>
    </w:p>
    <w:p>
      <w:pPr>
        <w:spacing w:after="0" w:line="15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NEOs.</w:t>
      </w:r>
    </w:p>
    <w:p>
      <w:pPr>
        <w:spacing w:after="0" w:line="14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at the 2027 Annual Meeting.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if any,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150495</wp:posOffset>
            </wp:positionV>
            <wp:extent cx="4483100" cy="4972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83100" cy="49720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743585</wp:posOffset>
            </wp:positionV>
            <wp:extent cx="98615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1" w:name="page22"/>
    <w:bookmarkEnd w:id="21"/>
    <w:p>
      <w:pPr>
        <w:ind w:left="98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63" w:lineRule="exact"/>
        <w:rPr>
          <w:sz w:val="20"/>
          <w:szCs w:val="20"/>
          <w:color w:val="auto"/>
        </w:rPr>
      </w:pPr>
    </w:p>
    <w:p>
      <w:pPr>
        <w:jc w:val="right"/>
        <w:spacing w:after="0"/>
        <w:tabs>
          <w:tab w:leader="none" w:pos="506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Three — Approval of Amended and Restated 2021 Incentive Plan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900"/>
        <w:spacing w:after="0" w:line="307" w:lineRule="auto"/>
        <w:rPr>
          <w:sz w:val="20"/>
          <w:szCs w:val="20"/>
          <w:color w:val="auto"/>
        </w:rPr>
      </w:pPr>
      <w:r>
        <w:rPr>
          <w:rFonts w:ascii="Arial" w:cs="Arial" w:eastAsia="Arial" w:hAnsi="Arial"/>
          <w:sz w:val="32"/>
          <w:szCs w:val="32"/>
          <w:b w:val="1"/>
          <w:bCs w:val="1"/>
          <w:color w:val="026DCE"/>
        </w:rPr>
        <w:t>Proposal Three —Approval of the Arrowhead Pharmaceuticals, Inc. Amended and Restated 2021 Incentive Plan</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On January 26, 2021, the Board adopted the Arrowhead Pharmaceuticals, Inc. 2021 Incentive Plan (the “</w:t>
      </w:r>
      <w:r>
        <w:rPr>
          <w:rFonts w:ascii="Arial" w:cs="Arial" w:eastAsia="Arial" w:hAnsi="Arial"/>
          <w:sz w:val="16"/>
          <w:szCs w:val="16"/>
          <w:b w:val="1"/>
          <w:bCs w:val="1"/>
          <w:color w:val="auto"/>
        </w:rPr>
        <w:t>Original Plan</w:t>
      </w:r>
      <w:r>
        <w:rPr>
          <w:rFonts w:ascii="Arial" w:cs="Arial" w:eastAsia="Arial" w:hAnsi="Arial"/>
          <w:sz w:val="16"/>
          <w:szCs w:val="16"/>
          <w:color w:val="auto"/>
        </w:rPr>
        <w:t>”), which was subsequently approved by the Company’s stockholders on March 18, 2021. The Original Plan replaced the Company’s 2013 Incentive Plan (the “</w:t>
      </w:r>
      <w:r>
        <w:rPr>
          <w:rFonts w:ascii="Arial" w:cs="Arial" w:eastAsia="Arial" w:hAnsi="Arial"/>
          <w:sz w:val="16"/>
          <w:szCs w:val="16"/>
          <w:b w:val="1"/>
          <w:bCs w:val="1"/>
          <w:color w:val="auto"/>
        </w:rPr>
        <w:t>Prior Plan</w:t>
      </w:r>
      <w:r>
        <w:rPr>
          <w:rFonts w:ascii="Arial" w:cs="Arial" w:eastAsia="Arial" w:hAnsi="Arial"/>
          <w:sz w:val="16"/>
          <w:szCs w:val="16"/>
          <w:color w:val="auto"/>
        </w:rPr>
        <w:t>”) with respect to the grant of new awards from and after March 18, 2021. In order to continue to provide employees, directors, consultants and key advisors with stock-based incentives, on January 21, 2026, the Board approved, subject to stockholder approval, the Arrowhead Pharmaceuticals, Inc. Amended and Restated 2021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to increase the total number of shares of the Company’s common stock available for stock-based awards by 10,500,000 shares, extend the term of the Plan to January 21, 2036, and make certain other administrative changes. The Plan will become effective only after approval of stockholders at the Annual Meeting. We believe that employees, directors, consultants and key advisors should have a significant stake in the Company under programs that link compensation to stockholder return. As a result, equity compensation is considered to be an integral part of the Company’s compensation program. The Board approved the Plan because the Original Plan has very limited remaining shares available for grant and the Company does not have any other plans under which equity awards can be granted to existing employees. If stockholders do not approve this proposal, we will continue to have the authority to grant awards under the Original Plan, but the proposed 10,500,000 share increase will not be effective, which could result in a serious disruption of our compensation programs and will limit our ability to provide retention incentives to our executives and other employees. Equity awards are a significant component of total compensation for our executive officers and other employees and are vital to our ability to attract and retain outstanding and highly skilled individuals in the extremely competitive labor markets in which we must compete. If stockholders do not approve the proposal, we would need to grant cash and other non-equity rewards to these individuals. We believe that such alternative forms of compensation do not align employee interests with those of stockholders as efficiently as equity-based awards, and we think it is important to provide compensation that continues to effectively align employees with stockholders and which provides a total compensation package that is competitive with other companies. We strongly believe that the approval of this proposal is instrumental to our continued success.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believes that the Plan will continue to promote the interests of stockholders and is consistent with principles of good corporate governance, including:</w:t>
      </w:r>
    </w:p>
    <w:p>
      <w:pPr>
        <w:spacing w:after="0" w:line="182" w:lineRule="exact"/>
        <w:rPr>
          <w:sz w:val="20"/>
          <w:szCs w:val="20"/>
          <w:color w:val="auto"/>
        </w:rPr>
      </w:pPr>
    </w:p>
    <w:p>
      <w:pPr>
        <w:ind w:left="660" w:hanging="328"/>
        <w:spacing w:after="0" w:line="251"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Independent Committee. The Plan will continue to be administered by our Compensation Committee, which is composed entirely of independent directors who meet the Nasdaq standards for independence and who meet the definition of “non-employee directors” under Rule 16b-3(b)(3).</w:t>
      </w:r>
    </w:p>
    <w:p>
      <w:pPr>
        <w:spacing w:after="0" w:line="195" w:lineRule="exact"/>
        <w:rPr>
          <w:rFonts w:ascii="Arial" w:cs="Arial" w:eastAsia="Arial" w:hAnsi="Arial"/>
          <w:sz w:val="16"/>
          <w:szCs w:val="16"/>
          <w:color w:val="auto"/>
        </w:rPr>
      </w:pPr>
    </w:p>
    <w:p>
      <w:pPr>
        <w:ind w:left="660" w:hanging="328"/>
        <w:spacing w:after="0" w:line="251"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Discounted Stock Options or SARs. All stock option and stock appreciation rights (“</w:t>
      </w:r>
      <w:r>
        <w:rPr>
          <w:rFonts w:ascii="Arial" w:cs="Arial" w:eastAsia="Arial" w:hAnsi="Arial"/>
          <w:sz w:val="16"/>
          <w:szCs w:val="16"/>
          <w:b w:val="1"/>
          <w:bCs w:val="1"/>
          <w:color w:val="auto"/>
        </w:rPr>
        <w:t>SAR</w:t>
      </w:r>
      <w:r>
        <w:rPr>
          <w:rFonts w:ascii="Arial" w:cs="Arial" w:eastAsia="Arial" w:hAnsi="Arial"/>
          <w:sz w:val="16"/>
          <w:szCs w:val="16"/>
          <w:color w:val="auto"/>
        </w:rPr>
        <w:t>”) awards under the Plan must continue to have an exercise or base price that is not less than the fair market value of the underlying common stock on the date of grant.</w:t>
      </w:r>
    </w:p>
    <w:p>
      <w:pPr>
        <w:spacing w:after="0" w:line="182" w:lineRule="exact"/>
        <w:rPr>
          <w:rFonts w:ascii="Arial" w:cs="Arial" w:eastAsia="Arial" w:hAnsi="Arial"/>
          <w:sz w:val="16"/>
          <w:szCs w:val="16"/>
          <w:color w:val="auto"/>
        </w:rPr>
      </w:pPr>
    </w:p>
    <w:p>
      <w:pPr>
        <w:ind w:left="1300" w:right="20" w:hanging="320"/>
        <w:spacing w:after="0" w:line="251" w:lineRule="auto"/>
        <w:tabs>
          <w:tab w:leader="none" w:pos="1317"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 Repricing. Other than in connection with a corporate transaction affecting the Company, the Plan prohibits any repricing of stock options or SARs without stockholder approval.</w:t>
      </w:r>
    </w:p>
    <w:p>
      <w:pPr>
        <w:spacing w:after="0" w:line="182" w:lineRule="exact"/>
        <w:rPr>
          <w:rFonts w:ascii="Arial" w:cs="Arial" w:eastAsia="Arial" w:hAnsi="Arial"/>
          <w:sz w:val="16"/>
          <w:szCs w:val="16"/>
          <w:color w:val="auto"/>
        </w:rPr>
      </w:pPr>
    </w:p>
    <w:p>
      <w:pPr>
        <w:ind w:left="1300" w:hanging="320"/>
        <w:spacing w:after="0" w:line="251" w:lineRule="auto"/>
        <w:tabs>
          <w:tab w:leader="none" w:pos="1303"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 Dividends on Unvested Awards. Dividends or dividend equivalent amounts payable in respect of awards are subject to the same vesting and forfeiture restrictions as apply to the underlying awards.</w:t>
      </w:r>
    </w:p>
    <w:p>
      <w:pPr>
        <w:spacing w:after="0" w:line="182" w:lineRule="exact"/>
        <w:rPr>
          <w:rFonts w:ascii="Arial" w:cs="Arial" w:eastAsia="Arial" w:hAnsi="Arial"/>
          <w:sz w:val="16"/>
          <w:szCs w:val="16"/>
          <w:color w:val="auto"/>
        </w:rPr>
      </w:pPr>
    </w:p>
    <w:p>
      <w:pPr>
        <w:jc w:val="both"/>
        <w:ind w:left="660" w:hanging="328"/>
        <w:spacing w:after="0" w:line="222"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Minimum Vesting. All awards are still subject to a one-year minimum vesting requirement, provided that (i) we may grant up to a maximum of 5% of the aggregate number of shares available for issuance under the Plan without such a minimum vesting period, (ii) awards to non-employee directors need not comply with the one year minimum vesting requirement so long as such awards do not vest earlier than the date of the annual meeting following the grant date, provided that such annual meeting is at least 50 weeks after the immediately preceding year's annual meeting, and (iii) awards granted in connection with a merger or acquisition as a substitute or replacement award for awards held by grantees of the acquired business need not comply with the one (1) year minimum vesting requirements.</w:t>
      </w:r>
    </w:p>
    <w:p>
      <w:pPr>
        <w:spacing w:after="0" w:line="193" w:lineRule="exact"/>
        <w:rPr>
          <w:rFonts w:ascii="Arial" w:cs="Arial" w:eastAsia="Arial" w:hAnsi="Arial"/>
          <w:sz w:val="16"/>
          <w:szCs w:val="16"/>
          <w:color w:val="auto"/>
        </w:rPr>
      </w:pPr>
    </w:p>
    <w:p>
      <w:pPr>
        <w:jc w:val="both"/>
        <w:ind w:left="660" w:hanging="328"/>
        <w:spacing w:after="0" w:line="234"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Holding Period. All awards granted under the Plan to our Chief Executive Officer will continue to be subject to a 12-month holding period requirement pursuant to which the Chief Executive Officer may not transfer or dispose of any shares received upon exercise or settlement of an award (net of tax withholding) for a period of 12 months following the date of such exercise or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644525</wp:posOffset>
            </wp:positionV>
            <wp:extent cx="98615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2" w:name="page23"/>
    <w:bookmarkEnd w:id="22"/>
    <w:p>
      <w:pPr>
        <w:ind w:left="98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63" w:lineRule="exact"/>
        <w:rPr>
          <w:sz w:val="20"/>
          <w:szCs w:val="20"/>
          <w:color w:val="auto"/>
        </w:rPr>
      </w:pPr>
    </w:p>
    <w:p>
      <w:pPr>
        <w:jc w:val="right"/>
        <w:spacing w:after="0"/>
        <w:tabs>
          <w:tab w:leader="none" w:pos="506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Three — Approval of Amended and Restated 2021 Incentive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Existing Equity Plan Information</w:t>
      </w:r>
    </w:p>
    <w:p>
      <w:pPr>
        <w:spacing w:after="0" w:line="11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currently have three plans that provide for equity-based compensation. Under the Prior Plan and Original Plan, as of January 15, 2026, 1,688,374 and 5,385,095 shares, respectively, of Arrowhead’s common stock are reserved for the grant of stock options, vesting of restricted stock awards and performance unit/share awards to employees, consultants and others. No further grants may be made under the Prior Plan. As of January 15, 2026, there were outstanding options to purchase 588,374 and 32,151 shares of common stock under the Prior Plan and the Original Plan, respectively, and there were 1,100,000 and 4,656,512 outstanding restricted stock units under the Prior Plan and the Original Plan, respectively. Also, as of January 15, 2026, there were outstanding stand-alone inducement awards granted outside of any equity compensation plan consisting of 440,713 outstanding options and 52,125 outstanding restricted stock units. In addition, the Board established the Inducement Plan during fiscal year 2024 to advance the interests of the Company by providing for the grant of stock-based awards. In accordance with Nasdaq rules, the Inducement Plan is used to offer equity awards as material inducements for new employees to join the Company. The maximum aggregate number of shares that may be issued under the inducement plan is 832,950. As of January 15, 2026, there were no outstanding options to purchase shares of common stock and there were 682,980 outstanding restricted stock units under the Inducement Plan.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aggregated information regarding awards outstanding as of January 15, 2026 under the Prior Plan, the Original Plan, the</w:t>
      </w:r>
    </w:p>
    <w:p>
      <w:pPr>
        <w:spacing w:after="0"/>
        <w:rPr>
          <w:sz w:val="20"/>
          <w:szCs w:val="20"/>
          <w:color w:val="auto"/>
        </w:rPr>
      </w:pPr>
      <w:r>
        <w:rPr>
          <w:rFonts w:ascii="Arial" w:cs="Arial" w:eastAsia="Arial" w:hAnsi="Arial"/>
          <w:sz w:val="16"/>
          <w:szCs w:val="16"/>
          <w:color w:val="auto"/>
        </w:rPr>
        <w:t>Inducement Plan, and stand-alone inducement awards, and the proposed number of additional shares issuable under the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Borders>
              <w:top w:val="single" w:sz="8" w:color="0071CE"/>
            </w:tcBorders>
            <w:shd w:val="clear" w:color="auto" w:fill="E5F0FA"/>
          </w:tcPr>
          <w:p>
            <w:pPr>
              <w:ind w:left="80"/>
              <w:spacing w:after="0"/>
              <w:rPr>
                <w:sz w:val="20"/>
                <w:szCs w:val="20"/>
                <w:color w:val="auto"/>
              </w:rPr>
            </w:pPr>
            <w:r>
              <w:rPr>
                <w:rFonts w:ascii="Arial" w:cs="Arial" w:eastAsia="Arial" w:hAnsi="Arial"/>
                <w:sz w:val="16"/>
                <w:szCs w:val="16"/>
                <w:color w:val="auto"/>
              </w:rPr>
              <w:t>Outstanding SAR Awards</w:t>
            </w:r>
          </w:p>
        </w:tc>
        <w:tc>
          <w:tcPr>
            <w:tcW w:w="4680" w:type="dxa"/>
            <w:vAlign w:val="bottom"/>
            <w:tcBorders>
              <w:top w:val="single" w:sz="8" w:color="0071CE"/>
            </w:tcBorders>
            <w:shd w:val="clear" w:color="auto" w:fill="E5F0FA"/>
          </w:tcPr>
          <w:p>
            <w:pPr>
              <w:jc w:val="right"/>
              <w:spacing w:after="0"/>
              <w:rPr>
                <w:sz w:val="20"/>
                <w:szCs w:val="20"/>
                <w:color w:val="auto"/>
              </w:rPr>
            </w:pPr>
            <w:r>
              <w:rPr>
                <w:rFonts w:ascii="Arial" w:cs="Arial" w:eastAsia="Arial" w:hAnsi="Arial"/>
                <w:sz w:val="16"/>
                <w:szCs w:val="16"/>
                <w:color w:val="auto"/>
              </w:rPr>
              <w:t>1,061,238</w:t>
            </w:r>
          </w:p>
        </w:tc>
      </w:tr>
      <w:tr>
        <w:trPr>
          <w:trHeight w:val="203"/>
        </w:trPr>
        <w:tc>
          <w:tcPr>
            <w:tcW w:w="6560" w:type="dxa"/>
            <w:vAlign w:val="bottom"/>
          </w:tcPr>
          <w:p>
            <w:pPr>
              <w:ind w:left="80"/>
              <w:spacing w:after="0"/>
              <w:rPr>
                <w:sz w:val="20"/>
                <w:szCs w:val="20"/>
                <w:color w:val="auto"/>
              </w:rPr>
            </w:pPr>
            <w:r>
              <w:rPr>
                <w:rFonts w:ascii="Arial" w:cs="Arial" w:eastAsia="Arial" w:hAnsi="Arial"/>
                <w:sz w:val="16"/>
                <w:szCs w:val="16"/>
                <w:color w:val="auto"/>
              </w:rPr>
              <w:t>Weighted Average Exercise Price</w:t>
            </w:r>
          </w:p>
        </w:tc>
        <w:tc>
          <w:tcPr>
            <w:tcW w:w="4680" w:type="dxa"/>
            <w:vAlign w:val="bottom"/>
          </w:tcPr>
          <w:p>
            <w:pPr>
              <w:jc w:val="right"/>
              <w:spacing w:after="0"/>
              <w:rPr>
                <w:sz w:val="20"/>
                <w:szCs w:val="20"/>
                <w:color w:val="auto"/>
              </w:rPr>
            </w:pPr>
            <w:r>
              <w:rPr>
                <w:rFonts w:ascii="Arial" w:cs="Arial" w:eastAsia="Arial" w:hAnsi="Arial"/>
                <w:sz w:val="16"/>
                <w:szCs w:val="16"/>
                <w:color w:val="auto"/>
              </w:rPr>
              <w:t>$32.91</w:t>
            </w:r>
          </w:p>
        </w:tc>
      </w:tr>
      <w:tr>
        <w:trPr>
          <w:trHeight w:val="203"/>
        </w:trPr>
        <w:tc>
          <w:tcPr>
            <w:tcW w:w="6560" w:type="dxa"/>
            <w:vAlign w:val="bottom"/>
            <w:shd w:val="clear" w:color="auto" w:fill="E5F0FA"/>
          </w:tcPr>
          <w:p>
            <w:pPr>
              <w:ind w:left="80"/>
              <w:spacing w:after="0"/>
              <w:rPr>
                <w:sz w:val="20"/>
                <w:szCs w:val="20"/>
                <w:color w:val="auto"/>
              </w:rPr>
            </w:pPr>
            <w:r>
              <w:rPr>
                <w:rFonts w:ascii="Arial" w:cs="Arial" w:eastAsia="Arial" w:hAnsi="Arial"/>
                <w:sz w:val="16"/>
                <w:szCs w:val="16"/>
                <w:color w:val="auto"/>
              </w:rPr>
              <w:t>Weighted Average Remaining Term</w:t>
            </w:r>
          </w:p>
        </w:tc>
        <w:tc>
          <w:tcPr>
            <w:tcW w:w="4680" w:type="dxa"/>
            <w:vAlign w:val="bottom"/>
            <w:shd w:val="clear" w:color="auto" w:fill="E5F0FA"/>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6560" w:type="dxa"/>
            <w:vAlign w:val="bottom"/>
          </w:tcPr>
          <w:p>
            <w:pPr>
              <w:ind w:left="80"/>
              <w:spacing w:after="0"/>
              <w:rPr>
                <w:sz w:val="20"/>
                <w:szCs w:val="20"/>
                <w:color w:val="auto"/>
              </w:rPr>
            </w:pPr>
            <w:r>
              <w:rPr>
                <w:rFonts w:ascii="Arial" w:cs="Arial" w:eastAsia="Arial" w:hAnsi="Arial"/>
                <w:sz w:val="16"/>
                <w:szCs w:val="16"/>
                <w:color w:val="auto"/>
              </w:rPr>
              <w:t>Outstanding Full Value Awards</w:t>
            </w:r>
          </w:p>
        </w:tc>
        <w:tc>
          <w:tcPr>
            <w:tcW w:w="4680" w:type="dxa"/>
            <w:vAlign w:val="bottom"/>
          </w:tcPr>
          <w:p>
            <w:pPr>
              <w:jc w:val="right"/>
              <w:spacing w:after="0"/>
              <w:rPr>
                <w:sz w:val="20"/>
                <w:szCs w:val="20"/>
                <w:color w:val="auto"/>
              </w:rPr>
            </w:pPr>
            <w:r>
              <w:rPr>
                <w:rFonts w:ascii="Arial" w:cs="Arial" w:eastAsia="Arial" w:hAnsi="Arial"/>
                <w:sz w:val="16"/>
                <w:szCs w:val="16"/>
                <w:color w:val="auto"/>
              </w:rPr>
              <w:t>6,491,617</w:t>
            </w:r>
          </w:p>
        </w:tc>
      </w:tr>
      <w:tr>
        <w:trPr>
          <w:trHeight w:val="203"/>
        </w:trPr>
        <w:tc>
          <w:tcPr>
            <w:tcW w:w="6560" w:type="dxa"/>
            <w:vAlign w:val="bottom"/>
            <w:shd w:val="clear" w:color="auto" w:fill="E5F0FA"/>
          </w:tcPr>
          <w:p>
            <w:pPr>
              <w:ind w:left="80"/>
              <w:spacing w:after="0"/>
              <w:rPr>
                <w:sz w:val="20"/>
                <w:szCs w:val="20"/>
                <w:color w:val="auto"/>
              </w:rPr>
            </w:pPr>
            <w:r>
              <w:rPr>
                <w:rFonts w:ascii="Arial" w:cs="Arial" w:eastAsia="Arial" w:hAnsi="Arial"/>
                <w:sz w:val="16"/>
                <w:szCs w:val="16"/>
                <w:color w:val="auto"/>
              </w:rPr>
              <w:t>Number of Shares Available for Grant Under Inducement Plan</w:t>
            </w:r>
          </w:p>
        </w:tc>
        <w:tc>
          <w:tcPr>
            <w:tcW w:w="4680" w:type="dxa"/>
            <w:vAlign w:val="bottom"/>
            <w:shd w:val="clear" w:color="auto" w:fill="E5F0FA"/>
          </w:tcPr>
          <w:p>
            <w:pPr>
              <w:jc w:val="right"/>
              <w:spacing w:after="0"/>
              <w:rPr>
                <w:sz w:val="20"/>
                <w:szCs w:val="20"/>
                <w:color w:val="auto"/>
              </w:rPr>
            </w:pPr>
            <w:r>
              <w:rPr>
                <w:rFonts w:ascii="Arial" w:cs="Arial" w:eastAsia="Arial" w:hAnsi="Arial"/>
                <w:sz w:val="16"/>
                <w:szCs w:val="16"/>
                <w:color w:val="auto"/>
              </w:rPr>
              <w:t>12,855</w:t>
            </w:r>
          </w:p>
        </w:tc>
      </w:tr>
      <w:tr>
        <w:trPr>
          <w:trHeight w:val="203"/>
        </w:trPr>
        <w:tc>
          <w:tcPr>
            <w:tcW w:w="6560" w:type="dxa"/>
            <w:vAlign w:val="bottom"/>
            <w:shd w:val="clear" w:color="auto" w:fill="E5F0FA"/>
          </w:tcPr>
          <w:p>
            <w:pPr>
              <w:ind w:left="80"/>
              <w:spacing w:after="0"/>
              <w:rPr>
                <w:sz w:val="20"/>
                <w:szCs w:val="20"/>
                <w:color w:val="auto"/>
              </w:rPr>
            </w:pPr>
            <w:r>
              <w:rPr>
                <w:rFonts w:ascii="Arial" w:cs="Arial" w:eastAsia="Arial" w:hAnsi="Arial"/>
                <w:sz w:val="16"/>
                <w:szCs w:val="16"/>
                <w:color w:val="auto"/>
              </w:rPr>
              <w:t>Number of Shares Available for Grant Under Original Plan</w:t>
            </w:r>
          </w:p>
        </w:tc>
        <w:tc>
          <w:tcPr>
            <w:tcW w:w="4680" w:type="dxa"/>
            <w:vAlign w:val="bottom"/>
            <w:shd w:val="clear" w:color="auto" w:fill="E5F0FA"/>
          </w:tcPr>
          <w:p>
            <w:pPr>
              <w:jc w:val="right"/>
              <w:spacing w:after="0"/>
              <w:rPr>
                <w:sz w:val="20"/>
                <w:szCs w:val="20"/>
                <w:color w:val="auto"/>
              </w:rPr>
            </w:pPr>
            <w:r>
              <w:rPr>
                <w:rFonts w:ascii="Arial" w:cs="Arial" w:eastAsia="Arial" w:hAnsi="Arial"/>
                <w:sz w:val="16"/>
                <w:szCs w:val="16"/>
                <w:color w:val="auto"/>
              </w:rPr>
              <w:t>696,432</w:t>
            </w:r>
          </w:p>
        </w:tc>
      </w:tr>
      <w:tr>
        <w:trPr>
          <w:trHeight w:val="203"/>
        </w:trPr>
        <w:tc>
          <w:tcPr>
            <w:tcW w:w="6560" w:type="dxa"/>
            <w:vAlign w:val="bottom"/>
            <w:shd w:val="clear" w:color="auto" w:fill="E5F0FA"/>
          </w:tcPr>
          <w:p>
            <w:pPr>
              <w:ind w:left="80"/>
              <w:spacing w:after="0"/>
              <w:rPr>
                <w:sz w:val="20"/>
                <w:szCs w:val="20"/>
                <w:color w:val="auto"/>
              </w:rPr>
            </w:pPr>
            <w:r>
              <w:rPr>
                <w:rFonts w:ascii="Arial" w:cs="Arial" w:eastAsia="Arial" w:hAnsi="Arial"/>
                <w:sz w:val="16"/>
                <w:szCs w:val="16"/>
                <w:color w:val="auto"/>
              </w:rPr>
              <w:t>Total Shares of Common Stock Outstanding</w:t>
            </w:r>
          </w:p>
        </w:tc>
        <w:tc>
          <w:tcPr>
            <w:tcW w:w="4680" w:type="dxa"/>
            <w:vAlign w:val="bottom"/>
            <w:shd w:val="clear" w:color="auto" w:fill="E5F0FA"/>
          </w:tcPr>
          <w:p>
            <w:pPr>
              <w:jc w:val="right"/>
              <w:spacing w:after="0"/>
              <w:rPr>
                <w:sz w:val="20"/>
                <w:szCs w:val="20"/>
                <w:color w:val="auto"/>
              </w:rPr>
            </w:pPr>
            <w:r>
              <w:rPr>
                <w:rFonts w:ascii="Arial" w:cs="Arial" w:eastAsia="Arial" w:hAnsi="Arial"/>
                <w:sz w:val="16"/>
                <w:szCs w:val="16"/>
                <w:color w:val="auto"/>
              </w:rPr>
              <w:t>139,794,665</w:t>
            </w:r>
          </w:p>
        </w:tc>
      </w:tr>
      <w:tr>
        <w:trPr>
          <w:trHeight w:val="203"/>
        </w:trPr>
        <w:tc>
          <w:tcPr>
            <w:tcW w:w="6560" w:type="dxa"/>
            <w:vAlign w:val="bottom"/>
            <w:tcBorders>
              <w:bottom w:val="single" w:sz="8" w:color="0071CE"/>
            </w:tcBorders>
          </w:tcPr>
          <w:p>
            <w:pPr>
              <w:ind w:left="80"/>
              <w:spacing w:after="0"/>
              <w:rPr>
                <w:sz w:val="20"/>
                <w:szCs w:val="20"/>
                <w:color w:val="auto"/>
              </w:rPr>
            </w:pPr>
            <w:r>
              <w:rPr>
                <w:rFonts w:ascii="Arial" w:cs="Arial" w:eastAsia="Arial" w:hAnsi="Arial"/>
                <w:sz w:val="16"/>
                <w:szCs w:val="16"/>
                <w:color w:val="auto"/>
              </w:rPr>
              <w:t>Number of additional Shares Requested for Plan</w:t>
            </w:r>
          </w:p>
        </w:tc>
        <w:tc>
          <w:tcPr>
            <w:tcW w:w="468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10,500,000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Reasons for Seeking Stockholder Approval</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Board believes that equity grants are a critical part of the Company’s compensation program. Stockholder approval of the Plan would allow us to continue to attract and retain employees, directors, consultants and key advisors with equity incentives. The Board believes that the additional number of shares authorized to be issued under the Plan is necessary in order to continue to meet our compensation objectives. Stock-based awards comprise a significant component of the compensation of our executive management team and are important tool in attracting and retaining key employees. Furthermore, the Board believes the grant of equity based compensation awards aligns the long-term interests of stockholders and key employees.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When approving the Plan and the number of shares available for issuance thereunder, the Board considered the burn rate with respect to the equity awards</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granted by the Company, as well as the Company’s overhang. The burn rate is equal to the total number of equity awards the Company granted in a fiscal year divided by the weighted average common stock outstanding during the year. Overhang is equal to the total number of equity awards outstanding plus</w:t>
      </w:r>
    </w:p>
    <w:p>
      <w:pPr>
        <w:jc w:val="both"/>
        <w:spacing w:after="0" w:line="220" w:lineRule="auto"/>
        <w:rPr>
          <w:sz w:val="20"/>
          <w:szCs w:val="20"/>
          <w:color w:val="auto"/>
        </w:rPr>
      </w:pPr>
      <w:r>
        <w:rPr>
          <w:rFonts w:ascii="Arial" w:cs="Arial" w:eastAsia="Arial" w:hAnsi="Arial"/>
          <w:sz w:val="16"/>
          <w:szCs w:val="16"/>
          <w:color w:val="auto"/>
        </w:rPr>
        <w:t>the total number of shares available for grant under the Company’s equity plans, divided by the sum of the total common stock outstanding, the number of equity awards outstanding and the total number of shares available for grant under the Company’s equity plans. The Company’s three-year average burn</w:t>
      </w:r>
    </w:p>
    <w:p>
      <w:pPr>
        <w:spacing w:after="0" w:line="229" w:lineRule="auto"/>
        <w:rPr>
          <w:sz w:val="20"/>
          <w:szCs w:val="20"/>
          <w:color w:val="auto"/>
        </w:rPr>
      </w:pPr>
      <w:r>
        <w:rPr>
          <w:rFonts w:ascii="Arial" w:cs="Arial" w:eastAsia="Arial" w:hAnsi="Arial"/>
          <w:sz w:val="16"/>
          <w:szCs w:val="16"/>
          <w:color w:val="auto"/>
        </w:rPr>
        <w:t>rate for fiscal years 2025, 2024, and 2023, was approximately 1.63%. The Company’s overhang as of January 15, 2026 was 5.6%. If the Plan is approved,</w:t>
      </w:r>
    </w:p>
    <w:p>
      <w:pPr>
        <w:jc w:val="both"/>
        <w:spacing w:after="0" w:line="235" w:lineRule="auto"/>
        <w:rPr>
          <w:sz w:val="20"/>
          <w:szCs w:val="20"/>
          <w:color w:val="auto"/>
        </w:rPr>
      </w:pPr>
      <w:r>
        <w:rPr>
          <w:rFonts w:ascii="Arial" w:cs="Arial" w:eastAsia="Arial" w:hAnsi="Arial"/>
          <w:sz w:val="16"/>
          <w:szCs w:val="16"/>
          <w:color w:val="auto"/>
        </w:rPr>
        <w:t>the Company’s overhang would increase to 11.8% and the Company will be expected to have sufficient shares to fund future equity grants under the Plan for approximately the next five years.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Summary of the Plan</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January 21, 2026, the Board adopted the Plan, subject to approval by our stockholders. This summary is not a complete description of all provisions of the Plan and is qualified in its entirety by reference to the Plan, which is attached as Exhibit A to this Proxy Statement.</w:t>
      </w:r>
    </w:p>
    <w:p>
      <w:pPr>
        <w:spacing w:after="0" w:line="1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Plan is to advance the Company’s interests by providing for additional shares of stock for the grant to participants of stock-based and other incentive awards.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Plan is administered by our Compensation Committee, who has the authority to, among other things, interpret the Plan,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eligibility for, grant and determine the terms of awards under the Plan, and to do all things necessary or appropriate to carry out the purposes of the Plan. Subject to the limitations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490855</wp:posOffset>
            </wp:positionV>
            <wp:extent cx="98615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3" w:name="page24"/>
    <w:bookmarkEnd w:id="23"/>
    <w:p>
      <w:pPr>
        <w:ind w:left="98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63" w:lineRule="exact"/>
        <w:rPr>
          <w:sz w:val="20"/>
          <w:szCs w:val="20"/>
          <w:color w:val="auto"/>
        </w:rPr>
      </w:pPr>
    </w:p>
    <w:p>
      <w:pPr>
        <w:jc w:val="right"/>
        <w:spacing w:after="0"/>
        <w:tabs>
          <w:tab w:leader="none" w:pos="506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Three — Approval of Amended and Restated 2021 Incentive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requirements set forth in the Plan, the Compensation Committee may authorize one or more officers of the Company to perform any of its duties, power and responsibilities. Our Compensation Committee’s determinations under the Plan are conclusive and binding.</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No awards will be made after the tenth anniversary of the Plan’s adoption, but previously granted awards may continue beyond that date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their terms.</w:t>
      </w:r>
    </w:p>
    <w:p>
      <w:pPr>
        <w:spacing w:after="0" w:line="18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Subject to adjustment, the maximum number of shares of our common stock that may be delivered in satisfaction of awards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18,500,000, reduced by any shares of common stock subject to awards made under the Prior Plan after January 1, 2021. Shares of common stock subject to outstanding awards under the Prior Plan as of January 1, 2021 that, after January 1, 2021, are canceled, expired, forfeited or otherwise not issued under such award (other than as a result of being tendered or withheld to pay the exercise price or withholding taxes in connection with any such awards) or settled in cash will be added to the number of shares of common stock issuable under the Plan.</w:t>
      </w:r>
    </w:p>
    <w:p>
      <w:pPr>
        <w:spacing w:after="0" w:line="209"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Any shares of common stock underlying awards that are settled in cash or that otherwise expire, terminate or are forfeited prior to the issuance of stock, would again be available for issuance under the Plan. Shares of common stock that are tendered to or withheld by the Company from an award in payment</w:t>
      </w:r>
    </w:p>
    <w:p>
      <w:pPr>
        <w:spacing w:after="0" w:line="230" w:lineRule="auto"/>
        <w:rPr>
          <w:sz w:val="20"/>
          <w:szCs w:val="20"/>
          <w:color w:val="auto"/>
        </w:rPr>
      </w:pPr>
      <w:r>
        <w:rPr>
          <w:rFonts w:ascii="Arial" w:cs="Arial" w:eastAsia="Arial" w:hAnsi="Arial"/>
          <w:sz w:val="16"/>
          <w:szCs w:val="16"/>
          <w:color w:val="auto"/>
        </w:rPr>
        <w:t>of the exercise price of any award requiring exercise or in satisfaction of the tax withholding requirements with respect to any award and shares of stock</w:t>
      </w:r>
    </w:p>
    <w:p>
      <w:pPr>
        <w:jc w:val="both"/>
        <w:spacing w:after="0" w:line="220" w:lineRule="auto"/>
        <w:rPr>
          <w:sz w:val="20"/>
          <w:szCs w:val="20"/>
          <w:color w:val="auto"/>
        </w:rPr>
      </w:pPr>
      <w:r>
        <w:rPr>
          <w:rFonts w:ascii="Arial" w:cs="Arial" w:eastAsia="Arial" w:hAnsi="Arial"/>
          <w:sz w:val="16"/>
          <w:szCs w:val="16"/>
          <w:color w:val="auto"/>
        </w:rPr>
        <w:t>purchased by the Company with proceeds from the exercise of stock options will not again be available for issuance under the Plan. Stock delivered under the Plan may be authorized but unissued stock or previously issued stock acquired by the Company. On January 15, 2026, the closing price of our common</w:t>
      </w:r>
    </w:p>
    <w:p>
      <w:pPr>
        <w:spacing w:after="0"/>
        <w:rPr>
          <w:sz w:val="20"/>
          <w:szCs w:val="20"/>
          <w:color w:val="auto"/>
        </w:rPr>
      </w:pPr>
      <w:r>
        <w:rPr>
          <w:rFonts w:ascii="Arial" w:cs="Arial" w:eastAsia="Arial" w:hAnsi="Arial"/>
          <w:sz w:val="16"/>
          <w:szCs w:val="16"/>
          <w:color w:val="auto"/>
        </w:rPr>
        <w:t>stock as reflected on Nasdaq was $66.25.</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Our Compensation Committee selects participants from among the key employees, directors, consultants and advisors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Eligibility for options intended to be incentive stock options (“ISOs”) is limited to employees of the Company or certain affiliates. As of January 15, 2026, approximately 796 employees and 8 directors were eligible to participate in the Plan.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The Plan provides for grants of options, SARs, restricted and unrestricted stock and stock units, performance awards, cash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awards convertible into or otherwise based on shares of our stock. Dividend equivalents may also be provided in connection with awards under the Plan.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Borders>
              <w:top w:val="single" w:sz="8" w:color="0071CE"/>
            </w:tcBorders>
            <w:shd w:val="clear" w:color="auto" w:fill="E5F0FA"/>
          </w:tcPr>
          <w:p>
            <w:pPr>
              <w:ind w:left="80"/>
              <w:spacing w:after="0"/>
              <w:rPr>
                <w:sz w:val="20"/>
                <w:szCs w:val="20"/>
                <w:color w:val="auto"/>
              </w:rPr>
            </w:pPr>
            <w:r>
              <w:rPr>
                <w:rFonts w:ascii="Arial" w:cs="Arial" w:eastAsia="Arial" w:hAnsi="Arial"/>
                <w:sz w:val="16"/>
                <w:szCs w:val="16"/>
                <w:color w:val="auto"/>
              </w:rPr>
              <w:t>Restricted and Unrestricted Stock</w:t>
            </w:r>
          </w:p>
        </w:tc>
        <w:tc>
          <w:tcPr>
            <w:tcW w:w="8020" w:type="dxa"/>
            <w:vAlign w:val="bottom"/>
            <w:tcBorders>
              <w:top w:val="single" w:sz="8" w:color="0071CE"/>
            </w:tcBorders>
            <w:shd w:val="clear" w:color="auto" w:fill="E5F0FA"/>
          </w:tcPr>
          <w:p>
            <w:pPr>
              <w:ind w:left="780"/>
              <w:spacing w:after="0"/>
              <w:rPr>
                <w:sz w:val="20"/>
                <w:szCs w:val="20"/>
                <w:color w:val="auto"/>
              </w:rPr>
            </w:pPr>
            <w:r>
              <w:rPr>
                <w:rFonts w:ascii="Arial" w:cs="Arial" w:eastAsia="Arial" w:hAnsi="Arial"/>
                <w:sz w:val="16"/>
                <w:szCs w:val="16"/>
                <w:color w:val="auto"/>
              </w:rPr>
              <w:t>A restricted stock award is an award of common stock subject to forfeiture restrictions, while an</w:t>
            </w:r>
          </w:p>
        </w:tc>
      </w:tr>
      <w:tr>
        <w:trPr>
          <w:trHeight w:val="224"/>
        </w:trPr>
        <w:tc>
          <w:tcPr>
            <w:tcW w:w="3220" w:type="dxa"/>
            <w:vAlign w:val="bottom"/>
            <w:tcBorders>
              <w:bottom w:val="single" w:sz="8" w:color="E5F0FA"/>
            </w:tcBorders>
            <w:shd w:val="clear" w:color="auto" w:fill="E5F0FA"/>
          </w:tcPr>
          <w:p>
            <w:pPr>
              <w:spacing w:after="0"/>
              <w:rPr>
                <w:sz w:val="19"/>
                <w:szCs w:val="19"/>
                <w:color w:val="auto"/>
              </w:rPr>
            </w:pPr>
          </w:p>
        </w:tc>
        <w:tc>
          <w:tcPr>
            <w:tcW w:w="8020" w:type="dxa"/>
            <w:vAlign w:val="bottom"/>
            <w:tcBorders>
              <w:bottom w:val="single" w:sz="8" w:color="E5F0FA"/>
            </w:tcBorders>
            <w:shd w:val="clear" w:color="auto" w:fill="E5F0FA"/>
          </w:tcPr>
          <w:p>
            <w:pPr>
              <w:ind w:left="720"/>
              <w:spacing w:after="0"/>
              <w:rPr>
                <w:sz w:val="20"/>
                <w:szCs w:val="20"/>
                <w:color w:val="auto"/>
              </w:rPr>
            </w:pPr>
            <w:r>
              <w:rPr>
                <w:rFonts w:ascii="Arial" w:cs="Arial" w:eastAsia="Arial" w:hAnsi="Arial"/>
                <w:sz w:val="16"/>
                <w:szCs w:val="16"/>
                <w:color w:val="auto"/>
              </w:rPr>
              <w:t>unrestricted stock award is not subject to restrictions.</w:t>
            </w:r>
          </w:p>
        </w:tc>
      </w:tr>
      <w:tr>
        <w:trPr>
          <w:trHeight w:val="175"/>
        </w:trPr>
        <w:tc>
          <w:tcPr>
            <w:tcW w:w="3220" w:type="dxa"/>
            <w:vAlign w:val="bottom"/>
          </w:tcPr>
          <w:p>
            <w:pPr>
              <w:ind w:left="80"/>
              <w:spacing w:after="0" w:line="175" w:lineRule="exact"/>
              <w:rPr>
                <w:sz w:val="20"/>
                <w:szCs w:val="20"/>
                <w:color w:val="auto"/>
              </w:rPr>
            </w:pPr>
            <w:r>
              <w:rPr>
                <w:rFonts w:ascii="Arial" w:cs="Arial" w:eastAsia="Arial" w:hAnsi="Arial"/>
                <w:sz w:val="16"/>
                <w:szCs w:val="16"/>
                <w:color w:val="auto"/>
              </w:rPr>
              <w:t>Stock Options and SARs</w:t>
            </w:r>
          </w:p>
        </w:tc>
        <w:tc>
          <w:tcPr>
            <w:tcW w:w="8020" w:type="dxa"/>
            <w:vAlign w:val="bottom"/>
          </w:tcPr>
          <w:p>
            <w:pPr>
              <w:ind w:left="720"/>
              <w:spacing w:after="0" w:line="175" w:lineRule="exact"/>
              <w:rPr>
                <w:sz w:val="20"/>
                <w:szCs w:val="20"/>
                <w:color w:val="auto"/>
              </w:rPr>
            </w:pPr>
            <w:r>
              <w:rPr>
                <w:rFonts w:ascii="Arial" w:cs="Arial" w:eastAsia="Arial" w:hAnsi="Arial"/>
                <w:sz w:val="16"/>
                <w:szCs w:val="16"/>
                <w:color w:val="auto"/>
              </w:rPr>
              <w:t>The Plan provides for the grant of ISOs, non-qualified stock options (“NSOs”), and SARs. The</w:t>
            </w:r>
          </w:p>
        </w:tc>
      </w:tr>
      <w:tr>
        <w:trPr>
          <w:trHeight w:val="175"/>
        </w:trPr>
        <w:tc>
          <w:tcPr>
            <w:tcW w:w="3220" w:type="dxa"/>
            <w:vAlign w:val="bottom"/>
          </w:tcPr>
          <w:p>
            <w:pPr>
              <w:spacing w:after="0"/>
              <w:rPr>
                <w:sz w:val="15"/>
                <w:szCs w:val="15"/>
                <w:color w:val="auto"/>
              </w:rPr>
            </w:pPr>
          </w:p>
        </w:tc>
        <w:tc>
          <w:tcPr>
            <w:tcW w:w="8020" w:type="dxa"/>
            <w:vAlign w:val="bottom"/>
          </w:tcPr>
          <w:p>
            <w:pPr>
              <w:ind w:left="720"/>
              <w:spacing w:after="0" w:line="175" w:lineRule="exact"/>
              <w:rPr>
                <w:sz w:val="20"/>
                <w:szCs w:val="20"/>
                <w:color w:val="auto"/>
              </w:rPr>
            </w:pPr>
            <w:r>
              <w:rPr>
                <w:rFonts w:ascii="Arial" w:cs="Arial" w:eastAsia="Arial" w:hAnsi="Arial"/>
                <w:sz w:val="16"/>
                <w:szCs w:val="16"/>
                <w:color w:val="auto"/>
              </w:rPr>
              <w:t>exercise price of an option, and the base price against which a SAR is to be measured, may not be</w:t>
            </w:r>
          </w:p>
        </w:tc>
      </w:tr>
      <w:tr>
        <w:trPr>
          <w:trHeight w:val="189"/>
        </w:trPr>
        <w:tc>
          <w:tcPr>
            <w:tcW w:w="3220" w:type="dxa"/>
            <w:vAlign w:val="bottom"/>
          </w:tcPr>
          <w:p>
            <w:pPr>
              <w:spacing w:after="0"/>
              <w:rPr>
                <w:sz w:val="16"/>
                <w:szCs w:val="16"/>
                <w:color w:val="auto"/>
              </w:rPr>
            </w:pPr>
          </w:p>
        </w:tc>
        <w:tc>
          <w:tcPr>
            <w:tcW w:w="8020" w:type="dxa"/>
            <w:vAlign w:val="bottom"/>
          </w:tcPr>
          <w:p>
            <w:pPr>
              <w:ind w:left="720"/>
              <w:spacing w:after="0"/>
              <w:rPr>
                <w:sz w:val="20"/>
                <w:szCs w:val="20"/>
                <w:color w:val="auto"/>
              </w:rPr>
            </w:pPr>
            <w:r>
              <w:rPr>
                <w:rFonts w:ascii="Arial" w:cs="Arial" w:eastAsia="Arial" w:hAnsi="Arial"/>
                <w:sz w:val="16"/>
                <w:szCs w:val="16"/>
                <w:color w:val="auto"/>
              </w:rPr>
              <w:t>less than the fair market value (or, in the case of an ISO granted to a ten percent stockholder, 110%</w:t>
            </w:r>
          </w:p>
        </w:tc>
      </w:tr>
      <w:tr>
        <w:trPr>
          <w:trHeight w:val="175"/>
        </w:trPr>
        <w:tc>
          <w:tcPr>
            <w:tcW w:w="3220" w:type="dxa"/>
            <w:vAlign w:val="bottom"/>
          </w:tcPr>
          <w:p>
            <w:pPr>
              <w:spacing w:after="0"/>
              <w:rPr>
                <w:sz w:val="15"/>
                <w:szCs w:val="15"/>
                <w:color w:val="auto"/>
              </w:rPr>
            </w:pPr>
          </w:p>
        </w:tc>
        <w:tc>
          <w:tcPr>
            <w:tcW w:w="8020" w:type="dxa"/>
            <w:vAlign w:val="bottom"/>
          </w:tcPr>
          <w:p>
            <w:pPr>
              <w:ind w:left="720"/>
              <w:spacing w:after="0" w:line="175" w:lineRule="exact"/>
              <w:rPr>
                <w:sz w:val="20"/>
                <w:szCs w:val="20"/>
                <w:color w:val="auto"/>
              </w:rPr>
            </w:pPr>
            <w:r>
              <w:rPr>
                <w:rFonts w:ascii="Arial" w:cs="Arial" w:eastAsia="Arial" w:hAnsi="Arial"/>
                <w:sz w:val="16"/>
                <w:szCs w:val="16"/>
                <w:color w:val="auto"/>
              </w:rPr>
              <w:t>of the fair market value) of a share of common stock on the date of grant. Subject to the minimum</w:t>
            </w:r>
          </w:p>
        </w:tc>
      </w:tr>
      <w:tr>
        <w:trPr>
          <w:trHeight w:val="189"/>
        </w:trPr>
        <w:tc>
          <w:tcPr>
            <w:tcW w:w="3220" w:type="dxa"/>
            <w:vAlign w:val="bottom"/>
          </w:tcPr>
          <w:p>
            <w:pPr>
              <w:spacing w:after="0"/>
              <w:rPr>
                <w:sz w:val="16"/>
                <w:szCs w:val="16"/>
                <w:color w:val="auto"/>
              </w:rPr>
            </w:pPr>
          </w:p>
        </w:tc>
        <w:tc>
          <w:tcPr>
            <w:tcW w:w="8020" w:type="dxa"/>
            <w:vAlign w:val="bottom"/>
          </w:tcPr>
          <w:p>
            <w:pPr>
              <w:ind w:left="720"/>
              <w:spacing w:after="0"/>
              <w:rPr>
                <w:sz w:val="20"/>
                <w:szCs w:val="20"/>
                <w:color w:val="auto"/>
              </w:rPr>
            </w:pPr>
            <w:r>
              <w:rPr>
                <w:rFonts w:ascii="Arial" w:cs="Arial" w:eastAsia="Arial" w:hAnsi="Arial"/>
                <w:sz w:val="16"/>
                <w:szCs w:val="16"/>
                <w:color w:val="auto"/>
              </w:rPr>
              <w:t>vesting requirement described below, our Compensation Committee determines when stock options</w:t>
            </w:r>
          </w:p>
        </w:tc>
      </w:tr>
      <w:tr>
        <w:trPr>
          <w:trHeight w:val="175"/>
        </w:trPr>
        <w:tc>
          <w:tcPr>
            <w:tcW w:w="3220" w:type="dxa"/>
            <w:vAlign w:val="bottom"/>
          </w:tcPr>
          <w:p>
            <w:pPr>
              <w:spacing w:after="0"/>
              <w:rPr>
                <w:sz w:val="15"/>
                <w:szCs w:val="15"/>
                <w:color w:val="auto"/>
              </w:rPr>
            </w:pPr>
          </w:p>
        </w:tc>
        <w:tc>
          <w:tcPr>
            <w:tcW w:w="8020" w:type="dxa"/>
            <w:vAlign w:val="bottom"/>
          </w:tcPr>
          <w:p>
            <w:pPr>
              <w:ind w:left="720"/>
              <w:spacing w:after="0" w:line="175" w:lineRule="exact"/>
              <w:rPr>
                <w:sz w:val="20"/>
                <w:szCs w:val="20"/>
                <w:color w:val="auto"/>
              </w:rPr>
            </w:pPr>
            <w:r>
              <w:rPr>
                <w:rFonts w:ascii="Arial" w:cs="Arial" w:eastAsia="Arial" w:hAnsi="Arial"/>
                <w:sz w:val="16"/>
                <w:szCs w:val="16"/>
                <w:color w:val="auto"/>
              </w:rPr>
              <w:t>or SARs become exercisable and the terms on which such awards remain exercisable. Stock options</w:t>
            </w:r>
          </w:p>
        </w:tc>
      </w:tr>
      <w:tr>
        <w:trPr>
          <w:trHeight w:val="189"/>
        </w:trPr>
        <w:tc>
          <w:tcPr>
            <w:tcW w:w="3220" w:type="dxa"/>
            <w:vAlign w:val="bottom"/>
          </w:tcPr>
          <w:p>
            <w:pPr>
              <w:spacing w:after="0"/>
              <w:rPr>
                <w:sz w:val="16"/>
                <w:szCs w:val="16"/>
                <w:color w:val="auto"/>
              </w:rPr>
            </w:pPr>
          </w:p>
        </w:tc>
        <w:tc>
          <w:tcPr>
            <w:tcW w:w="8020" w:type="dxa"/>
            <w:vAlign w:val="bottom"/>
          </w:tcPr>
          <w:p>
            <w:pPr>
              <w:ind w:left="720"/>
              <w:spacing w:after="0"/>
              <w:rPr>
                <w:sz w:val="20"/>
                <w:szCs w:val="20"/>
                <w:color w:val="auto"/>
              </w:rPr>
            </w:pPr>
            <w:r>
              <w:rPr>
                <w:rFonts w:ascii="Arial" w:cs="Arial" w:eastAsia="Arial" w:hAnsi="Arial"/>
                <w:sz w:val="16"/>
                <w:szCs w:val="16"/>
                <w:color w:val="auto"/>
              </w:rPr>
              <w:t>and SARs will generally have a maximum term of ten years. SARs are payable in cash, in shares of</w:t>
            </w:r>
          </w:p>
        </w:tc>
      </w:tr>
      <w:tr>
        <w:trPr>
          <w:trHeight w:val="215"/>
        </w:trPr>
        <w:tc>
          <w:tcPr>
            <w:tcW w:w="3220" w:type="dxa"/>
            <w:vAlign w:val="bottom"/>
          </w:tcPr>
          <w:p>
            <w:pPr>
              <w:spacing w:after="0"/>
              <w:rPr>
                <w:sz w:val="18"/>
                <w:szCs w:val="18"/>
                <w:color w:val="auto"/>
              </w:rPr>
            </w:pPr>
          </w:p>
        </w:tc>
        <w:tc>
          <w:tcPr>
            <w:tcW w:w="8020" w:type="dxa"/>
            <w:vAlign w:val="bottom"/>
          </w:tcPr>
          <w:p>
            <w:pPr>
              <w:ind w:left="720"/>
              <w:spacing w:after="0"/>
              <w:rPr>
                <w:sz w:val="20"/>
                <w:szCs w:val="20"/>
                <w:color w:val="auto"/>
              </w:rPr>
            </w:pPr>
            <w:r>
              <w:rPr>
                <w:rFonts w:ascii="Arial" w:cs="Arial" w:eastAsia="Arial" w:hAnsi="Arial"/>
                <w:sz w:val="16"/>
                <w:szCs w:val="16"/>
                <w:color w:val="auto"/>
              </w:rPr>
              <w:t>our common stock or in a combination of cash and shares.</w:t>
            </w:r>
          </w:p>
        </w:tc>
      </w:tr>
      <w:tr>
        <w:trPr>
          <w:trHeight w:val="29"/>
        </w:trPr>
        <w:tc>
          <w:tcPr>
            <w:tcW w:w="322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175"/>
        </w:trPr>
        <w:tc>
          <w:tcPr>
            <w:tcW w:w="3220" w:type="dxa"/>
            <w:vAlign w:val="bottom"/>
            <w:shd w:val="clear" w:color="auto" w:fill="E5F0FA"/>
          </w:tcPr>
          <w:p>
            <w:pPr>
              <w:ind w:left="80"/>
              <w:spacing w:after="0" w:line="175" w:lineRule="exact"/>
              <w:rPr>
                <w:sz w:val="20"/>
                <w:szCs w:val="20"/>
                <w:color w:val="auto"/>
              </w:rPr>
            </w:pPr>
            <w:r>
              <w:rPr>
                <w:rFonts w:ascii="Arial" w:cs="Arial" w:eastAsia="Arial" w:hAnsi="Arial"/>
                <w:sz w:val="16"/>
                <w:szCs w:val="16"/>
                <w:color w:val="auto"/>
              </w:rPr>
              <w:t>Stock Units</w:t>
            </w:r>
          </w:p>
        </w:tc>
        <w:tc>
          <w:tcPr>
            <w:tcW w:w="8020" w:type="dxa"/>
            <w:vAlign w:val="bottom"/>
            <w:shd w:val="clear" w:color="auto" w:fill="E5F0FA"/>
          </w:tcPr>
          <w:p>
            <w:pPr>
              <w:ind w:left="720"/>
              <w:spacing w:after="0" w:line="175" w:lineRule="exact"/>
              <w:rPr>
                <w:sz w:val="20"/>
                <w:szCs w:val="20"/>
                <w:color w:val="auto"/>
              </w:rPr>
            </w:pPr>
            <w:r>
              <w:rPr>
                <w:rFonts w:ascii="Arial" w:cs="Arial" w:eastAsia="Arial" w:hAnsi="Arial"/>
                <w:sz w:val="16"/>
                <w:szCs w:val="16"/>
                <w:color w:val="auto"/>
              </w:rPr>
              <w:t>A stock unit award is denominated in shares of common stock and entitles the participant to receive</w:t>
            </w:r>
          </w:p>
        </w:tc>
      </w:tr>
      <w:tr>
        <w:trPr>
          <w:trHeight w:val="175"/>
        </w:trPr>
        <w:tc>
          <w:tcPr>
            <w:tcW w:w="3220" w:type="dxa"/>
            <w:vAlign w:val="bottom"/>
            <w:shd w:val="clear" w:color="auto" w:fill="E5F0FA"/>
          </w:tcPr>
          <w:p>
            <w:pPr>
              <w:spacing w:after="0"/>
              <w:rPr>
                <w:sz w:val="15"/>
                <w:szCs w:val="15"/>
                <w:color w:val="auto"/>
              </w:rPr>
            </w:pPr>
          </w:p>
        </w:tc>
        <w:tc>
          <w:tcPr>
            <w:tcW w:w="8020" w:type="dxa"/>
            <w:vAlign w:val="bottom"/>
            <w:shd w:val="clear" w:color="auto" w:fill="E5F0FA"/>
          </w:tcPr>
          <w:p>
            <w:pPr>
              <w:ind w:left="720"/>
              <w:spacing w:after="0" w:line="175" w:lineRule="exact"/>
              <w:rPr>
                <w:sz w:val="20"/>
                <w:szCs w:val="20"/>
                <w:color w:val="auto"/>
              </w:rPr>
            </w:pPr>
            <w:r>
              <w:rPr>
                <w:rFonts w:ascii="Arial" w:cs="Arial" w:eastAsia="Arial" w:hAnsi="Arial"/>
                <w:sz w:val="16"/>
                <w:szCs w:val="16"/>
                <w:color w:val="auto"/>
              </w:rPr>
              <w:t>stock or cash measured by the value of the shares in the future. The delivery of stock or cash under a</w:t>
            </w:r>
          </w:p>
        </w:tc>
      </w:tr>
      <w:tr>
        <w:trPr>
          <w:trHeight w:val="224"/>
        </w:trPr>
        <w:tc>
          <w:tcPr>
            <w:tcW w:w="3220" w:type="dxa"/>
            <w:vAlign w:val="bottom"/>
            <w:tcBorders>
              <w:bottom w:val="single" w:sz="8" w:color="E5F0FA"/>
            </w:tcBorders>
            <w:shd w:val="clear" w:color="auto" w:fill="E5F0FA"/>
          </w:tcPr>
          <w:p>
            <w:pPr>
              <w:spacing w:after="0"/>
              <w:rPr>
                <w:sz w:val="19"/>
                <w:szCs w:val="19"/>
                <w:color w:val="auto"/>
              </w:rPr>
            </w:pPr>
          </w:p>
        </w:tc>
        <w:tc>
          <w:tcPr>
            <w:tcW w:w="8020" w:type="dxa"/>
            <w:vAlign w:val="bottom"/>
            <w:tcBorders>
              <w:bottom w:val="single" w:sz="8" w:color="E5F0FA"/>
            </w:tcBorders>
            <w:shd w:val="clear" w:color="auto" w:fill="E5F0FA"/>
          </w:tcPr>
          <w:p>
            <w:pPr>
              <w:ind w:left="720"/>
              <w:spacing w:after="0"/>
              <w:rPr>
                <w:sz w:val="20"/>
                <w:szCs w:val="20"/>
                <w:color w:val="auto"/>
              </w:rPr>
            </w:pPr>
            <w:r>
              <w:rPr>
                <w:rFonts w:ascii="Arial" w:cs="Arial" w:eastAsia="Arial" w:hAnsi="Arial"/>
                <w:sz w:val="16"/>
                <w:szCs w:val="16"/>
                <w:color w:val="auto"/>
              </w:rPr>
              <w:t>stock unit may be subject to the satisfaction of performance or other vesting conditions.</w:t>
            </w:r>
          </w:p>
        </w:tc>
      </w:tr>
      <w:tr>
        <w:trPr>
          <w:trHeight w:val="175"/>
        </w:trPr>
        <w:tc>
          <w:tcPr>
            <w:tcW w:w="3220" w:type="dxa"/>
            <w:vAlign w:val="bottom"/>
          </w:tcPr>
          <w:p>
            <w:pPr>
              <w:ind w:left="80"/>
              <w:spacing w:after="0" w:line="175" w:lineRule="exact"/>
              <w:rPr>
                <w:sz w:val="20"/>
                <w:szCs w:val="20"/>
                <w:color w:val="auto"/>
              </w:rPr>
            </w:pPr>
            <w:r>
              <w:rPr>
                <w:rFonts w:ascii="Arial" w:cs="Arial" w:eastAsia="Arial" w:hAnsi="Arial"/>
                <w:sz w:val="16"/>
                <w:szCs w:val="16"/>
                <w:color w:val="auto"/>
              </w:rPr>
              <w:t>Performance Awards</w:t>
            </w:r>
          </w:p>
        </w:tc>
        <w:tc>
          <w:tcPr>
            <w:tcW w:w="8020" w:type="dxa"/>
            <w:vAlign w:val="bottom"/>
          </w:tcPr>
          <w:p>
            <w:pPr>
              <w:ind w:left="720"/>
              <w:spacing w:after="0" w:line="175" w:lineRule="exact"/>
              <w:rPr>
                <w:sz w:val="20"/>
                <w:szCs w:val="20"/>
                <w:color w:val="auto"/>
              </w:rPr>
            </w:pPr>
            <w:r>
              <w:rPr>
                <w:rFonts w:ascii="Arial" w:cs="Arial" w:eastAsia="Arial" w:hAnsi="Arial"/>
                <w:sz w:val="16"/>
                <w:szCs w:val="16"/>
                <w:color w:val="auto"/>
              </w:rPr>
              <w:t>A performance award is an award the vesting, settlement or exercisability of which is subject to</w:t>
            </w:r>
          </w:p>
        </w:tc>
      </w:tr>
      <w:tr>
        <w:trPr>
          <w:trHeight w:val="215"/>
        </w:trPr>
        <w:tc>
          <w:tcPr>
            <w:tcW w:w="3220" w:type="dxa"/>
            <w:vAlign w:val="bottom"/>
          </w:tcPr>
          <w:p>
            <w:pPr>
              <w:spacing w:after="0"/>
              <w:rPr>
                <w:sz w:val="18"/>
                <w:szCs w:val="18"/>
                <w:color w:val="auto"/>
              </w:rPr>
            </w:pPr>
          </w:p>
        </w:tc>
        <w:tc>
          <w:tcPr>
            <w:tcW w:w="8020" w:type="dxa"/>
            <w:vAlign w:val="bottom"/>
          </w:tcPr>
          <w:p>
            <w:pPr>
              <w:ind w:left="720"/>
              <w:spacing w:after="0"/>
              <w:rPr>
                <w:sz w:val="20"/>
                <w:szCs w:val="20"/>
                <w:color w:val="auto"/>
              </w:rPr>
            </w:pPr>
            <w:r>
              <w:rPr>
                <w:rFonts w:ascii="Arial" w:cs="Arial" w:eastAsia="Arial" w:hAnsi="Arial"/>
                <w:sz w:val="16"/>
                <w:szCs w:val="16"/>
                <w:color w:val="auto"/>
              </w:rPr>
              <w:t>specified performance criteria.</w:t>
            </w:r>
          </w:p>
        </w:tc>
      </w:tr>
      <w:tr>
        <w:trPr>
          <w:trHeight w:val="29"/>
        </w:trPr>
        <w:tc>
          <w:tcPr>
            <w:tcW w:w="322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23"/>
        </w:trPr>
        <w:tc>
          <w:tcPr>
            <w:tcW w:w="3220" w:type="dxa"/>
            <w:vAlign w:val="bottom"/>
            <w:tcBorders>
              <w:bottom w:val="single" w:sz="8" w:color="0071CE"/>
            </w:tcBorders>
            <w:shd w:val="clear" w:color="auto" w:fill="E5F0FA"/>
          </w:tcPr>
          <w:p>
            <w:pPr>
              <w:ind w:left="80"/>
              <w:spacing w:after="0"/>
              <w:rPr>
                <w:sz w:val="20"/>
                <w:szCs w:val="20"/>
                <w:color w:val="auto"/>
              </w:rPr>
            </w:pPr>
            <w:r>
              <w:rPr>
                <w:rFonts w:ascii="Arial" w:cs="Arial" w:eastAsia="Arial" w:hAnsi="Arial"/>
                <w:sz w:val="16"/>
                <w:szCs w:val="16"/>
                <w:color w:val="auto"/>
              </w:rPr>
              <w:t>Cash Awards</w:t>
            </w:r>
          </w:p>
        </w:tc>
        <w:tc>
          <w:tcPr>
            <w:tcW w:w="8020" w:type="dxa"/>
            <w:vAlign w:val="bottom"/>
            <w:tcBorders>
              <w:bottom w:val="single" w:sz="8" w:color="0071CE"/>
            </w:tcBorders>
            <w:shd w:val="clear" w:color="auto" w:fill="E5F0FA"/>
          </w:tcPr>
          <w:p>
            <w:pPr>
              <w:ind w:left="720"/>
              <w:spacing w:after="0"/>
              <w:rPr>
                <w:sz w:val="20"/>
                <w:szCs w:val="20"/>
                <w:color w:val="auto"/>
              </w:rPr>
            </w:pPr>
            <w:r>
              <w:rPr>
                <w:rFonts w:ascii="Arial" w:cs="Arial" w:eastAsia="Arial" w:hAnsi="Arial"/>
                <w:sz w:val="16"/>
                <w:szCs w:val="16"/>
                <w:color w:val="auto"/>
              </w:rPr>
              <w:t>A cash award is an award denominated in cash.</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Subject to the minimum vesting requirement described in the next sentence, our Compensation Committee has the authority to determine the</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vesting schedule applicable to each award, and to accelerate the vesting or exercisability of any award. No award may be granted with terms providing for any right of vesting, exercise or lapse of vesting requirements earlier than a date that is at least one (1) year following the date of grant (or, in the case of a</w:t>
      </w:r>
    </w:p>
    <w:p>
      <w:pPr>
        <w:spacing w:after="0" w:line="229" w:lineRule="auto"/>
        <w:rPr>
          <w:sz w:val="20"/>
          <w:szCs w:val="20"/>
          <w:color w:val="auto"/>
        </w:rPr>
      </w:pPr>
      <w:r>
        <w:rPr>
          <w:rFonts w:ascii="Arial" w:cs="Arial" w:eastAsia="Arial" w:hAnsi="Arial"/>
          <w:sz w:val="16"/>
          <w:szCs w:val="16"/>
          <w:color w:val="auto"/>
        </w:rPr>
        <w:t>performance award, earlier than the one (1) year anniversary of the commencement of the performance period). Notwithstanding the foregoing, the</w:t>
      </w:r>
    </w:p>
    <w:p>
      <w:pPr>
        <w:jc w:val="both"/>
        <w:spacing w:after="0" w:line="235" w:lineRule="auto"/>
        <w:rPr>
          <w:sz w:val="20"/>
          <w:szCs w:val="20"/>
          <w:color w:val="auto"/>
        </w:rPr>
      </w:pPr>
      <w:r>
        <w:rPr>
          <w:rFonts w:ascii="Arial" w:cs="Arial" w:eastAsia="Arial" w:hAnsi="Arial"/>
          <w:sz w:val="16"/>
          <w:szCs w:val="16"/>
          <w:color w:val="auto"/>
        </w:rPr>
        <w:t>Compensation Committee may grant up to a maximum of 5% of the aggregate number of shares available for issuance under the Plan without such a minimum vesting period. In addition, (i) awards granted to non-employee directors may vest earlier than one (1) year from the date of grant so long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490220</wp:posOffset>
            </wp:positionV>
            <wp:extent cx="98615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4" w:name="page25"/>
    <w:bookmarkEnd w:id="24"/>
    <w:p>
      <w:pPr>
        <w:ind w:left="98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63" w:lineRule="exact"/>
        <w:rPr>
          <w:sz w:val="20"/>
          <w:szCs w:val="20"/>
          <w:color w:val="auto"/>
        </w:rPr>
      </w:pPr>
    </w:p>
    <w:p>
      <w:pPr>
        <w:jc w:val="right"/>
        <w:spacing w:after="0"/>
        <w:tabs>
          <w:tab w:leader="none" w:pos="506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Three — Approval of Amended and Restated 2021 Incentive Plan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awards do not vest earlier than the date of the next annual meeting of stockholders following the grant date (provided such annual meeting is at least 50</w:t>
      </w:r>
    </w:p>
    <w:p>
      <w:pPr>
        <w:spacing w:after="0" w:line="2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weeks after the immediately preceding year’s annual meeting) and (ii) awards granted in connection with a merger or other acquisition as a substitute or replacement award for awards held by grantees of the acquired business need not comply with the one (1) year minimum vesting and exercise</w:t>
      </w:r>
    </w:p>
    <w:p>
      <w:pPr>
        <w:spacing w:after="0"/>
        <w:rPr>
          <w:sz w:val="20"/>
          <w:szCs w:val="20"/>
          <w:color w:val="auto"/>
        </w:rPr>
      </w:pPr>
      <w:r>
        <w:rPr>
          <w:rFonts w:ascii="Arial" w:cs="Arial" w:eastAsia="Arial" w:hAnsi="Arial"/>
          <w:sz w:val="16"/>
          <w:szCs w:val="16"/>
          <w:color w:val="auto"/>
        </w:rPr>
        <w:t>requirements.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all awards granted under the Plan to our Chief Executive Officer will be subject to a 12-month holding period requirement, pursuant to which the Chief Executive Officer may not transfer or dispose of any shares received upon exercise or settlement of an award (net of tax withholding) for a period of 12 months following the date of such exercise or settlement.</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Our Compensation Committee determines the effect of termination of employment or service on an award. Unless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our Compensation Committee or in an award agreement, upon a termination of employment or service all unvested options and other awards requiring exercise will terminate and all other unvested awards will be forfeited.</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Performance Criteria</w:t>
      </w:r>
      <w:r>
        <w:rPr>
          <w:rFonts w:ascii="Arial" w:cs="Arial" w:eastAsia="Arial" w:hAnsi="Arial"/>
          <w:sz w:val="16"/>
          <w:szCs w:val="16"/>
          <w:color w:val="auto"/>
        </w:rPr>
        <w:t>. The Plan provides that grants of performance awards may be made based upon, and subject to achieving, “performance objectives”</w:t>
      </w:r>
      <w:r>
        <w:rPr>
          <w:rFonts w:ascii="Arial" w:cs="Arial" w:eastAsia="Arial" w:hAnsi="Arial"/>
          <w:sz w:val="16"/>
          <w:szCs w:val="16"/>
          <w:i w:val="1"/>
          <w:iCs w:val="1"/>
          <w:color w:val="auto"/>
        </w:rPr>
        <w:t xml:space="preserve"> </w:t>
      </w:r>
      <w:r>
        <w:rPr>
          <w:rFonts w:ascii="Arial" w:cs="Arial" w:eastAsia="Arial" w:hAnsi="Arial"/>
          <w:sz w:val="16"/>
          <w:szCs w:val="16"/>
          <w:color w:val="auto"/>
        </w:rPr>
        <w:t>over a specified performance period. Performance objectives may include, without limitation, a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Awards under the Plan may not be transferred except by will or by the laws of descent and distribution, unless (for awards other than ISOs)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by our Compensation Committee.</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a consolidation, merger or similar transaction, a sale or transfer of all or substantially all of the Company’s assets or a</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liquidation of the Company, our Compensation Committee may, among other things, provide for the continuation or assumption of outstanding</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awards, for new grants in substitution of outstanding awards, for the accelerated vesting or delivery of shares under awards or for a cash-out of outstanding awards, in each case on such terms and with such restrictions as it deems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Unless otherwise expressly provided for in the award agreement or another contract, including an employment or severance agreement</w:t>
      </w:r>
    </w:p>
    <w:p>
      <w:pPr>
        <w:spacing w:after="0" w:line="8"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color w:val="auto"/>
        </w:rPr>
        <w:t>or severance plan, or under the terms of a transaction constituting a Change in Control (as defined in the Plan), in the event of a Change in Control, each outstanding award will fully vest and become exercisable, including to the maximal value of performance awards. Except as our Compensation Committee</w:t>
      </w:r>
    </w:p>
    <w:p>
      <w:pPr>
        <w:spacing w:after="0"/>
        <w:rPr>
          <w:sz w:val="20"/>
          <w:szCs w:val="20"/>
          <w:color w:val="auto"/>
        </w:rPr>
      </w:pPr>
      <w:r>
        <w:rPr>
          <w:rFonts w:ascii="Arial" w:cs="Arial" w:eastAsia="Arial" w:hAnsi="Arial"/>
          <w:sz w:val="16"/>
          <w:szCs w:val="16"/>
          <w:color w:val="auto"/>
        </w:rPr>
        <w:t>may otherwise determine awards not assumed or exercised will terminate in connection with such corporate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Adjustment</w:t>
      </w:r>
      <w:r>
        <w:rPr>
          <w:rFonts w:ascii="Arial" w:cs="Arial" w:eastAsia="Arial" w:hAnsi="Arial"/>
          <w:sz w:val="16"/>
          <w:szCs w:val="16"/>
          <w:color w:val="auto"/>
        </w:rPr>
        <w:t>. In the event of certain corporate transactions (including, but not limited to, a stock dividend, stock split or combination of shares, recapitalization</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or other change in the Company’s capital structure that constitutes an equity restructuring within the meaning of ASC 718), the Compensation Committee will make appropriate adjustments to the maximum number of shares that may be delivered under the Plan, and will also make appropriate adjustments to the</w:t>
      </w:r>
    </w:p>
    <w:p>
      <w:pPr>
        <w:spacing w:after="0" w:line="229" w:lineRule="auto"/>
        <w:rPr>
          <w:sz w:val="20"/>
          <w:szCs w:val="20"/>
          <w:color w:val="auto"/>
        </w:rPr>
      </w:pPr>
      <w:r>
        <w:rPr>
          <w:rFonts w:ascii="Arial" w:cs="Arial" w:eastAsia="Arial" w:hAnsi="Arial"/>
          <w:sz w:val="16"/>
          <w:szCs w:val="16"/>
          <w:color w:val="auto"/>
        </w:rPr>
        <w:t>number and kind of shares of stock or securities subject to awards, the exercise prices of such awards or any other terms of awards affected by such</w:t>
      </w:r>
    </w:p>
    <w:p>
      <w:pPr>
        <w:jc w:val="both"/>
        <w:ind w:right="20"/>
        <w:spacing w:after="0" w:line="235" w:lineRule="auto"/>
        <w:rPr>
          <w:sz w:val="20"/>
          <w:szCs w:val="20"/>
          <w:color w:val="auto"/>
        </w:rPr>
      </w:pPr>
      <w:r>
        <w:rPr>
          <w:rFonts w:ascii="Arial" w:cs="Arial" w:eastAsia="Arial" w:hAnsi="Arial"/>
          <w:sz w:val="16"/>
          <w:szCs w:val="16"/>
          <w:color w:val="auto"/>
        </w:rPr>
        <w:t>change. Our Compensation Committee may also make the types of adjustments described above to take into account distributions to stockholders and events other than those listed above if it determines that such adjustments are appropriate to avoid distortion in the operation of the plan.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Compensation Committee can amend the Plan or outstanding awards, or terminate the Plan as to future grants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that our Compensation Committee will not be able alter the terms of an award if it would affect materially and adversely a participant’s rights under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the award without the participant’s consent (unless expressly provided in the Plan or reserved by our Compensation Committee at the time of grant). Stockholder approval will be required for any amendment to the extent such approval is required by law, including the Code or applicable stock exchange</w:t>
      </w:r>
    </w:p>
    <w:p>
      <w:pPr>
        <w:spacing w:after="0"/>
        <w:rPr>
          <w:sz w:val="20"/>
          <w:szCs w:val="20"/>
          <w:color w:val="auto"/>
        </w:rPr>
      </w:pPr>
      <w:r>
        <w:rPr>
          <w:rFonts w:ascii="Arial" w:cs="Arial" w:eastAsia="Arial" w:hAnsi="Arial"/>
          <w:sz w:val="16"/>
          <w:szCs w:val="16"/>
          <w:color w:val="auto"/>
        </w:rPr>
        <w:t>requirements.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Federal Income Tax Consequences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518160</wp:posOffset>
            </wp:positionV>
            <wp:extent cx="98615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5" w:name="page26"/>
    <w:bookmarkEnd w:id="25"/>
    <w:p>
      <w:pPr>
        <w:ind w:left="98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63" w:lineRule="exact"/>
        <w:rPr>
          <w:sz w:val="20"/>
          <w:szCs w:val="20"/>
          <w:color w:val="auto"/>
        </w:rPr>
      </w:pPr>
    </w:p>
    <w:p>
      <w:pPr>
        <w:jc w:val="right"/>
        <w:spacing w:after="0"/>
        <w:tabs>
          <w:tab w:leader="none" w:pos="506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Three — Approval of Amended and Restated 2021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following is a summary of some of the material federal income tax consequences associated with the grant and exercise of awards under the Plan under current federal tax laws and certain other tax considerations associated with awards under the Plan. The summary does not address tax rates or non-U.S., state, or local tax consequences, nor does it address employment-tax or other federal tax consequences except as noted.</w:t>
      </w:r>
    </w:p>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participant who is awarded or purchases shares subject to a substantial risk of forfeiture generally does not have income until the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to be taxed on restricted stock when it is acquired rather than later, when the substantial risk of forfeiture lapses. An 83(b) election must be made not later than thirty days after the transfer of the shares to the participant and must satisfy certain other requirements. A participant who makes an effective 83(b) election will realize ordinary income equal to the fair market value of the shares as of the time of acquisition less any price paid for the shares. A corresponding deduction will generally be available to the Company. Fair market value for this purpose is determined without regard to the forfeiture restrictions. If a participant makes an effective 83(b) election, no additional income results by reason of the lapsing of the restrictions.</w:t>
      </w:r>
    </w:p>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For purposes of determining capital gain or loss on a sale of shares awarded under the Plan, the holding period in the shares begins when the participant realizes taxable income with respect to the transfer. The participant’s tax basis in the shares equals the amount paid for the shares plus any income realized</w:t>
      </w:r>
    </w:p>
    <w:p>
      <w:pPr>
        <w:spacing w:after="0" w:line="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ISOs</w:t>
      </w:r>
      <w:r>
        <w:rPr>
          <w:rFonts w:ascii="Arial" w:cs="Arial" w:eastAsia="Arial" w:hAnsi="Arial"/>
          <w:sz w:val="16"/>
          <w:szCs w:val="16"/>
          <w:color w:val="auto"/>
        </w:rPr>
        <w:t>. In general, a participant realizes no taxable income upon the grant or exercise of an ISO. However, the exercise of an ISO may result in an alternative</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minimum tax liability to the participant. With some exceptions, a disposition of shares purchased under an ISO within two years from the date of grant or within one year after exercise produces ordinary income to the participant (and generally a deduction to the Company) equal to the value of the shares at the</w:t>
      </w:r>
    </w:p>
    <w:p>
      <w:pPr>
        <w:jc w:val="both"/>
        <w:spacing w:after="0" w:line="238" w:lineRule="auto"/>
        <w:rPr>
          <w:sz w:val="20"/>
          <w:szCs w:val="20"/>
          <w:color w:val="auto"/>
        </w:rPr>
      </w:pPr>
      <w:r>
        <w:rPr>
          <w:rFonts w:ascii="Arial" w:cs="Arial" w:eastAsia="Arial" w:hAnsi="Arial"/>
          <w:sz w:val="16"/>
          <w:szCs w:val="16"/>
          <w:color w:val="auto"/>
        </w:rPr>
        <w:t>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93"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i w:val="1"/>
          <w:iCs w:val="1"/>
          <w:color w:val="auto"/>
        </w:rPr>
        <w:t>NSOs</w:t>
      </w:r>
      <w:r>
        <w:rPr>
          <w:rFonts w:ascii="Arial" w:cs="Arial" w:eastAsia="Arial" w:hAnsi="Arial"/>
          <w:sz w:val="16"/>
          <w:szCs w:val="16"/>
          <w:color w:val="auto"/>
        </w:rPr>
        <w:t>. In general, a participant has no taxable income upon the grant of an NSO but realizes income in connection with exercise of the option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excess (at time of exercise) of the fair market value of the shares acquired upon exercise over the exercise price. A corresponding deduction is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generally available to the Company. Upon a subsequent sale or exchange of the shares, any recognized gain or loss is treated as a capital gain or loss for which the Company is not entitled to a deduction. An ISO that is exercised more than three months after termination of employment (other than termination</w:t>
      </w:r>
    </w:p>
    <w:p>
      <w:pPr>
        <w:jc w:val="both"/>
        <w:ind w:right="20"/>
        <w:spacing w:after="0" w:line="248" w:lineRule="auto"/>
        <w:rPr>
          <w:sz w:val="20"/>
          <w:szCs w:val="20"/>
          <w:color w:val="auto"/>
        </w:rPr>
      </w:pPr>
      <w:r>
        <w:rPr>
          <w:rFonts w:ascii="Arial" w:cs="Arial" w:eastAsia="Arial" w:hAnsi="Arial"/>
          <w:sz w:val="16"/>
          <w:szCs w:val="16"/>
          <w:color w:val="auto"/>
        </w:rPr>
        <w:t>by reason of death) is generally treated as an NSO. ISOs are also treated as NSOs to the extent they first become exercisable by an individual in any calendar year for shares having a fair market value (determined as of the date of grant) in excess of $100,000.</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The grant of a SAR does not itself result in taxable income, nor does taxable income result merely because a SAR becomes exercisable. In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a participant who exercises a SAR for shares of stock or receives payment in cancellation of a SAR will have ordinary income equal to the amount of any cash and the fair market value of any stock received. A corresponding deduction is generally available to the Company.</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The grant of a restricted stock unit does not itself generally result in taxable income. Instead, the participant is taxed upon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a corresponding deduction is generally available to the Company), unless he or she has made a proper election to defer receipt of the shares (or cash if the award is cash settled) under Section 409A of the Code (“Section 409A”). If the shares delivered are restricted for tax purposes, the participant will instead be subject to the rules described above for restricted stock.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Section 409A imposes an additional 20% income tax, plus, in some cases, a further income tax in the nature of interest, on nonqualified</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deferred compensation that does not comply with deferral, payment-timing and other formal and operational requirements specified in Section 409A and related regulations and that is not exempt from those requirements. Stock options and SARs granted under the Plan are intended to be exempt from Section</w:t>
      </w:r>
    </w:p>
    <w:p>
      <w:pPr>
        <w:jc w:val="both"/>
        <w:ind w:right="20"/>
        <w:spacing w:after="0" w:line="248" w:lineRule="auto"/>
        <w:rPr>
          <w:sz w:val="20"/>
          <w:szCs w:val="20"/>
          <w:color w:val="auto"/>
        </w:rPr>
      </w:pPr>
      <w:r>
        <w:rPr>
          <w:rFonts w:ascii="Arial" w:cs="Arial" w:eastAsia="Arial" w:hAnsi="Arial"/>
          <w:sz w:val="16"/>
          <w:szCs w:val="16"/>
          <w:color w:val="auto"/>
        </w:rPr>
        <w:t>409A. The Plan gives the Compensation Committee the flexibility to prescribe terms for other awards that are consistent with the requirements of, or an exemption from, Section 409A.</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i w:val="1"/>
          <w:iCs w:val="1"/>
          <w:color w:val="auto"/>
        </w:rPr>
        <w:t>Certain Change of Control Payments</w:t>
      </w:r>
      <w:r>
        <w:rPr>
          <w:rFonts w:ascii="Arial" w:cs="Arial" w:eastAsia="Arial" w:hAnsi="Arial"/>
          <w:sz w:val="16"/>
          <w:szCs w:val="16"/>
          <w:color w:val="auto"/>
        </w:rPr>
        <w:t>. Under Section 280G of the Code, the vesting or accelerated exercisability of options or the vesting and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other awards in connection with a change of control of a corporation may be required to be valued and taken into account in determining whether</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participants have received compensatory payments, contingent on the change in control, in excess of certain limits. If these limits are exceeded, a substantial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610870</wp:posOffset>
            </wp:positionV>
            <wp:extent cx="98615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6" w:name="page27"/>
    <w:bookmarkEnd w:id="26"/>
    <w:p>
      <w:pPr>
        <w:ind w:left="98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63" w:lineRule="exact"/>
        <w:rPr>
          <w:sz w:val="20"/>
          <w:szCs w:val="20"/>
          <w:color w:val="auto"/>
        </w:rPr>
      </w:pPr>
    </w:p>
    <w:p>
      <w:pPr>
        <w:jc w:val="right"/>
        <w:spacing w:after="0"/>
        <w:tabs>
          <w:tab w:leader="none" w:pos="506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Proposal Three — Approval of Amended and Restated 2021 Incentive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portion of amounts payable to the participant, including income recognized by reason of the grant, vesting or exercise of awards, may be subject to an additional 20% federal tax and may be non-deductible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Plan Benefits; Market Value of Securities</w:t>
      </w:r>
    </w:p>
    <w:p>
      <w:pPr>
        <w:spacing w:after="0" w:line="2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benefits that will be awarded or paid in the future under the Plan are not currently determinable as awards under the Plan are within the discretion of the Compensation Committee, and the Compensation Committee has not determined future awards or who might receive them. As of January 15, 2026, awards covering 7,926,708 shares of our common stock have been granted under the Original Plan. The following table shows information regarding the distribution of awards covering such shares as of such date among the persons and groups identified below. The closing market price of our common stock as reflected on Nasdaq on January 15, 2026 was $66.25.</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EB7030"/>
              </w:rPr>
              <w:t>Name and Position</w:t>
            </w:r>
          </w:p>
        </w:tc>
        <w:tc>
          <w:tcPr>
            <w:tcW w:w="3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EB7030"/>
              </w:rPr>
              <w:t>Number of Options Granted (#)</w:t>
            </w:r>
          </w:p>
        </w:tc>
        <w:tc>
          <w:tcPr>
            <w:tcW w:w="34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EB7030"/>
              </w:rPr>
              <w:t>Number of Shares Subject to Stock Awards</w:t>
            </w:r>
          </w:p>
        </w:tc>
      </w:tr>
      <w:tr>
        <w:trPr>
          <w:trHeight w:val="226"/>
        </w:trPr>
        <w:tc>
          <w:tcPr>
            <w:tcW w:w="442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EB7030"/>
              </w:rPr>
              <w:t>(#)</w:t>
            </w:r>
          </w:p>
        </w:tc>
      </w:tr>
      <w:tr>
        <w:trPr>
          <w:trHeight w:val="226"/>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Christopher Anzalone, President and Chief Executive Officer</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1,625,753</w:t>
            </w:r>
          </w:p>
        </w:tc>
      </w:tr>
      <w:tr>
        <w:trPr>
          <w:trHeight w:val="223"/>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James Hamilton, Chief Medical Officer</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365,000</w:t>
            </w:r>
          </w:p>
        </w:tc>
      </w:tr>
      <w:tr>
        <w:trPr>
          <w:trHeight w:val="223"/>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Daniel Apel, Chief Financial Officer</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75,000</w:t>
            </w:r>
          </w:p>
        </w:tc>
      </w:tr>
      <w:tr>
        <w:trPr>
          <w:trHeight w:val="223"/>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Patrick O’Brien, Chief Operating Officer</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385,000</w:t>
            </w:r>
          </w:p>
        </w:tc>
      </w:tr>
      <w:tr>
        <w:trPr>
          <w:trHeight w:val="223"/>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All current executive officers as a group (4 persons)</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2,450,753</w:t>
            </w:r>
          </w:p>
        </w:tc>
      </w:tr>
      <w:tr>
        <w:trPr>
          <w:trHeight w:val="223"/>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Kenneth Myszkowski, Former Chief Financial Officer</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295,000</w:t>
            </w:r>
          </w:p>
        </w:tc>
      </w:tr>
      <w:tr>
        <w:trPr>
          <w:trHeight w:val="223"/>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Tracie Oliver, Former Chief Commercial Officer</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75,500</w:t>
            </w:r>
          </w:p>
        </w:tc>
      </w:tr>
      <w:tr>
        <w:trPr>
          <w:trHeight w:val="183"/>
        </w:trPr>
        <w:tc>
          <w:tcPr>
            <w:tcW w:w="44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212529"/>
              </w:rPr>
              <w:t>All current directors who are not executive officers as a</w:t>
            </w:r>
          </w:p>
        </w:tc>
        <w:tc>
          <w:tcPr>
            <w:tcW w:w="322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r>
      <w:tr>
        <w:trPr>
          <w:trHeight w:val="229"/>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group (7 persons)</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22,965</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372,909</w:t>
            </w:r>
          </w:p>
        </w:tc>
      </w:tr>
      <w:tr>
        <w:trPr>
          <w:trHeight w:val="223"/>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Each nominee for election as a director</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212529"/>
              </w:rPr>
              <w:t>Each associate of any such directors, executive officers, or</w:t>
            </w:r>
          </w:p>
        </w:tc>
        <w:tc>
          <w:tcPr>
            <w:tcW w:w="322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r>
      <w:tr>
        <w:trPr>
          <w:trHeight w:val="229"/>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nominees</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212529"/>
              </w:rPr>
              <w:t>Each other person who received or is to receive 5% of such</w:t>
            </w:r>
          </w:p>
        </w:tc>
        <w:tc>
          <w:tcPr>
            <w:tcW w:w="322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r>
      <w:tr>
        <w:trPr>
          <w:trHeight w:val="229"/>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options, warrants, or rights</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212529"/>
              </w:rPr>
              <w:t>All current employees, including all current officers who are</w:t>
            </w:r>
          </w:p>
        </w:tc>
        <w:tc>
          <w:tcPr>
            <w:tcW w:w="322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r>
      <w:tr>
        <w:trPr>
          <w:trHeight w:val="229"/>
        </w:trPr>
        <w:tc>
          <w:tcPr>
            <w:tcW w:w="4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212529"/>
              </w:rPr>
              <w:t>not executive officers, as a group</w:t>
            </w:r>
          </w:p>
        </w:tc>
        <w:tc>
          <w:tcPr>
            <w:tcW w:w="3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9,186</w:t>
            </w:r>
          </w:p>
        </w:tc>
        <w:tc>
          <w:tcPr>
            <w:tcW w:w="34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4,545,845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our stockholders approve the Plan, we will file with the SEC a registration statement on Form S-8, as soon as reasonably practicable after the approval, to register the additional shares available for issuance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Board is asking stockholders to cast a vote “FOR” the following resolution:</w:t>
      </w:r>
    </w:p>
    <w:p>
      <w:pPr>
        <w:spacing w:after="0" w:line="262" w:lineRule="exact"/>
        <w:rPr>
          <w:sz w:val="20"/>
          <w:szCs w:val="20"/>
          <w:color w:val="auto"/>
        </w:rPr>
      </w:pPr>
    </w:p>
    <w:p>
      <w:pPr>
        <w:ind w:right="20" w:firstLine="504"/>
        <w:spacing w:after="0" w:line="286" w:lineRule="auto"/>
        <w:rPr>
          <w:sz w:val="20"/>
          <w:szCs w:val="20"/>
          <w:color w:val="auto"/>
        </w:rPr>
      </w:pPr>
      <w:r>
        <w:rPr>
          <w:rFonts w:ascii="Arial" w:cs="Arial" w:eastAsia="Arial" w:hAnsi="Arial"/>
          <w:sz w:val="16"/>
          <w:szCs w:val="16"/>
          <w:color w:val="auto"/>
        </w:rPr>
        <w:t>“RESOLVED, that the stockholders of the Company approve the Arrowhead Pharmaceuticals, Inc. Amended &amp; Restated 2021 Incentive Plan in a form substantially as provided in Exhibit A to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Vote Required; Recommendation of the Board</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Proposal Three must be approved by the Required Vote, assuming a quorum is present. For this purpose, abstentions will be counted as a vote “AGAINST” the Proposal, while broker non-votes, if any,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-20320</wp:posOffset>
            </wp:positionV>
            <wp:extent cx="4800600" cy="497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00600" cy="497205"/>
                    </a:xfrm>
                    <a:prstGeom prst="rect">
                      <a:avLst/>
                    </a:prstGeom>
                    <a:noFill/>
                  </pic:spPr>
                </pic:pic>
              </a:graphicData>
            </a:graphic>
          </wp:anchor>
        </w:drawing>
      </w:r>
    </w:p>
    <w:p>
      <w:pPr>
        <w:spacing w:after="0" w:line="216"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62"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566420</wp:posOffset>
            </wp:positionV>
            <wp:extent cx="98615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Executive Compensation</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executive compensation program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describes the compensation program for our NEOs. During fiscal 2025, these individuals were:</w:t>
      </w:r>
    </w:p>
    <w:p>
      <w:pPr>
        <w:spacing w:after="0" w:line="140" w:lineRule="exact"/>
        <w:rPr>
          <w:sz w:val="20"/>
          <w:szCs w:val="20"/>
          <w:color w:val="auto"/>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Christopher Anzalone, our President and Chief Executive Officer (our “</w:t>
      </w:r>
      <w:r>
        <w:rPr>
          <w:rFonts w:ascii="Arial" w:cs="Arial" w:eastAsia="Arial" w:hAnsi="Arial"/>
          <w:sz w:val="16"/>
          <w:szCs w:val="16"/>
          <w:b w:val="1"/>
          <w:bCs w:val="1"/>
          <w:color w:val="auto"/>
        </w:rPr>
        <w:t>CEO</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James Hamilton, our Chief Medical Officer (our “</w:t>
      </w:r>
      <w:r>
        <w:rPr>
          <w:rFonts w:ascii="Arial" w:cs="Arial" w:eastAsia="Arial" w:hAnsi="Arial"/>
          <w:sz w:val="16"/>
          <w:szCs w:val="16"/>
          <w:b w:val="1"/>
          <w:bCs w:val="1"/>
          <w:color w:val="auto"/>
        </w:rPr>
        <w:t>CMO</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Daniel Apel, our Chief Financial Officer (our “</w:t>
      </w:r>
      <w:r>
        <w:rPr>
          <w:rFonts w:ascii="Arial" w:cs="Arial" w:eastAsia="Arial" w:hAnsi="Arial"/>
          <w:sz w:val="16"/>
          <w:szCs w:val="16"/>
          <w:b w:val="1"/>
          <w:bCs w:val="1"/>
          <w:color w:val="auto"/>
        </w:rPr>
        <w:t>CFO</w:t>
      </w:r>
      <w:r>
        <w:rPr>
          <w:rFonts w:ascii="Arial" w:cs="Arial" w:eastAsia="Arial" w:hAnsi="Arial"/>
          <w:sz w:val="16"/>
          <w:szCs w:val="16"/>
          <w:color w:val="auto"/>
        </w:rPr>
        <w:t>” after April 2025)</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Patrick O’Brien, our Chief Operating Officer (our “</w:t>
      </w:r>
      <w:r>
        <w:rPr>
          <w:rFonts w:ascii="Arial" w:cs="Arial" w:eastAsia="Arial" w:hAnsi="Arial"/>
          <w:sz w:val="16"/>
          <w:szCs w:val="16"/>
          <w:b w:val="1"/>
          <w:bCs w:val="1"/>
          <w:color w:val="auto"/>
        </w:rPr>
        <w:t>COO</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Kenneth Myszkowski, our former Chief Financial Officer (our “</w:t>
      </w:r>
      <w:r>
        <w:rPr>
          <w:rFonts w:ascii="Arial" w:cs="Arial" w:eastAsia="Arial" w:hAnsi="Arial"/>
          <w:sz w:val="16"/>
          <w:szCs w:val="16"/>
          <w:b w:val="1"/>
          <w:bCs w:val="1"/>
          <w:color w:val="auto"/>
        </w:rPr>
        <w:t>Former CFO</w:t>
      </w:r>
      <w:r>
        <w:rPr>
          <w:rFonts w:ascii="Arial" w:cs="Arial" w:eastAsia="Arial" w:hAnsi="Arial"/>
          <w:sz w:val="16"/>
          <w:szCs w:val="16"/>
          <w:color w:val="auto"/>
        </w:rPr>
        <w:t>”); and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Tracie Oliver, our former Chief Commercial Officer (our "</w:t>
      </w:r>
      <w:r>
        <w:rPr>
          <w:rFonts w:ascii="Arial" w:cs="Arial" w:eastAsia="Arial" w:hAnsi="Arial"/>
          <w:sz w:val="16"/>
          <w:szCs w:val="16"/>
          <w:b w:val="1"/>
          <w:bCs w:val="1"/>
          <w:color w:val="auto"/>
        </w:rPr>
        <w:t>Former CCO</w:t>
      </w:r>
      <w:r>
        <w:rPr>
          <w:rFonts w:ascii="Arial" w:cs="Arial" w:eastAsia="Arial" w:hAnsi="Arial"/>
          <w:sz w:val="16"/>
          <w:szCs w:val="16"/>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O'Brien also served as our General Counsel until December 17, 2025</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fiscal 2025. It also provides an overview of our executive compensation philosophy and objectives and summarizes our executive compensation policies and practices. Finally, it analyzes how and why the Compensation Committee of our Board arrived at the specific compensation decisions for our executive officers, including our NEOs, for fiscal 2025, including the key factors that the Compensation Committee considered in determining their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Our Company</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7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Highlights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fiscal year 2025 and through the date of this Proxy Statement, the Company continued to develop and advance its pipeline and partnered candidates and expand its facilities to support its growing programs. The bullets below highlight some of these key developments; however, this list is not all-inclusive.</w:t>
      </w:r>
    </w:p>
    <w:p>
      <w:pPr>
        <w:spacing w:after="0" w:line="169" w:lineRule="exact"/>
        <w:rPr>
          <w:sz w:val="20"/>
          <w:szCs w:val="20"/>
          <w:color w:val="auto"/>
        </w:rPr>
      </w:pPr>
    </w:p>
    <w:p>
      <w:pPr>
        <w:ind w:left="340" w:hanging="251"/>
        <w:spacing w:after="0" w:line="286" w:lineRule="auto"/>
        <w:tabs>
          <w:tab w:leader="none" w:pos="3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Completed upsized offerings of convertible senior notes, common stock, and pre-funded warrants with gross proceeds of $930 million meaningfully strengthening the company’s balance sheet and expected to provide funding through multiple potential commercial launches.</w:t>
      </w:r>
    </w:p>
    <w:p>
      <w:pPr>
        <w:spacing w:after="0" w:line="182" w:lineRule="exact"/>
        <w:rPr>
          <w:rFonts w:ascii="Arial" w:cs="Arial" w:eastAsia="Arial" w:hAnsi="Arial"/>
          <w:sz w:val="16"/>
          <w:szCs w:val="16"/>
          <w:color w:val="auto"/>
        </w:rPr>
      </w:pPr>
    </w:p>
    <w:p>
      <w:pPr>
        <w:ind w:left="340" w:hanging="251"/>
        <w:spacing w:after="0" w:line="268" w:lineRule="auto"/>
        <w:tabs>
          <w:tab w:leader="none" w:pos="3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Announced interim results from two Phase 1/2a clinical trials of ARO-INHBE and ARO-ALK7, the company’s investigational RNA interference (RNAi) therapeutics being developed as potential treatments for obesity, showing: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494030</wp:posOffset>
            </wp:positionV>
            <wp:extent cx="98615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00" w:hanging="243"/>
        <w:spacing w:after="0" w:line="286" w:lineRule="auto"/>
        <w:tabs>
          <w:tab w:leader="none" w:pos="8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ARO-INHBE in combination with tirzepatide, a GLP-1/GIP receptor co-agonist, doubled weight loss and tripled reductions in visceral fat, total fat, and liver fat versus tirzepatide alone in obese patients with type 2 diabetes mellitus.</w:t>
      </w:r>
    </w:p>
    <w:p>
      <w:pPr>
        <w:spacing w:after="0" w:line="169" w:lineRule="exact"/>
        <w:rPr>
          <w:rFonts w:ascii="Arial" w:cs="Arial" w:eastAsia="Arial" w:hAnsi="Arial"/>
          <w:sz w:val="16"/>
          <w:szCs w:val="16"/>
          <w:color w:val="auto"/>
        </w:rPr>
      </w:pPr>
    </w:p>
    <w:p>
      <w:pPr>
        <w:ind w:left="900" w:hanging="243"/>
        <w:spacing w:after="0" w:line="286" w:lineRule="auto"/>
        <w:tabs>
          <w:tab w:leader="none" w:pos="8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ARO-ALK7, the first RNAi-therapeutic to show adipocyte gene target silencing in a clinical trial, achieved dose dependent reductions in adipose ALK7 mRNA with a mean reduction of -88% at the 200 mg dose at week 8 with a maximum reduction of -94%.</w:t>
      </w:r>
    </w:p>
    <w:p>
      <w:pPr>
        <w:spacing w:after="0" w:line="182" w:lineRule="exact"/>
        <w:rPr>
          <w:rFonts w:ascii="Arial" w:cs="Arial" w:eastAsia="Arial" w:hAnsi="Arial"/>
          <w:sz w:val="16"/>
          <w:szCs w:val="16"/>
          <w:color w:val="auto"/>
        </w:rPr>
      </w:pPr>
    </w:p>
    <w:p>
      <w:pPr>
        <w:jc w:val="both"/>
        <w:ind w:left="260" w:hanging="251"/>
        <w:spacing w:after="0" w:line="268"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December 2, 2025, the United States Food and Drug Administration (FDA) granted Breakthrough Therapy designation to investigational plozasiran as an adjunct to diet to reduce triglyceride (TG) levels in adults with severe hypertriglyceridemia (SHTG) (TG levels greater than or equal to 500 mg/dL);</w:t>
      </w:r>
    </w:p>
    <w:p>
      <w:pPr>
        <w:spacing w:after="0" w:line="196" w:lineRule="exact"/>
        <w:rPr>
          <w:rFonts w:ascii="Arial" w:cs="Arial" w:eastAsia="Arial" w:hAnsi="Arial"/>
          <w:sz w:val="16"/>
          <w:szCs w:val="16"/>
          <w:color w:val="auto"/>
        </w:rPr>
      </w:pPr>
    </w:p>
    <w:p>
      <w:pPr>
        <w:jc w:val="both"/>
        <w:ind w:left="260" w:hanging="251"/>
        <w:spacing w:after="0" w:line="247"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November 20, 2025, the Company earned a $200.0 million milestone payment from Sarepta, which was paid on January 15, 2026. The milestone was earned when Arrowhead achieved the second development milestone event in a Phase 1/2 clinical study of ARO-DM1, also called SRP-1003, an investigational RNAi therapeutic for the treatment of type 1 myotonic dystrophy (DM1), the most common adult-onset muscular dystrophy. The second milestone event included the achievement of a patient enrollment target, drug safety committee review and subsequent authorization to dose escalate and proceed, and completion of day 105 study visit by at least one patient in the clinical trial;</w:t>
      </w:r>
    </w:p>
    <w:p>
      <w:pPr>
        <w:spacing w:after="0" w:line="227" w:lineRule="exact"/>
        <w:rPr>
          <w:rFonts w:ascii="Arial" w:cs="Arial" w:eastAsia="Arial" w:hAnsi="Arial"/>
          <w:sz w:val="16"/>
          <w:szCs w:val="16"/>
          <w:color w:val="auto"/>
        </w:rPr>
      </w:pPr>
    </w:p>
    <w:p>
      <w:pPr>
        <w:jc w:val="both"/>
        <w:ind w:left="260" w:hanging="251"/>
        <w:spacing w:after="0" w:line="193" w:lineRule="auto"/>
        <w:tabs>
          <w:tab w:leader="none" w:pos="228" w:val="left"/>
        </w:tabs>
        <w:numPr>
          <w:ilvl w:val="0"/>
          <w:numId w:val="23"/>
        </w:numPr>
        <w:rPr>
          <w:rFonts w:ascii="Arial" w:cs="Arial" w:eastAsia="Arial" w:hAnsi="Arial"/>
          <w:sz w:val="22"/>
          <w:szCs w:val="22"/>
          <w:color w:val="auto"/>
        </w:rPr>
      </w:pPr>
      <w:r>
        <w:rPr>
          <w:rFonts w:ascii="Arial" w:cs="Arial" w:eastAsia="Arial" w:hAnsi="Arial"/>
          <w:sz w:val="16"/>
          <w:szCs w:val="16"/>
          <w:color w:val="auto"/>
        </w:rPr>
        <w:t>The FDA approved the Company's New Drug Application (NDA) for REDEMPLO (plozasiran) injection for Familial Chylomicronemia Syndrome (FCS), on November 18, 2025. This approval was supported by clinical data from the Phase 3 PALISADE study, a randomized, double-blind, placebo-controlled trial in adults with clinically diagnosed or genetically confirmed FCS. The PALISADE study met its primary endpoint and all multiplicity-controlled key secondary endpoints, including demonstrating significant reductions in triglycerides and APOC3. In PALISADE, 25 mg REDEMPLO achieved deep and durable reductions in triglycerides, with a median change from baseline of -80% versus -17% in the pooled placebo group, and a lower numerical incidence of acute pancreatitis compared with placebo. The Company subsequently received approvals for REDEMPLO for the treatment of FCS from the Chinese National Medical Products Administration and Health Canada;</w:t>
      </w:r>
    </w:p>
    <w:p>
      <w:pPr>
        <w:spacing w:after="0" w:line="191" w:lineRule="exact"/>
        <w:rPr>
          <w:rFonts w:ascii="Arial" w:cs="Arial" w:eastAsia="Arial" w:hAnsi="Arial"/>
          <w:sz w:val="22"/>
          <w:szCs w:val="22"/>
          <w:color w:val="auto"/>
        </w:rPr>
      </w:pPr>
    </w:p>
    <w:p>
      <w:pPr>
        <w:jc w:val="both"/>
        <w:ind w:left="260" w:hanging="251"/>
        <w:spacing w:after="0" w:line="247"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a request for regulatory clearance to initiate a Phase 1/2a clinical trial of ARO-DIMER-PA, the Company’s investigational RNA interference (RNAi) therapeutic being developed as a potential treatment for atherosclerotic cardiovascular disease (ASCVD) due to mixed hyperlipidemia. ARO-DIMER-PA is designed to silence expression of the proprotein convertase subtilisin kexin 9 (PCSK9) and apolipoprotein C3 (APOC3) genes. This represents an important step forward for the RNAi field as it is the first clinical candidate to target two genes simultaneously in one molecule, enabled by Arrowhead’s innovative and proprietary TRiM platform;</w:t>
      </w:r>
    </w:p>
    <w:p>
      <w:pPr>
        <w:spacing w:after="0" w:line="200" w:lineRule="exact"/>
        <w:rPr>
          <w:rFonts w:ascii="Arial" w:cs="Arial" w:eastAsia="Arial" w:hAnsi="Arial"/>
          <w:sz w:val="16"/>
          <w:szCs w:val="16"/>
          <w:color w:val="auto"/>
        </w:rPr>
      </w:pPr>
    </w:p>
    <w:p>
      <w:pPr>
        <w:jc w:val="both"/>
        <w:ind w:left="260" w:hanging="251"/>
        <w:spacing w:after="0" w:line="253"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Dosed the first subjects in a Phase 1/2a clinical trial of ARO-MAPT, the Company’s investigational RNAi therapeutic being developed as a potential treatment for tauopathies including Alzheimer’s disease, a progressive neurodegenerative disease characterized by cognitive and functional decline. Alzheimer’s disease is the most common cause of dementia and is estimated to affect 32 million people worldwide and is part of a group of neurodegenerative diseases called tauopathies that are marked by the abnormal accumulation and formation of tau tangles in neurons;</w:t>
      </w:r>
    </w:p>
    <w:p>
      <w:pPr>
        <w:spacing w:after="0" w:line="196" w:lineRule="exact"/>
        <w:rPr>
          <w:rFonts w:ascii="Arial" w:cs="Arial" w:eastAsia="Arial" w:hAnsi="Arial"/>
          <w:sz w:val="16"/>
          <w:szCs w:val="16"/>
          <w:color w:val="auto"/>
        </w:rPr>
      </w:pPr>
    </w:p>
    <w:p>
      <w:pPr>
        <w:jc w:val="both"/>
        <w:ind w:left="260" w:hanging="251"/>
        <w:spacing w:after="0" w:line="228"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August 29, 2025, the Company entered into a global licensing and collaboration agreement with Novartis for ARO-SNCA, Arrowhead’s preclinical stage siRNA therapy against alpha-synuclein for the treatment of synucleinopathies, such as Parkinson’s Disease, and for other additional collaboration targets that will utilize Arrowhead’s proprietary TRiM</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Upon closing of the transaction in October 2025, the Company received $200.0 million as an upfront payment and is eligible to receive up to $2.0 billion in potential milestone payments plus royalties on commercial sales;</w:t>
      </w:r>
    </w:p>
    <w:p>
      <w:pPr>
        <w:spacing w:after="0" w:line="218" w:lineRule="exact"/>
        <w:rPr>
          <w:rFonts w:ascii="Arial" w:cs="Arial" w:eastAsia="Arial" w:hAnsi="Arial"/>
          <w:sz w:val="16"/>
          <w:szCs w:val="16"/>
          <w:color w:val="auto"/>
        </w:rPr>
      </w:pPr>
    </w:p>
    <w:p>
      <w:pPr>
        <w:jc w:val="both"/>
        <w:ind w:left="260" w:hanging="251"/>
        <w:spacing w:after="0" w:line="248"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Triggered a $100.0 million milestone payment from Sarepta, which was achieved on July 27, 2025, when the Company reached the first of two prespecified enrollment targets and subsequent authorization to dose escalate in a Phase 1/2 clinical study of ARO-DM1, an investigational RNAi therapeutic for the treatment of type 1 myotonic dystrophy (DM1). Arrowhead received $53.2 million worth of Arrowhead common stock and $50.0 million in cash from Sarepta Therapeutics, satisfying the payment of the $100.0 million milestone owed to Arrowhead.</w:t>
      </w:r>
    </w:p>
    <w:p>
      <w:pPr>
        <w:spacing w:after="0" w:line="211" w:lineRule="exact"/>
        <w:rPr>
          <w:rFonts w:ascii="Arial" w:cs="Arial" w:eastAsia="Arial" w:hAnsi="Arial"/>
          <w:sz w:val="16"/>
          <w:szCs w:val="16"/>
          <w:color w:val="auto"/>
        </w:rPr>
      </w:pPr>
    </w:p>
    <w:p>
      <w:pPr>
        <w:jc w:val="both"/>
        <w:ind w:left="260" w:hanging="251"/>
        <w:spacing w:after="0" w:line="248"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Announced the signing of an asset purchase agreement between Sanofi and Visirna, a majority-owned subsidiary of the Company, created to develop and commercialize four of the Company’s investigational cardiometabolic candidates in Greater China. Under the terms of the agreement, Sanofi acquired rights to develop and commercialize investigational plozasiran, the Company's first-in-class RNAi therapeutic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495300</wp:posOffset>
            </wp:positionV>
            <wp:extent cx="98615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940"/>
        <w:spacing w:after="0"/>
        <w:rPr>
          <w:sz w:val="20"/>
          <w:szCs w:val="20"/>
          <w:color w:val="auto"/>
        </w:rPr>
      </w:pPr>
      <w:r>
        <w:rPr>
          <w:rFonts w:ascii="Arial" w:cs="Arial" w:eastAsia="Arial" w:hAnsi="Arial"/>
          <w:sz w:val="18"/>
          <w:szCs w:val="18"/>
          <w:b w:val="1"/>
          <w:bCs w:val="1"/>
          <w:color w:val="0071C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193675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212"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340"/>
        <w:spacing w:after="0" w:line="268" w:lineRule="auto"/>
        <w:rPr>
          <w:sz w:val="20"/>
          <w:szCs w:val="20"/>
          <w:color w:val="auto"/>
        </w:rPr>
      </w:pPr>
      <w:r>
        <w:rPr>
          <w:rFonts w:ascii="Arial" w:cs="Arial" w:eastAsia="Arial" w:hAnsi="Arial"/>
          <w:sz w:val="16"/>
          <w:szCs w:val="16"/>
          <w:color w:val="auto"/>
        </w:rPr>
        <w:t>designed to reduce production of apolipoprotein C-III (APOC3) as a potential treatment for familial chylomicronemia syndrome (FCS) and severe hypertriglyceridemia (sHTG), in Greater China;</w:t>
      </w:r>
    </w:p>
    <w:p>
      <w:pPr>
        <w:spacing w:after="0" w:line="197" w:lineRule="exact"/>
        <w:rPr>
          <w:sz w:val="20"/>
          <w:szCs w:val="20"/>
          <w:color w:val="auto"/>
        </w:rPr>
      </w:pPr>
    </w:p>
    <w:p>
      <w:pPr>
        <w:jc w:val="both"/>
        <w:ind w:left="340" w:hanging="251"/>
        <w:spacing w:after="0" w:line="248"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Initiated and dosed the first subject in the YOSEMITE Phase 3 clinical trial of zodasiran, the Company’s investigational RNAi therapeutic being developed as a potential treatment for homozygous familial hypercholesterolemia (HoFH), a rare genetic condition that leads to severely elevated LDL-cholesterol and early onset cardiovascular disease;</w:t>
      </w:r>
    </w:p>
    <w:p>
      <w:pPr>
        <w:spacing w:after="0" w:line="212" w:lineRule="exact"/>
        <w:rPr>
          <w:rFonts w:ascii="Arial" w:cs="Arial" w:eastAsia="Arial" w:hAnsi="Arial"/>
          <w:sz w:val="16"/>
          <w:szCs w:val="16"/>
          <w:color w:val="auto"/>
        </w:rPr>
      </w:pPr>
    </w:p>
    <w:p>
      <w:pPr>
        <w:ind w:left="340" w:right="20" w:hanging="251"/>
        <w:spacing w:after="0" w:line="268"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Completed enrollment of SHASTA-3, SHASTA-4, and MUIR-3 Phase 3 clinical trials of plozasiran. The Company’s global Phase 3 clinical studies are designed to support regulatory submissions for approval of investigational plozasiran in the treatment of severe hypertriglyceridemia;</w:t>
      </w:r>
    </w:p>
    <w:p>
      <w:pPr>
        <w:spacing w:after="0" w:line="196" w:lineRule="exact"/>
        <w:rPr>
          <w:rFonts w:ascii="Arial" w:cs="Arial" w:eastAsia="Arial" w:hAnsi="Arial"/>
          <w:sz w:val="16"/>
          <w:szCs w:val="16"/>
          <w:color w:val="auto"/>
        </w:rPr>
      </w:pPr>
    </w:p>
    <w:p>
      <w:pPr>
        <w:jc w:val="both"/>
        <w:ind w:left="340" w:hanging="251"/>
        <w:spacing w:after="0" w:line="257"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Initiated a Phase 1/2a clinical trial of ARO-ALK7 for the treatment of obesity. ARO-ALK7 is the first RNAi-based therapy designed to silence adipocyte expression of the ACVR1C gene to reduce the production of Activin receptor-like kinase 7 (ALK7), which acts as a receptor in a pathway that regulates energy homeostasis in adipose tissue;</w:t>
      </w:r>
    </w:p>
    <w:p>
      <w:pPr>
        <w:spacing w:after="0" w:line="191" w:lineRule="exact"/>
        <w:rPr>
          <w:rFonts w:ascii="Arial" w:cs="Arial" w:eastAsia="Arial" w:hAnsi="Arial"/>
          <w:sz w:val="16"/>
          <w:szCs w:val="16"/>
          <w:color w:val="auto"/>
        </w:rPr>
      </w:pPr>
    </w:p>
    <w:p>
      <w:pPr>
        <w:jc w:val="both"/>
        <w:ind w:left="340" w:right="20" w:hanging="251"/>
        <w:spacing w:after="0" w:line="257"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Announced Topline results from Part 2 of a Phase 1/2 clinical study of ARO-C3, the Company’s investigational RNAi therapeutic designed to reduce liver production of complement component 3 (C3) as a potential therapy for various complement mediated diseases. ARO-C3 achieved reductions in alternative pathway complement activity and proteinuria;</w:t>
      </w:r>
    </w:p>
    <w:p>
      <w:pPr>
        <w:spacing w:after="0" w:line="191" w:lineRule="exact"/>
        <w:rPr>
          <w:rFonts w:ascii="Arial" w:cs="Arial" w:eastAsia="Arial" w:hAnsi="Arial"/>
          <w:sz w:val="16"/>
          <w:szCs w:val="16"/>
          <w:color w:val="auto"/>
        </w:rPr>
      </w:pPr>
    </w:p>
    <w:p>
      <w:pPr>
        <w:jc w:val="both"/>
        <w:ind w:left="340" w:hanging="251"/>
        <w:spacing w:after="0" w:line="247"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Entered into a global licensing and collaboration agreement with Sarepta on November 25, 2024, which closed on February 7, 2025. Upon closing, the Company received $325.0 million through the purchase of 11,926,301 shares of Company common stock by Sarepta, at a price per share of $27.25, and received $500.0 million as an upfront payment on February 24, 2025. The Company will also receive $250.0 million to be paid in equal installments over five years and was eligible to receive the DM1 milestones described above which were already earned. Additionally, the Company is eligible to receive royalties on commercial sales and up to approximately $10.0 billion in future potential milestone payments;</w:t>
      </w:r>
    </w:p>
    <w:p>
      <w:pPr>
        <w:spacing w:after="0" w:line="214" w:lineRule="exact"/>
        <w:rPr>
          <w:rFonts w:ascii="Arial" w:cs="Arial" w:eastAsia="Arial" w:hAnsi="Arial"/>
          <w:sz w:val="16"/>
          <w:szCs w:val="16"/>
          <w:color w:val="auto"/>
        </w:rPr>
      </w:pPr>
    </w:p>
    <w:p>
      <w:pPr>
        <w:ind w:left="340" w:hanging="251"/>
        <w:spacing w:after="0" w:line="268"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GSK dosed its fifth patient in a Phase 2 trial in December 2024, triggering a $2.5 million milestone payment to the Company which was paid in the second quarter of fiscal 2025;</w:t>
      </w:r>
    </w:p>
    <w:p>
      <w:pPr>
        <w:spacing w:after="0" w:line="183" w:lineRule="exact"/>
        <w:rPr>
          <w:rFonts w:ascii="Arial" w:cs="Arial" w:eastAsia="Arial" w:hAnsi="Arial"/>
          <w:sz w:val="16"/>
          <w:szCs w:val="16"/>
          <w:color w:val="auto"/>
        </w:rPr>
      </w:pPr>
    </w:p>
    <w:p>
      <w:pPr>
        <w:ind w:left="320" w:hanging="231"/>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Announced that the Company dosed the first subjects in a Phase 1/2a clinical trial of ARO-INHBE; and</w:t>
      </w:r>
    </w:p>
    <w:p>
      <w:pPr>
        <w:spacing w:after="0" w:line="248" w:lineRule="exact"/>
        <w:rPr>
          <w:rFonts w:ascii="Arial" w:cs="Arial" w:eastAsia="Arial" w:hAnsi="Arial"/>
          <w:sz w:val="16"/>
          <w:szCs w:val="16"/>
          <w:color w:val="auto"/>
        </w:rPr>
      </w:pPr>
    </w:p>
    <w:p>
      <w:pPr>
        <w:jc w:val="both"/>
        <w:ind w:left="340" w:hanging="251"/>
        <w:spacing w:after="0" w:line="248" w:lineRule="auto"/>
        <w:tabs>
          <w:tab w:leader="none" w:pos="3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Presented interim results from a Phase 1/2a clinical study of ARO-CFB at the 8th Complement-Based Drug Development Summit. The study resulted in multiple findings including: (1) ARO-CFB led to dose dependent reductions in circulating CFB protein by up to 90% with greater than 3 months duration,</w:t>
      </w:r>
    </w:p>
    <w:p>
      <w:pPr>
        <w:ind w:left="340" w:hanging="8"/>
        <w:spacing w:after="0" w:line="248" w:lineRule="auto"/>
        <w:tabs>
          <w:tab w:leader="none" w:pos="608" w:val="left"/>
        </w:tabs>
        <w:numPr>
          <w:ilvl w:val="1"/>
          <w:numId w:val="24"/>
        </w:numPr>
        <w:rPr>
          <w:rFonts w:ascii="Arial" w:cs="Arial" w:eastAsia="Arial" w:hAnsi="Arial"/>
          <w:sz w:val="16"/>
          <w:szCs w:val="16"/>
          <w:color w:val="auto"/>
        </w:rPr>
      </w:pPr>
      <w:r>
        <w:rPr>
          <w:rFonts w:ascii="Arial" w:cs="Arial" w:eastAsia="Arial" w:hAnsi="Arial"/>
          <w:sz w:val="16"/>
          <w:szCs w:val="16"/>
          <w:color w:val="auto"/>
        </w:rPr>
        <w:t>single and multiple doses of ARO-CFB led to near complete inhibition of alternative pathway activity based on Wieslab AP, and (3) single and multiple doses of ARO-CFB led to near complete inhibition of alternative pathway hemolytic activity, measured by AH50.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 Inc. ("Sarepta")</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November 25, 2024, the Company entered into an Exclusive License and Collaboration Agreement (the “Sarepta Collaboration”) with Sarepta Therapeutics, Inc. (“Sarepta”) for the co-development and commercialization of ARO-DUX4, ARO-DM1, ARO-MMP7, and ARO-ATXN2 clinical stage programs. Sarepta also received an exclusive sublicensable worldwide license to the Company’s ARO-HTT, ARO-ATXN1, and ARO-ATXN3 preclinical stage programs.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the Sarepta Collaboration, Sarepta may select up to six gene targets for which the Company will perform discovery, optimization and preclinical development activities to identify RNAi compounds against each selected target. Upon completion of the Company’s preclinical activities, Sarepta will receive an exclusive license to the Company’s intellectual property rights to exploit those compounds and be wholly responsible for clinical development and commercialization of each compound.</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Sarepta Collaboration, on November 25, 2024, the Company entered into a Stock Purchase Agreement (the “Stock Purchase Agreement”) with an affiliate of Sarepta for a private placement of shares of common stock of the Company (the “Private Placement”). Pursuant to the Stock Purchase Agreement,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486410</wp:posOffset>
            </wp:positionV>
            <wp:extent cx="9861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sold 11,926,301 shares of common stock, at a price per share of $27.25, for an aggregate value of approximately $325.0 million.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Sarepta Collaboration and Private Placement closed concurrently in February 2025.</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 July 27, 2025, the Company triggered a $100.0 million milestone payment from Sarepta when the Company reached the first of two prespecified enrollment targets and subsequent authorization to dose escalate in a Phase 1/2 clinical study of ARO-DM1. In satisfaction of the amount owed by Sarepta, the Company elected to receive $53.2 million worth of Arrowhead common stock, at a price per share of $18.79, and $50 million in cash from Sarepta.</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November 20, 2025, the Company triggered a $200.0 million milestone payment when the Company achieved the second of two prespecified enrollment targets and subsequent authorization to dose escalate and proceed in a Phase 1/2 clinical study of ARO-DM1, which was paid on January 15, 2026.</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Taken together, the Company received $500.0 million as an upfront payment under the Sarepta Collaboration, $325.0 million in the form of an equity investment under the Stock Purchase Agreement, and $250.0 million to be paid in annual installments of $50.0 million over 5 years. The Company has also triggered $300.0 million in near-term payments associated with the continued enrollment of certain cohorts of a Phase 1/2 study, discussed above. Further, for each of the 13 programs, the Company is eligible to receive development milestone payments between $110.0 million and $180.0 million per program and sales milestone payments between $500.0 million and $700.0 million per program. The Company is also eligible to receive tiered royalties on net sales of licensed products of up to the low double digits.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w:t>
      </w:r>
    </w:p>
    <w:p>
      <w:pPr>
        <w:spacing w:after="0" w:line="228" w:lineRule="exact"/>
        <w:rPr>
          <w:sz w:val="20"/>
          <w:szCs w:val="20"/>
          <w:color w:val="auto"/>
        </w:rPr>
      </w:pPr>
    </w:p>
    <w:p>
      <w:pPr>
        <w:jc w:val="both"/>
        <w:spacing w:after="0" w:line="211" w:lineRule="auto"/>
        <w:rPr>
          <w:sz w:val="20"/>
          <w:szCs w:val="20"/>
          <w:color w:val="auto"/>
        </w:rPr>
      </w:pPr>
      <w:r>
        <w:rPr>
          <w:rFonts w:ascii="Arial" w:cs="Arial" w:eastAsia="Arial" w:hAnsi="Arial"/>
          <w:sz w:val="16"/>
          <w:szCs w:val="16"/>
          <w:color w:val="auto"/>
        </w:rPr>
        <w:t>On August 1, 2025, Visirna Therapeutics HK Limited (“Visirna HK”), a wholly owned subsidiary of Visirna Therapeutics, Inc, a majority owned subsidiary of the Company, entered into an Asset Purchase Agreement with Genzyme Corporation (“Sanofi”), a wholly owned subsidiary of Sanofi S.A.,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As part of this transaction with Sanofi, the Company recorded $130.0 million in revenue during fiscal 2025. Further, pursuant to the agreement, Visirna earned a $10.0 million milestone from Sanofi for the approval of REDEMPLO</w:t>
      </w:r>
      <w:r>
        <w:rPr>
          <w:rFonts w:ascii="Arial" w:cs="Arial" w:eastAsia="Arial" w:hAnsi="Arial"/>
          <w:sz w:val="21"/>
          <w:szCs w:val="21"/>
          <w:color w:val="auto"/>
          <w:vertAlign w:val="superscript"/>
        </w:rPr>
        <w:t>(R)</w:t>
      </w:r>
      <w:r>
        <w:rPr>
          <w:rFonts w:ascii="Arial" w:cs="Arial" w:eastAsia="Arial" w:hAnsi="Arial"/>
          <w:sz w:val="16"/>
          <w:szCs w:val="16"/>
          <w:color w:val="auto"/>
        </w:rPr>
        <w:t xml:space="preserve"> (plozasiran) for the treatment of FCS in the People's Republic of China.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Novartis Pharma AG ("Novartis")</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August 29, 2025, the Company entered into a global licensing and collaboration agreement with Novartis for ARO-SNCA, Arrowhead’s preclinical stage siRNA therapy against alpha-synuclein for the treatment of synucleinopathies, such as Parkinson’s Disease, and for other additional collaboration targets that will utilize Arrowhead’s proprietary TRiM</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Upon closing on October 17, 2025, the Company received $200.0 million as an upfront payment and is eligible to receive up to $2.0 billion in potential milestone payments plus royalties on commercial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Platform</w:t>
      </w:r>
    </w:p>
    <w:p>
      <w:pPr>
        <w:spacing w:after="0" w:line="93"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In fiscal 2025, the Company continued to develop and deploy its Targeted RNAi Molecule platform (“</w:t>
      </w:r>
      <w:r>
        <w:rPr>
          <w:rFonts w:ascii="Arial" w:cs="Arial" w:eastAsia="Arial" w:hAnsi="Arial"/>
          <w:sz w:val="16"/>
          <w:szCs w:val="16"/>
          <w:b w:val="1"/>
          <w:bCs w:val="1"/>
          <w:color w:val="auto"/>
        </w:rPr>
        <w:t>TRiM</w:t>
      </w:r>
      <w:r>
        <w:rPr>
          <w:rFonts w:ascii="Arial" w:cs="Arial" w:eastAsia="Arial" w:hAnsi="Arial"/>
          <w:sz w:val="8"/>
          <w:szCs w:val="8"/>
          <w:color w:val="auto"/>
        </w:rPr>
        <w:t>™</w:t>
      </w:r>
      <w:r>
        <w:rPr>
          <w:rFonts w:ascii="Arial" w:cs="Arial" w:eastAsia="Arial" w:hAnsi="Arial"/>
          <w:sz w:val="16"/>
          <w:szCs w:val="16"/>
          <w:color w:val="auto"/>
        </w:rPr>
        <w:t>”) to identify and develop new therapeutics. TRiM</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utilizes ligand-mediated delivery and is designed to enable tissue-specific targeting, while being structurally simple. Targeting has been core to the Company’s development philosophy and the TRiM</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builds on more than a decade of work on actively targeted drug delivery vehicles. The TRiM</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is designed to offer several potential competitive advantages including:</w:t>
      </w:r>
    </w:p>
    <w:p>
      <w:pPr>
        <w:spacing w:after="0" w:line="110" w:lineRule="exact"/>
        <w:rPr>
          <w:sz w:val="20"/>
          <w:szCs w:val="20"/>
          <w:color w:val="auto"/>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Simplified manufacturing at reduced cost;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586740</wp:posOffset>
            </wp:positionV>
            <wp:extent cx="98615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hanging="211"/>
        <w:spacing w:after="0"/>
        <w:tabs>
          <w:tab w:leader="none" w:pos="300" w:val="left"/>
        </w:tabs>
        <w:numPr>
          <w:ilvl w:val="0"/>
          <w:numId w:val="26"/>
        </w:numPr>
        <w:rPr>
          <w:rFonts w:ascii="Arial" w:cs="Arial" w:eastAsia="Arial" w:hAnsi="Arial"/>
          <w:sz w:val="22"/>
          <w:szCs w:val="22"/>
          <w:color w:val="0071CE"/>
        </w:rPr>
      </w:pPr>
      <w:r>
        <w:rPr>
          <w:rFonts w:ascii="Arial" w:cs="Arial" w:eastAsia="Arial" w:hAnsi="Arial"/>
          <w:sz w:val="16"/>
          <w:szCs w:val="16"/>
          <w:color w:val="auto"/>
        </w:rPr>
        <w:t>The ability to take RNAi to tissues beyond the liver, including seven different tissue types with ongoing clinical programs.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Approved Products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REDEMPLO (plozasiran) is approved by the U.S. Food and Drug Administration as an adjunct to diet to reduce triglycerides for adults with Familial Chylomicronemia Syndrome (FCS). REDEMPLO (plozasiran) is also approved by the Chinese National Medical Products Administration (NMPA). In addition, Health Canada has issued a Notice of Compliance (NOC) authorizing REDEMPLO™ (plozasiran) as an adjunct to diet to reduce triglycerides in adults with familial chylomicronemia syndrome (FCS) for whom standard triglyceride lowering therapies have been inadequate. REDEMPLO is an siRNA therapeutic designed to suppress the production of apolipoprotein C-III (APOC3), a protein produced in the liver that raises triglyceride levels by slowing their breakdown and clearance. By targeting the APOC3 gene with sustained silencing, REDEMPLO delivers significant reductions in triglyceride levels. REDEMPLO is the first and only FDA-approved siRNA treatment studied in both genetically confirmed and clinically diagnosed patients living with FCS.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Pipeline</w:t>
      </w:r>
    </w:p>
    <w:p>
      <w:pPr>
        <w:spacing w:after="0" w:line="9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that are involved with disease. The depth and versatility of Arrowhead's RNAi technologies enables Arrowhead to potentially address conditions in many therapeutic areas and pursue disease targets that are not otherwise addressable by small molecules and biologics. Arrowhead is focused on bringing the promise of RNAi to address diseases outside of the liver, and its pipeline now includes disease targets in the liver, lung, muscle and CNS.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timing of our planned and already filed clinical trial applications (“</w:t>
      </w:r>
      <w:r>
        <w:rPr>
          <w:rFonts w:ascii="Arial" w:cs="Arial" w:eastAsia="Arial" w:hAnsi="Arial"/>
          <w:sz w:val="16"/>
          <w:szCs w:val="16"/>
          <w:b w:val="1"/>
          <w:bCs w:val="1"/>
          <w:i w:val="1"/>
          <w:iCs w:val="1"/>
          <w:color w:val="auto"/>
        </w:rPr>
        <w:t>CTA</w:t>
      </w:r>
      <w:r>
        <w:rPr>
          <w:rFonts w:ascii="Arial" w:cs="Arial" w:eastAsia="Arial" w:hAnsi="Arial"/>
          <w:sz w:val="16"/>
          <w:szCs w:val="16"/>
          <w:i w:val="1"/>
          <w:iCs w:val="1"/>
          <w:color w:val="auto"/>
        </w:rPr>
        <w:t>”) discussed below are based on calendar years, not fiscal years.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Plozasiran (ARO-APOC3) - Severe Hypertriglyceridemia (sHTG)</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Severe Hypertriglyceridemia is a disease characterized by elevated triglyceride levels &gt; 500 mg/dL. Severely elevated triglycerides in patients with severe hypertriglyceridemia (sHTG) or familial chylomicronemia syndrome (FCS), a rare genetic disorder, can result in potentially fatal acute pancreatitis.</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Plozasiran (formerly ARO-APOC3) is designed to reduce production of apolipoprotein C-III (APOC3), a component of triglyceride rich lipoproteins (TRLs) including Very Low Density Lipoprotein (VLDL) and chylomicrons, a key regulator of triglyceride metabolism. The Company believes that knocking down the hepatic production of APOC3 may result in reduced VLDL synthesis and assembly, enhanced breakdown of TRLs, and better clearance of VLDL and chylomicron remnants.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conducting multiple Phase 3 studies to potentially support regulatory filings for approval in sHTG, pending successful completion, including SHASTA-3, SHASTA-4, SHASTA-5, and MUIR-3.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Zodasiran (ARO-ANG3) - Homozygous Familial Hypercholesterolemia (HoFH)</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Dyslipidemia and Hypertriglyceridemia are risk factors for atherosclerotic coronary heart disease and cardiovascular events.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Zodasiran (formerly 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The Company is currently investigating zodasiran in one Phase 3 clinical trial (YOSEMITE) to evaluate the efficacy and safety of zodasiran in adolescent and adult subjects with HoFH.</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ARO-INHBE - Obesity</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ARO-INHBE is designed to reduce the hepatic expression of the INHBE gene and its secreted gene product, Activin E. INHBE is a promising genetically validated target in which loss-of-function INHBE variants in humans are associated with lower risk of obesity and metabolic diseases, such as type 2 diabetes. The Company is currently investigating ARO-INHBE in a Phase 1/2a clinical trial.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ARO-ALK7- Obesity</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ARO-ALK7 is designed to silence adipocyte expression of the ACVR1C gene to reduce the production of Activin receptor-like kinase 7 (ALK7), which acts as a receptor in a pathway that regulates energy homeostasis in adipose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484505</wp:posOffset>
            </wp:positionV>
            <wp:extent cx="98615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tissue. In large genetic datasets, reduced ACVR1C expression has been associated with healthier adipose distribution and reduced risk of obesity-related metabolic complications. The Company is currently investigating ARO-ALK7 in a Phase 1/2a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ARO-C3 - Complement Mediated Renal Disease</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 number of rare renal diseases result from uncontrolled activation of the alternative pathway of complement, 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complement component 3 (C3) may be a therapeutic approach for treatment of these conditions.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ARO-C3 is designed to reduce production of C3 as a potential therapy for patients with various complement mediated or complement associated renal diseases. The Company is currently investigating ARO-C3 in a Phase 1/2a clinical trial.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ARO-CFB - Complement Mediated Disease</w:t>
      </w:r>
    </w:p>
    <w:p>
      <w:pPr>
        <w:spacing w:after="0" w:line="248"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 number of rare renal diseases result from uncontrolled activation of the alternative pathway of complement, 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complement factor B (CFB) may be a therapeutic approach for treatment of these conditions.</w:t>
      </w:r>
    </w:p>
    <w:p>
      <w:pPr>
        <w:spacing w:after="0" w:line="19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ARO-CFB is designed to reduce hepatic expression of CFB, which plays an important regulatory role in amplifying complement alternative pathway activation and has been identified as a promising therapeutic target. ARO-CFB is being developed as a potential treatment for complement mediated kidney diseases such as immunoglobulin A nephropathy (IgAN), which is the most common glomerular disease worldwide and carries a high lifetime risk of progression to end-stage renal disease. Additionally, ARO-CFB may have clinical applications in non-renal diseases involving complement activation. The Company is currently investigating ARO-CFB in a Phase 1/2a clinical trial.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ARO-RAGE - Inflammatory Pulmonary Disease</w:t>
      </w:r>
    </w:p>
    <w:p>
      <w:pPr>
        <w:spacing w:after="0" w:line="23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ARO-RAGE is designed to reduce production of the Receptor for Advanced Glycation End products (RAGE) as a potential treatment for various inflammatory pulmonary diseases. The Company is currently investigating ARO-RAGE in a Phase 2a clinical trial.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ARO-PNPLA3 - Metabolic-dysfunction Associated Steatohepatitis (MASH)</w:t>
      </w:r>
    </w:p>
    <w:p>
      <w:pPr>
        <w:spacing w:after="0" w:line="2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MASH is a subgroup of steatotic liver disease (MASLD) in which hepatic cell injury and inflammation has developed over background steatosis. The I148M genetic variant in the PNPLA3 gene is involved with the underlying pathophysiology and is a known risk factor for hepatic steatosis, steatohepatitis, elevated plasma liver enzyme levels, hepatic fibrosis and cirrhosis. The rising prevalence of MASH presents a significant health burden in many developed countries.</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ARO-PNPLA3 (formerly JNJ-75220795) is an investigational RNAi therapeutic designed to reduce liver expression of patatin-like phospholipase domain containing 3 (PNPLA3) as a potential treatment for patients with metabolic-dysfunction associated steatohepatitis (MASH). PNPLA3 has strong genetic and preclinical validation as a driver of fat accumulation and damage in the livers of patients who carry the common I148M mutation. Former licensee Janssen Pharmaceuticals, Inc. investigated ARO-PNPLA3 in two Phase 1 clinical trials.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ARO-MAPT - Alzheimer's and Tauopathies</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Aggregation of the toxic tau protein is believed to be a key driver in multiple tauopathies, including Alzheimer’s disease. By preventing or potentially reversing tau protein accumulation in subjects with mild cognitive impairment due to Alzheimer’s disease and mild Alzheimer’s disease dementia, ARO-MAPT has the potential to prevent or slow disease progression.</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ARO-MAPT is Arrowhead’s first investigational RNAi-based therapy to utilize a new proprietary delivery system which, in preclinical studies, has achieved blood-brain-barrier penetration and deep knockdown of target genes across the central nervous system (CNS), including deep brain regions, after subcutaneous injections. ARO-MAPT is designed to silence CNS expression of the microtubule associated protein tau (MAPT) gene, which encodes the tau protein.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dosed the first subjects in a Phase 1/2a clinical trial of ARO-MAPT.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ARO-DIMER-PA - Mixed Hyperlipidemia</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Mixed Hyperlipidemia is a highly prevalent disorder characterized by elevated low-density lipoprotein cholesterol (LDL-C) and triglyceride (TG) levels and is a major risk factor for ASCVD, which is the leading cause of mortality worldwide and associated with substantial morbidity and healthcare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484505</wp:posOffset>
            </wp:positionV>
            <wp:extent cx="98615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ARO-DIMER-PA is a dual functional RNAi molecule designed to silence expression of the proprotein convertase subtilisin kexin 9 (PCSK9) and apolipoprotein C3 (APOC3) genes in hepatocytes. Prior clinical experience with other investigational and approved agents suggests that PCSK9 and APOC3 inhibition may lead to robust reductions in LDL-C, TGs, triglyceride rich lipoprotein remnants, and total atherogenic lipoproteins. This represents an important step forward for the RNAi field as it is the first clinical candidate to target two genes simultaneously in one molecule, enabled by Arrowhead’s innovative and proprietary TRiM platform.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filed for regulatory clearance to initiate a Phase 1/2a clinical trial of ARO-DIMER-PA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SRP-1001 (formerly ARO-DUX4) - Facioscapulohumeral Muscular Dystrophy (FSHD)</w:t>
      </w:r>
    </w:p>
    <w:p>
      <w:pPr>
        <w:spacing w:after="0" w:line="219"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Facioscapulohumeral muscular dystrophy (FSHD) is an autosomal dominant disease associated with the failure to maintain complete epigenetic suppression of DUX4 expression in differentiated skeletal muscle, leading to overexpression of DUX4, which is myotoxic and can lead to muscle degeneration. As DUX4 expression is recognized as the cause of muscle pathology in FSHD patients, the Company believes that the selective targeting and knockdown of DUX4 using RNAi may prevent or reverse downstream myotoxicity and lead to muscle repair and improvement in muscle function in patients. There are currently no effective treatments specifically for FSHD.</w:t>
      </w:r>
    </w:p>
    <w:p>
      <w:pPr>
        <w:spacing w:after="0" w:line="191" w:lineRule="exact"/>
        <w:rPr>
          <w:sz w:val="20"/>
          <w:szCs w:val="20"/>
          <w:color w:val="auto"/>
        </w:rPr>
      </w:pPr>
    </w:p>
    <w:p>
      <w:pPr>
        <w:jc w:val="both"/>
        <w:ind w:right="20"/>
        <w:spacing w:after="0" w:line="221" w:lineRule="auto"/>
        <w:rPr>
          <w:sz w:val="20"/>
          <w:szCs w:val="20"/>
          <w:color w:val="auto"/>
        </w:rPr>
      </w:pPr>
      <w:r>
        <w:rPr>
          <w:rFonts w:ascii="Arial" w:cs="Arial" w:eastAsia="Arial" w:hAnsi="Arial"/>
          <w:sz w:val="16"/>
          <w:szCs w:val="16"/>
          <w:color w:val="auto"/>
        </w:rPr>
        <w:t>SRP-1001 is designed to target the gene that encodes human double homeobox 4 (DUX4) protein as a potential treatment for patients with facioscapulohumeral muscular dystrophy. The Company is currently investigating SRP-1001 in a Phase 1/2a clinical trial.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SRP-1003 (formerly ARO-DM1) - Type 1 Myotonic Dystrophy</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Type 1 myotonic dystrophy is an autosomal dominant, debilitating, chronic progressive multisystem disorder characterized by an expansion of a highly unstable CUGexp in the DMPK gene. Patients with DM1 have muscle weakness and wasting, myotonia, cataracts, and often have cardiac conduction abnormalities, and may become physically disabled and have a shortened life span.</w:t>
      </w:r>
    </w:p>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SRP-1003 is designed to reduce expression of the dystrophia myotonica protein kinase (DMPK) gene. There is currently no approved disease-modifying therapy for type 1 myotonic dystrophy (DM1). Treatments have focused on symptomatic management, including physical therapy, exercise, ankle-foot orthoses, wheelchairs, and other assistive devices. The Company is currently investigating SRP-1003 in a Phase 1/2a clinical trial.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SRP-1002 (formerly ARO-MMP7) - Idiopathic Pulmonary Fibrosis (IPF)</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Idiopathic Pulmonary Fibrosis (IPF) is a chronic interstitial lung disease characterized by progressive fibrosis.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SRP-1002 is designed to reduce expression of matrix metalloproteinase 7 (MMP7) as a potential treatment for IPF. The Company is currently investigating SRP-1002 in a Phase 1/2a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SRP-1004 (formerly ARO-ATXN2) - Spinocerebellar Ataxia 2 (SCA2)</w:t>
      </w:r>
    </w:p>
    <w:p>
      <w:pPr>
        <w:spacing w:after="0" w:line="22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SCA2 is a progressive cerebellar ataxia with instability of stance, speech and swallow disorder, pain, spasticity, and ocular signs, caused by gain of function of mutant expanded polyQ ATXN2 protein.</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SRP-1004 is designed to reduce the expression of the ATXN2 gene as a potential treatment for spinocerebellar ataxia 2 (SCA2). The Company is currently investigating SRP-1004 in a Phase 1 clinical trial.</w:t>
      </w:r>
    </w:p>
    <w:p>
      <w:pPr>
        <w:spacing w:after="0" w:line="1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SRP-1005 (formerly ARO-HTT) </w:t>
      </w:r>
      <w:r>
        <w:rPr>
          <w:rFonts w:ascii="Arial" w:cs="Arial" w:eastAsia="Arial" w:hAnsi="Arial"/>
          <w:sz w:val="16"/>
          <w:szCs w:val="16"/>
          <w:color w:val="auto"/>
        </w:rPr>
        <w:t>is designed to reduce the expression of the Huntingtin gene as a potential treatment for Huntington’s disease. Sarepta 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investigating SRP-1005 in a Phase 1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ARO-ATXN1 </w:t>
      </w:r>
      <w:r>
        <w:rPr>
          <w:rFonts w:ascii="Arial" w:cs="Arial" w:eastAsia="Arial" w:hAnsi="Arial"/>
          <w:sz w:val="16"/>
          <w:szCs w:val="16"/>
          <w:color w:val="auto"/>
        </w:rPr>
        <w:t>is designed to reduce the expression of the ATXN1 gene as a potential treatment for spinocerebellar ataxia 1 (SCA1).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ARO-ATXN3 </w:t>
      </w:r>
      <w:r>
        <w:rPr>
          <w:rFonts w:ascii="Arial" w:cs="Arial" w:eastAsia="Arial" w:hAnsi="Arial"/>
          <w:sz w:val="16"/>
          <w:szCs w:val="16"/>
          <w:color w:val="auto"/>
        </w:rPr>
        <w:t>is designed to reduce the expression of the ATXN3 gene as a potential treatment for spinocerebellar ataxia 3 (SCA3).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jc w:val="both"/>
        <w:spacing w:after="0" w:line="265" w:lineRule="auto"/>
        <w:rPr>
          <w:sz w:val="20"/>
          <w:szCs w:val="20"/>
          <w:color w:val="auto"/>
        </w:rPr>
      </w:pPr>
      <w:r>
        <w:rPr>
          <w:rFonts w:ascii="Arial" w:cs="Arial" w:eastAsia="Arial" w:hAnsi="Arial"/>
          <w:sz w:val="16"/>
          <w:szCs w:val="16"/>
          <w:b w:val="1"/>
          <w:bCs w:val="1"/>
          <w:color w:val="auto"/>
        </w:rPr>
        <w:t xml:space="preserve">Fazirsiran </w:t>
      </w:r>
      <w:r>
        <w:rPr>
          <w:rFonts w:ascii="Arial" w:cs="Arial" w:eastAsia="Arial" w:hAnsi="Arial"/>
          <w:sz w:val="16"/>
          <w:szCs w:val="16"/>
          <w:color w:val="auto"/>
        </w:rPr>
        <w:t>(formerly ARO-AAT) is a subcutaneously administered RNAi therapeutic being developed as a treatment for liver disease associated with alpha-1</w:t>
      </w:r>
      <w:r>
        <w:rPr>
          <w:rFonts w:ascii="Arial" w:cs="Arial" w:eastAsia="Arial" w:hAnsi="Arial"/>
          <w:sz w:val="16"/>
          <w:szCs w:val="16"/>
          <w:b w:val="1"/>
          <w:bCs w:val="1"/>
          <w:color w:val="auto"/>
        </w:rPr>
        <w:t xml:space="preserve"> </w:t>
      </w:r>
      <w:r>
        <w:rPr>
          <w:rFonts w:ascii="Arial" w:cs="Arial" w:eastAsia="Arial" w:hAnsi="Arial"/>
          <w:sz w:val="16"/>
          <w:szCs w:val="16"/>
          <w:color w:val="auto"/>
        </w:rPr>
        <w:t>antitrypsin deficiency (AATD), which is a rare genetic disorder that severely damages the liver and lungs of affected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486410</wp:posOffset>
            </wp:positionV>
            <wp:extent cx="98615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 to protect healthy lung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Individuals with the homozygous PiZZ genotype have severe deficiency of functional AAT leading to pulmonary disease and 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treatment.</w:t>
      </w:r>
    </w:p>
    <w:p>
      <w:pPr>
        <w:spacing w:after="0" w:line="19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Fazirsiran is designed to reduce production of the mutant Z-AAT protein by silencing the AAT gene in order to prevent accumulation of Z-AAT in the liver, allow clearance of the accumulated Z-AAT protein, prevent repeated cycles of cellular damage, and possibly prevent or even reverse the progression of liver fibrosis.</w:t>
      </w:r>
    </w:p>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goal of fazirsiran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Takeda is conducting multiple Phase 3 studies for the treatment of AATD liver disease including the REDWOOD study.</w:t>
      </w:r>
    </w:p>
    <w:p>
      <w:pPr>
        <w:spacing w:after="0"/>
        <w:rPr>
          <w:sz w:val="20"/>
          <w:szCs w:val="20"/>
          <w:color w:val="auto"/>
        </w:rPr>
      </w:pPr>
      <w:r>
        <w:rPr>
          <w:rFonts w:ascii="Arial" w:cs="Arial" w:eastAsia="Arial" w:hAnsi="Arial"/>
          <w:sz w:val="18"/>
          <w:szCs w:val="18"/>
          <w:i w:val="1"/>
          <w:iCs w:val="1"/>
          <w:color w:val="auto"/>
        </w:rPr>
        <w:t>Amgen Inc.</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Olpasiran </w:t>
      </w:r>
      <w:r>
        <w:rPr>
          <w:rFonts w:ascii="Arial" w:cs="Arial" w:eastAsia="Arial" w:hAnsi="Arial"/>
          <w:sz w:val="16"/>
          <w:szCs w:val="16"/>
          <w:color w:val="auto"/>
        </w:rPr>
        <w:t>(formerly AMG 890 and ARO-LPA) is a subcutaneously administered RNAi therapeutic designed to reduce production of apolipoprotein A, a key</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 of lipoprotein(a), which has been genetically linked with increased risk of cardiovascular diseases, independent of cholesterol and LDL levels.</w:t>
      </w:r>
    </w:p>
    <w:p>
      <w:pPr>
        <w:spacing w:after="0" w:line="18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Amgen completed a Phase 2 clinical study evaluating the efficacy, safety, and tolerability of olpasiran in subjects with elevated levels of lipoprotein(a). Amgen reported Phase 2 clinical results at the American Heart Association (AHA) Scientific Sessions in November 2022 and simultaneously published in the New England Journal of Medicine. Amgen began evaluating olpasiran in a Phase 3 study (OCEAN) to assess the impact of olpasiran on major cardiovascular events in participants with atherosclerotic cardiovascular disease and elevated lipoprotein(a), in a double-blind, randomized, placebo-controlled, multi center study in December 2022.</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 (“GSK”)</w:t>
      </w:r>
    </w:p>
    <w:p>
      <w:pPr>
        <w:spacing w:after="0" w:line="14" w:lineRule="exact"/>
        <w:rPr>
          <w:sz w:val="20"/>
          <w:szCs w:val="20"/>
          <w:color w:val="auto"/>
        </w:rPr>
      </w:pPr>
    </w:p>
    <w:p>
      <w:pPr>
        <w:jc w:val="both"/>
        <w:spacing w:after="0" w:line="211" w:lineRule="auto"/>
        <w:rPr>
          <w:sz w:val="20"/>
          <w:szCs w:val="20"/>
          <w:color w:val="auto"/>
        </w:rPr>
      </w:pPr>
      <w:r>
        <w:rPr>
          <w:rFonts w:ascii="Arial" w:cs="Arial" w:eastAsia="Arial" w:hAnsi="Arial"/>
          <w:sz w:val="16"/>
          <w:szCs w:val="16"/>
          <w:b w:val="1"/>
          <w:bCs w:val="1"/>
          <w:color w:val="auto"/>
        </w:rPr>
        <w:t xml:space="preserve">GSK-4532990 </w:t>
      </w:r>
      <w:r>
        <w:rPr>
          <w:rFonts w:ascii="Arial" w:cs="Arial" w:eastAsia="Arial" w:hAnsi="Arial"/>
          <w:sz w:val="16"/>
          <w:szCs w:val="16"/>
          <w:color w:val="auto"/>
        </w:rPr>
        <w:t>(</w:t>
      </w:r>
      <w:r>
        <w:rPr>
          <w:rFonts w:ascii="Arial" w:cs="Arial" w:eastAsia="Arial" w:hAnsi="Arial"/>
          <w:sz w:val="16"/>
          <w:szCs w:val="16"/>
          <w:b w:val="1"/>
          <w:bCs w:val="1"/>
          <w:color w:val="auto"/>
        </w:rPr>
        <w:t>formerly ARO-HSD</w:t>
      </w:r>
      <w:r>
        <w:rPr>
          <w:rFonts w:ascii="Arial" w:cs="Arial" w:eastAsia="Arial" w:hAnsi="Arial"/>
          <w:sz w:val="16"/>
          <w:szCs w:val="16"/>
          <w:color w:val="auto"/>
        </w:rPr>
        <w:t>) is designed to reduce production of hydroxysteroid 17-beta dehydrogenase 13 (HSD17B13). Published human genetic</w:t>
      </w:r>
      <w:r>
        <w:rPr>
          <w:rFonts w:ascii="Arial" w:cs="Arial" w:eastAsia="Arial" w:hAnsi="Arial"/>
          <w:sz w:val="16"/>
          <w:szCs w:val="16"/>
          <w:b w:val="1"/>
          <w:bCs w:val="1"/>
          <w:color w:val="auto"/>
        </w:rPr>
        <w:t xml:space="preserve"> </w:t>
      </w:r>
      <w:r>
        <w:rPr>
          <w:rFonts w:ascii="Arial" w:cs="Arial" w:eastAsia="Arial" w:hAnsi="Arial"/>
          <w:sz w:val="16"/>
          <w:szCs w:val="16"/>
          <w:color w:val="auto"/>
        </w:rPr>
        <w:t>data indicate that a loss of function mutation in HSD17B13 provides strong protection against metabolic-dysfunction associated steatohepatitis (MASH) cirrhosis and alcoholic hepatitis and cirrhosis. GSK is conducting Phase 2b clinical trials in patients with MASH and alcohol-related liver disease (ALD).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b w:val="1"/>
          <w:bCs w:val="1"/>
          <w:color w:val="auto"/>
        </w:rPr>
        <w:t>GSK5637608 (formerly JNJ-3989 and ARO-HBV</w:t>
      </w:r>
      <w:r>
        <w:rPr>
          <w:rFonts w:ascii="Arial" w:cs="Arial" w:eastAsia="Arial" w:hAnsi="Arial"/>
          <w:sz w:val="16"/>
          <w:szCs w:val="16"/>
          <w:color w:val="auto"/>
        </w:rPr>
        <w:t>) is designed to silence all HBV gene products and intervenes upstream of the reverse transcription</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where current standard-of-care nucleotide and nucleoside analogues act. GSK initiated a Phase 2 study of daplusiran/tomligisiran followed by bepirovirsen in patients with chronic hepatitis B.</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76" w:lineRule="exact"/>
        <w:rPr>
          <w:sz w:val="20"/>
          <w:szCs w:val="20"/>
          <w:color w:val="auto"/>
        </w:rPr>
      </w:pPr>
    </w:p>
    <w:p>
      <w:pPr>
        <w:ind w:left="320" w:hanging="231"/>
        <w:spacing w:after="0"/>
        <w:tabs>
          <w:tab w:leader="none" w:pos="3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$829.4 million in fiscal 2025, $3.6 million in fiscal 2024 and $240.7 million in fiscal 2023;</w:t>
      </w:r>
    </w:p>
    <w:p>
      <w:pPr>
        <w:spacing w:after="0" w:line="38" w:lineRule="exact"/>
        <w:rPr>
          <w:rFonts w:ascii="Arial" w:cs="Arial" w:eastAsia="Arial" w:hAnsi="Arial"/>
          <w:sz w:val="16"/>
          <w:szCs w:val="16"/>
          <w:color w:val="0071CE"/>
        </w:rPr>
      </w:pPr>
    </w:p>
    <w:p>
      <w:pPr>
        <w:ind w:left="340" w:hanging="251"/>
        <w:spacing w:after="0" w:line="242" w:lineRule="auto"/>
        <w:tabs>
          <w:tab w:leader="none" w:pos="329"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attributable to Arrowhead Pharmaceuticals, Inc. </w:t>
      </w:r>
      <w:r>
        <w:rPr>
          <w:rFonts w:ascii="Arial" w:cs="Arial" w:eastAsia="Arial" w:hAnsi="Arial"/>
          <w:sz w:val="16"/>
          <w:szCs w:val="16"/>
          <w:color w:val="auto"/>
        </w:rPr>
        <w:t>— Recorded net loss of $1.6 million in fiscal 2025, $599.5 million in fiscal 2024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$205.3 million in fiscal 2023;</w:t>
      </w:r>
    </w:p>
    <w:p>
      <w:pPr>
        <w:ind w:left="340" w:hanging="251"/>
        <w:spacing w:after="0" w:line="246" w:lineRule="auto"/>
        <w:tabs>
          <w:tab w:leader="none" w:pos="329"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Per Share attributable to Arrowhead Pharmaceuticals, Inc. </w:t>
      </w:r>
      <w:r>
        <w:rPr>
          <w:rFonts w:ascii="Arial" w:cs="Arial" w:eastAsia="Arial" w:hAnsi="Arial"/>
          <w:sz w:val="16"/>
          <w:szCs w:val="16"/>
          <w:color w:val="auto"/>
        </w:rPr>
        <w:t>— Recorded net loss per share (basic and diluted) of ($0.01) in fiscal 2025,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($5.00) in fiscal 2024 and ($1.92) in fiscal 2023;</w:t>
      </w:r>
    </w:p>
    <w:p>
      <w:pPr>
        <w:ind w:left="340" w:hanging="251"/>
        <w:spacing w:after="0" w:line="245" w:lineRule="auto"/>
        <w:tabs>
          <w:tab w:leader="none" w:pos="329"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Cash at end of fiscal 2025 </w:t>
      </w:r>
      <w:r>
        <w:rPr>
          <w:rFonts w:ascii="Arial" w:cs="Arial" w:eastAsia="Arial" w:hAnsi="Arial"/>
          <w:sz w:val="16"/>
          <w:szCs w:val="16"/>
          <w:color w:val="auto"/>
        </w:rPr>
        <w:t>— Cash, cash equivalents, restricted cash and available-for-sale securities totaled $919.4 million at September 30, 2025;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p>
    <w:p>
      <w:pPr>
        <w:spacing w:after="0" w:line="190" w:lineRule="exact"/>
        <w:rPr>
          <w:rFonts w:ascii="Arial" w:cs="Arial" w:eastAsia="Arial" w:hAnsi="Arial"/>
          <w:sz w:val="16"/>
          <w:szCs w:val="16"/>
          <w:color w:val="0071CE"/>
        </w:rPr>
      </w:pPr>
    </w:p>
    <w:p>
      <w:pPr>
        <w:ind w:left="340" w:right="760" w:hanging="251"/>
        <w:spacing w:after="0" w:line="251" w:lineRule="auto"/>
        <w:tabs>
          <w:tab w:leader="none" w:pos="329"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Achieved a five-year 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at the 48th percentile of our peer group as measured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30th,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956310</wp:posOffset>
            </wp:positionV>
            <wp:extent cx="98615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Say-on-Pay Vote and Ongoing Response to Stockholder Feedback</w:t>
      </w:r>
    </w:p>
    <w:p>
      <w:pPr>
        <w:spacing w:after="0" w:line="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our 2025 Annual Meeting of Stockholders, 91% of the stockholder votes cast on our non-binding, advisory proposal (the “</w:t>
      </w:r>
      <w:r>
        <w:rPr>
          <w:rFonts w:ascii="Arial" w:cs="Arial" w:eastAsia="Arial" w:hAnsi="Arial"/>
          <w:sz w:val="16"/>
          <w:szCs w:val="16"/>
          <w:b w:val="1"/>
          <w:bCs w:val="1"/>
          <w:color w:val="auto"/>
        </w:rPr>
        <w:t>Say-on-Pay</w:t>
      </w:r>
      <w:r>
        <w:rPr>
          <w:rFonts w:ascii="Arial" w:cs="Arial" w:eastAsia="Arial" w:hAnsi="Arial"/>
          <w:sz w:val="16"/>
          <w:szCs w:val="16"/>
          <w:color w:val="auto"/>
        </w:rPr>
        <w:t>” vote) on the executive compensation program were in favor of the program. Our Board of Directors was pleased with this result.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Engagement</w:t>
      </w:r>
    </w:p>
    <w:p>
      <w:pPr>
        <w:spacing w:after="0" w:line="233"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Based on our stockholder vote during our 2025 Annual Meeting of Stockholders, we believe stockholders are pleased with our current compensation approach.</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Aggressive Performance Fueled by Incentives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expects and has observed aggressive performance from the entire executive management team. Our philosophy has been to foster this expectation with reasonably aggressive incentive compensation. Based on our overall operating environment, feedback from our stockholders, and stockholder return results, the Compensation Committee took the following key actions and maintained key policies with respect to the compensation of all of our NEOs for fiscal 2025:</w:t>
      </w:r>
    </w:p>
    <w:p>
      <w:pPr>
        <w:spacing w:after="0" w:line="90" w:lineRule="exact"/>
        <w:rPr>
          <w:sz w:val="20"/>
          <w:szCs w:val="20"/>
          <w:color w:val="auto"/>
        </w:rPr>
      </w:pPr>
    </w:p>
    <w:p>
      <w:pPr>
        <w:ind w:left="320" w:hanging="231"/>
        <w:spacing w:after="0"/>
        <w:tabs>
          <w:tab w:leader="none" w:pos="3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 </w:t>
      </w:r>
      <w:r>
        <w:rPr>
          <w:rFonts w:ascii="Arial" w:cs="Arial" w:eastAsia="Arial" w:hAnsi="Arial"/>
          <w:sz w:val="16"/>
          <w:szCs w:val="16"/>
          <w:color w:val="auto"/>
        </w:rPr>
        <w:t>Approved base salary increases for our current NEOs based on performance and market adjustments.</w:t>
      </w:r>
    </w:p>
    <w:p>
      <w:pPr>
        <w:spacing w:after="0" w:line="248"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Certified performance and approved annual cash bonuses for our NEOs for fiscal 2025 in amounts of up to 125%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their target annual cash incentive compensation opportunities, including an annual cash bonus for our CEO in the amount of $1,236,000, equal to 125% of his target annual cash incentive compensation opportunity.</w:t>
      </w:r>
    </w:p>
    <w:p>
      <w:pPr>
        <w:spacing w:after="0" w:line="56" w:lineRule="exact"/>
        <w:rPr>
          <w:rFonts w:ascii="Arial" w:cs="Arial" w:eastAsia="Arial" w:hAnsi="Arial"/>
          <w:sz w:val="16"/>
          <w:szCs w:val="16"/>
          <w:color w:val="0071CE"/>
        </w:rPr>
      </w:pPr>
    </w:p>
    <w:p>
      <w:pPr>
        <w:jc w:val="both"/>
        <w:ind w:left="340" w:hanging="251"/>
        <w:spacing w:after="0" w:line="238" w:lineRule="auto"/>
        <w:tabs>
          <w:tab w:leader="none" w:pos="329"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On the basis of stockholder feedback, the Compensation Committee granted our CEO a combination of time-based RSUs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performance share unit (PRSU) awards. The PRSU awards granted to our CEO for this fiscal year are described more fully below. Our other NEOs were granted long-term incentive compensation opportunities in the form of time-based RSU awards. The RSU awards vest in four equal annual installments beginning in 2026.</w:t>
      </w:r>
    </w:p>
    <w:p>
      <w:pPr>
        <w:spacing w:after="0" w:line="1" w:lineRule="exact"/>
        <w:rPr>
          <w:rFonts w:ascii="Arial" w:cs="Arial" w:eastAsia="Arial" w:hAnsi="Arial"/>
          <w:sz w:val="16"/>
          <w:szCs w:val="16"/>
          <w:color w:val="0071CE"/>
        </w:rPr>
      </w:pPr>
    </w:p>
    <w:p>
      <w:pPr>
        <w:ind w:left="340" w:hanging="251"/>
        <w:spacing w:after="0" w:line="265" w:lineRule="auto"/>
        <w:tabs>
          <w:tab w:leader="none" w:pos="329"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Maintained our clawback policy which allows Arrowhead to recover incentive compensation from our executive officers, on a non-fault basis, in the event a financial restatement is required to correct any accounting errors made by any such executive officer.</w:t>
      </w:r>
    </w:p>
    <w:p>
      <w:pPr>
        <w:spacing w:after="0" w:line="185" w:lineRule="exact"/>
        <w:rPr>
          <w:rFonts w:ascii="Arial" w:cs="Arial" w:eastAsia="Arial" w:hAnsi="Arial"/>
          <w:sz w:val="16"/>
          <w:szCs w:val="16"/>
          <w:color w:val="0071CE"/>
        </w:rPr>
      </w:pPr>
    </w:p>
    <w:p>
      <w:pPr>
        <w:ind w:left="340" w:hanging="251"/>
        <w:spacing w:after="0" w:line="286" w:lineRule="auto"/>
        <w:tabs>
          <w:tab w:leader="none" w:pos="329"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 Maintained guidelines mandating ownership of Arrowhead stock in amounts equal to, for our CEO, six times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and, for our CFO and COO, two times annual base salary.</w:t>
      </w:r>
    </w:p>
    <w:p>
      <w:pPr>
        <w:spacing w:after="0" w:line="182"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2013 and 2021 Incentive Plans to provide that, upon a change in control of Arrowhead, the vesting of such awards will accelerate only in the event of a subsequent involuntary termination of employment (i.e., on a “double-trigger”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Pay-for-Performance Analysis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objective of aligning their interests with those of our stockholders. To ensure this alignment and to motivate and reward individual initiative and effort, a significant portion of our executive officers’ target total direct compensation opportunity is both performance-based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487680</wp:posOffset>
            </wp:positionV>
            <wp:extent cx="98615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NEOs, through two separate compensation elements:</w:t>
      </w:r>
    </w:p>
    <w:p>
      <w:pPr>
        <w:spacing w:after="0" w:line="75" w:lineRule="exact"/>
        <w:rPr>
          <w:sz w:val="20"/>
          <w:szCs w:val="20"/>
          <w:color w:val="auto"/>
        </w:rPr>
      </w:pPr>
    </w:p>
    <w:p>
      <w:pPr>
        <w:ind w:left="340" w:right="20" w:hanging="251"/>
        <w:spacing w:after="0" w:line="286" w:lineRule="auto"/>
        <w:tabs>
          <w:tab w:leader="none" w:pos="329"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executive officers produce short-term financial, operational, and strategic results that meet or exceed the objectives set forth each year in our annual operating plan.</w:t>
      </w:r>
    </w:p>
    <w:p>
      <w:pPr>
        <w:spacing w:after="0" w:line="61" w:lineRule="exact"/>
        <w:rPr>
          <w:rFonts w:ascii="Arial" w:cs="Arial" w:eastAsia="Arial" w:hAnsi="Arial"/>
          <w:sz w:val="16"/>
          <w:szCs w:val="16"/>
          <w:color w:val="0071CE"/>
        </w:rPr>
      </w:pPr>
    </w:p>
    <w:p>
      <w:pPr>
        <w:jc w:val="both"/>
        <w:ind w:left="340" w:hanging="251"/>
        <w:spacing w:after="0" w:line="265" w:lineRule="auto"/>
        <w:tabs>
          <w:tab w:leader="none" w:pos="329"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These require substantial performance and are themselves substantial awards, designed to drive our financial and operational performance and long-term growth. In the case of our CEO, these awards are heavily performance weighted, and in the case of our other executive officers, are either dependent on the future appreciation in value of our common stock or are subject to the risk of fluctuations in the value of our common stock and, therefore, are “at risk.”</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our success in partnering with strategic collaborators to bring them to market. Consequently, the Compensation Committee strives to incentivize our executive officers to create that value through the discovery and development of a robust and attractive pipeline of drug candidates and subsequent commercialization of those products if and when approved by regulatory agencies (e.g. Redemplo (plozasiran), which was approved by FDA in November 2025, and by Health Canada and China National Medical Products Administration in January 2026. To achieve that end, our executive compensation program is designed to provide incentives that facilitate these efforts. Particularly for our CEO, the Compensation Committee has awarded a mix of time-based RSUs (approximately 30%) and performance share units (PRSUs) (approximately 70%). The Compensation Committee closely tracks the progress against these objectives and, in conjunction with the independent members of our Board, ensures the objectives are met using sound, ethical business practices before certifying performance achievement of the awards.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487680</wp:posOffset>
            </wp:positionV>
            <wp:extent cx="98615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988695</wp:posOffset>
            </wp:positionV>
            <wp:extent cx="3471545" cy="1974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7154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FFFFFF"/>
        </w:rPr>
        <w:t>WHAT WE DO</w:t>
      </w:r>
    </w:p>
    <w:p>
      <w:pPr>
        <w:spacing w:after="0" w:line="222"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Maintain an Independent Compensation Committee.</w:t>
      </w:r>
      <w:r>
        <w:rPr>
          <w:rFonts w:ascii="Arial" w:cs="Arial" w:eastAsia="Arial" w:hAnsi="Arial"/>
          <w:sz w:val="14"/>
          <w:szCs w:val="14"/>
          <w:color w:val="auto"/>
        </w:rPr>
        <w:t xml:space="preserve"> The Compensation</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Committee consists solely of independent directors.</w:t>
      </w:r>
    </w:p>
    <w:p>
      <w:pPr>
        <w:spacing w:after="0" w:line="77"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Retain an Independent Compensation Advisor.</w:t>
      </w:r>
      <w:r>
        <w:rPr>
          <w:rFonts w:ascii="Arial" w:cs="Arial" w:eastAsia="Arial" w:hAnsi="Arial"/>
          <w:sz w:val="14"/>
          <w:szCs w:val="14"/>
          <w:color w:val="auto"/>
        </w:rPr>
        <w:t xml:space="preserve"> The Compensation Committee</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engaged its own compensation advisor to provide information and analysis</w:t>
      </w:r>
    </w:p>
    <w:p>
      <w:pPr>
        <w:ind w:left="460" w:right="280"/>
        <w:spacing w:after="0" w:line="211" w:lineRule="auto"/>
        <w:rPr>
          <w:sz w:val="20"/>
          <w:szCs w:val="20"/>
          <w:color w:val="auto"/>
        </w:rPr>
      </w:pPr>
      <w:r>
        <w:rPr>
          <w:rFonts w:ascii="Arial" w:cs="Arial" w:eastAsia="Arial" w:hAnsi="Arial"/>
          <w:sz w:val="14"/>
          <w:szCs w:val="14"/>
          <w:color w:val="auto"/>
        </w:rPr>
        <w:t>with its fiscal 2025 compensation review, and other advice on executive compensation independent of management. This consultant performed no</w:t>
      </w:r>
    </w:p>
    <w:p>
      <w:pPr>
        <w:ind w:left="460"/>
        <w:spacing w:after="0"/>
        <w:rPr>
          <w:sz w:val="20"/>
          <w:szCs w:val="20"/>
          <w:color w:val="auto"/>
        </w:rPr>
      </w:pPr>
      <w:r>
        <w:rPr>
          <w:rFonts w:ascii="Arial" w:cs="Arial" w:eastAsia="Arial" w:hAnsi="Arial"/>
          <w:sz w:val="14"/>
          <w:szCs w:val="14"/>
          <w:color w:val="auto"/>
        </w:rPr>
        <w:t>consulting or other services for us in fiscal 2025.</w:t>
      </w:r>
    </w:p>
    <w:p>
      <w:pPr>
        <w:spacing w:after="0" w:line="77"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Annual Executive Compensation Review.</w:t>
      </w:r>
      <w:r>
        <w:rPr>
          <w:rFonts w:ascii="Arial" w:cs="Arial" w:eastAsia="Arial" w:hAnsi="Arial"/>
          <w:sz w:val="14"/>
          <w:szCs w:val="14"/>
          <w:color w:val="auto"/>
        </w:rPr>
        <w:t xml:space="preserve"> The Compensation Committee</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conducts an annual review and approval of our compensation strategy,</w:t>
      </w:r>
    </w:p>
    <w:p>
      <w:pPr>
        <w:ind w:left="460" w:right="160"/>
        <w:spacing w:after="0" w:line="211" w:lineRule="auto"/>
        <w:rPr>
          <w:sz w:val="20"/>
          <w:szCs w:val="20"/>
          <w:color w:val="auto"/>
        </w:rPr>
      </w:pPr>
      <w:r>
        <w:rPr>
          <w:rFonts w:ascii="Arial" w:cs="Arial" w:eastAsia="Arial" w:hAnsi="Arial"/>
          <w:sz w:val="14"/>
          <w:szCs w:val="14"/>
          <w:color w:val="auto"/>
        </w:rPr>
        <w:t>including a review and determination of our compensation peer group and a review of our compensation-related risk profile to ensure that our</w:t>
      </w:r>
    </w:p>
    <w:p>
      <w:pPr>
        <w:ind w:left="460" w:right="240"/>
        <w:spacing w:after="0" w:line="244" w:lineRule="auto"/>
        <w:rPr>
          <w:sz w:val="20"/>
          <w:szCs w:val="20"/>
          <w:color w:val="auto"/>
        </w:rPr>
      </w:pPr>
      <w:r>
        <w:rPr>
          <w:rFonts w:ascii="Arial" w:cs="Arial" w:eastAsia="Arial" w:hAnsi="Arial"/>
          <w:sz w:val="14"/>
          <w:szCs w:val="14"/>
          <w:color w:val="auto"/>
        </w:rPr>
        <w:t>compensation programs do not encourage excessive or inappropriate risk-taking.</w:t>
      </w:r>
    </w:p>
    <w:p>
      <w:pPr>
        <w:spacing w:after="0" w:line="59"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Compensation At-Risk.</w:t>
      </w:r>
      <w:r>
        <w:rPr>
          <w:rFonts w:ascii="Arial" w:cs="Arial" w:eastAsia="Arial" w:hAnsi="Arial"/>
          <w:sz w:val="14"/>
          <w:szCs w:val="14"/>
          <w:color w:val="auto"/>
        </w:rPr>
        <w:t xml:space="preserve"> Our executive compensation program is designed so</w:t>
      </w:r>
    </w:p>
    <w:p>
      <w:pPr>
        <w:spacing w:after="0" w:line="33" w:lineRule="exact"/>
        <w:rPr>
          <w:sz w:val="20"/>
          <w:szCs w:val="20"/>
          <w:color w:val="auto"/>
        </w:rPr>
      </w:pPr>
    </w:p>
    <w:p>
      <w:pPr>
        <w:ind w:left="460" w:right="240"/>
        <w:spacing w:after="0" w:line="211" w:lineRule="auto"/>
        <w:rPr>
          <w:sz w:val="20"/>
          <w:szCs w:val="20"/>
          <w:color w:val="auto"/>
        </w:rPr>
      </w:pPr>
      <w:r>
        <w:rPr>
          <w:rFonts w:ascii="Arial" w:cs="Arial" w:eastAsia="Arial" w:hAnsi="Arial"/>
          <w:sz w:val="14"/>
          <w:szCs w:val="14"/>
          <w:color w:val="auto"/>
        </w:rPr>
        <w:t>that a significant portion of compensation is “at risk” based on our performance, as well as short-term cash and long-term equity incentives to</w:t>
      </w:r>
    </w:p>
    <w:p>
      <w:pPr>
        <w:ind w:left="460"/>
        <w:spacing w:after="0"/>
        <w:rPr>
          <w:sz w:val="20"/>
          <w:szCs w:val="20"/>
          <w:color w:val="auto"/>
        </w:rPr>
      </w:pPr>
      <w:r>
        <w:rPr>
          <w:rFonts w:ascii="Arial" w:cs="Arial" w:eastAsia="Arial" w:hAnsi="Arial"/>
          <w:sz w:val="14"/>
          <w:szCs w:val="14"/>
          <w:color w:val="auto"/>
        </w:rPr>
        <w:t>align the interests of our executive officers and stockholders.</w:t>
      </w:r>
    </w:p>
    <w:p>
      <w:pPr>
        <w:spacing w:after="0" w:line="77"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CEO Annual Incentive Compensation Cap.</w:t>
      </w:r>
      <w:r>
        <w:rPr>
          <w:rFonts w:ascii="Arial" w:cs="Arial" w:eastAsia="Arial" w:hAnsi="Arial"/>
          <w:sz w:val="14"/>
          <w:szCs w:val="14"/>
          <w:color w:val="auto"/>
        </w:rPr>
        <w:t xml:space="preserve"> Our CEO’s annual cash incentive</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compensation opportunity is capped at 200% of his base salary.</w:t>
      </w:r>
    </w:p>
    <w:p>
      <w:pPr>
        <w:spacing w:after="0" w:line="91" w:lineRule="exact"/>
        <w:rPr>
          <w:sz w:val="20"/>
          <w:szCs w:val="20"/>
          <w:color w:val="auto"/>
        </w:rPr>
      </w:pPr>
    </w:p>
    <w:p>
      <w:pPr>
        <w:jc w:val="right"/>
        <w:ind w:left="140" w:right="220"/>
        <w:spacing w:after="0" w:line="165"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Stock Ownership Policy.</w:t>
      </w:r>
      <w:r>
        <w:rPr>
          <w:rFonts w:ascii="Arial" w:cs="Arial" w:eastAsia="Arial" w:hAnsi="Arial"/>
          <w:sz w:val="14"/>
          <w:szCs w:val="14"/>
          <w:color w:val="auto"/>
        </w:rPr>
        <w:t xml:space="preserve"> We maintain a stock ownership policy that requires our CEO and CFO to maintain a minimum ownership level of our common</w:t>
      </w:r>
    </w:p>
    <w:p>
      <w:pPr>
        <w:ind w:left="460"/>
        <w:spacing w:after="0"/>
        <w:rPr>
          <w:sz w:val="20"/>
          <w:szCs w:val="20"/>
          <w:color w:val="auto"/>
        </w:rPr>
      </w:pPr>
      <w:r>
        <w:rPr>
          <w:rFonts w:ascii="Arial" w:cs="Arial" w:eastAsia="Arial" w:hAnsi="Arial"/>
          <w:sz w:val="14"/>
          <w:szCs w:val="14"/>
          <w:color w:val="auto"/>
        </w:rPr>
        <w:t>stock.</w:t>
      </w:r>
    </w:p>
    <w:p>
      <w:pPr>
        <w:spacing w:after="0" w:line="77"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Compensation Recovery (“Clawback”) Policy.</w:t>
      </w:r>
      <w:r>
        <w:rPr>
          <w:rFonts w:ascii="Arial" w:cs="Arial" w:eastAsia="Arial" w:hAnsi="Arial"/>
          <w:sz w:val="14"/>
          <w:szCs w:val="14"/>
          <w:color w:val="auto"/>
        </w:rPr>
        <w:t xml:space="preserve"> We maintain a clawback policy</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allow Arrowhead to recover incentive compensation from our executive</w:t>
      </w:r>
    </w:p>
    <w:p>
      <w:pPr>
        <w:ind w:left="460"/>
        <w:spacing w:after="0" w:line="231" w:lineRule="auto"/>
        <w:rPr>
          <w:sz w:val="20"/>
          <w:szCs w:val="20"/>
          <w:color w:val="auto"/>
        </w:rPr>
      </w:pPr>
      <w:r>
        <w:rPr>
          <w:rFonts w:ascii="Arial" w:cs="Arial" w:eastAsia="Arial" w:hAnsi="Arial"/>
          <w:sz w:val="14"/>
          <w:szCs w:val="14"/>
          <w:color w:val="auto"/>
        </w:rPr>
        <w:t>officers, on a non-fault basis, in the event a financial restatement is required to correct any accounting errors made by any such executive officer.</w:t>
      </w:r>
    </w:p>
    <w:p>
      <w:pPr>
        <w:spacing w:after="0" w:line="77" w:lineRule="exact"/>
        <w:rPr>
          <w:sz w:val="20"/>
          <w:szCs w:val="20"/>
          <w:color w:val="auto"/>
        </w:rPr>
      </w:pPr>
    </w:p>
    <w:p>
      <w:pPr>
        <w:ind w:left="460" w:right="80" w:hanging="323"/>
        <w:spacing w:after="0" w:line="165"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Conduct an Annual Stockholder Advisory Vote on NEO Compensation.</w:t>
      </w:r>
      <w:r>
        <w:rPr>
          <w:rFonts w:ascii="Arial" w:cs="Arial" w:eastAsia="Arial" w:hAnsi="Arial"/>
          <w:sz w:val="14"/>
          <w:szCs w:val="14"/>
          <w:color w:val="auto"/>
        </w:rPr>
        <w:t xml:space="preserve"> We conduct an annual stockholder advisory vote on the compensation of our</w:t>
      </w:r>
    </w:p>
    <w:p>
      <w:pPr>
        <w:ind w:left="460"/>
        <w:spacing w:after="0"/>
        <w:rPr>
          <w:sz w:val="20"/>
          <w:szCs w:val="20"/>
          <w:color w:val="auto"/>
        </w:rPr>
      </w:pPr>
      <w:r>
        <w:rPr>
          <w:rFonts w:ascii="Arial" w:cs="Arial" w:eastAsia="Arial" w:hAnsi="Arial"/>
          <w:sz w:val="14"/>
          <w:szCs w:val="14"/>
          <w:color w:val="auto"/>
        </w:rPr>
        <w:t>NEOs.</w:t>
      </w:r>
    </w:p>
    <w:p>
      <w:pPr>
        <w:spacing w:after="0" w:line="77"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Use a Pay-for-Performance Philosophy.</w:t>
      </w:r>
      <w:r>
        <w:rPr>
          <w:rFonts w:ascii="Arial" w:cs="Arial" w:eastAsia="Arial" w:hAnsi="Arial"/>
          <w:sz w:val="14"/>
          <w:szCs w:val="14"/>
          <w:color w:val="auto"/>
        </w:rPr>
        <w:t xml:space="preserve"> The majority of our CEO’s</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compensation is directly linked to achievement of milestones to the benefit of</w:t>
      </w:r>
    </w:p>
    <w:p>
      <w:pPr>
        <w:ind w:left="460" w:right="60"/>
        <w:spacing w:after="0" w:line="211" w:lineRule="auto"/>
        <w:rPr>
          <w:sz w:val="20"/>
          <w:szCs w:val="20"/>
          <w:color w:val="auto"/>
        </w:rPr>
      </w:pPr>
      <w:r>
        <w:rPr>
          <w:rFonts w:ascii="Arial" w:cs="Arial" w:eastAsia="Arial" w:hAnsi="Arial"/>
          <w:sz w:val="14"/>
          <w:szCs w:val="14"/>
          <w:color w:val="auto"/>
        </w:rPr>
        <w:t>all stakeholders; we also structure target total direct compensation opportunities with a significant long-term equity component, thereby making a</w:t>
      </w:r>
    </w:p>
    <w:p>
      <w:pPr>
        <w:ind w:left="460"/>
        <w:spacing w:after="0" w:line="222" w:lineRule="auto"/>
        <w:rPr>
          <w:sz w:val="20"/>
          <w:szCs w:val="20"/>
          <w:color w:val="auto"/>
        </w:rPr>
      </w:pPr>
      <w:r>
        <w:rPr>
          <w:rFonts w:ascii="Arial" w:cs="Arial" w:eastAsia="Arial" w:hAnsi="Arial"/>
          <w:sz w:val="14"/>
          <w:szCs w:val="14"/>
          <w:color w:val="auto"/>
        </w:rPr>
        <w:t>substantial portion of our CEO’s and each additional executive officer’s target</w:t>
      </w:r>
    </w:p>
    <w:p>
      <w:pPr>
        <w:ind w:left="460" w:right="560"/>
        <w:spacing w:after="0" w:line="231" w:lineRule="auto"/>
        <w:rPr>
          <w:sz w:val="20"/>
          <w:szCs w:val="20"/>
          <w:color w:val="auto"/>
        </w:rPr>
      </w:pPr>
      <w:r>
        <w:rPr>
          <w:rFonts w:ascii="Arial" w:cs="Arial" w:eastAsia="Arial" w:hAnsi="Arial"/>
          <w:sz w:val="14"/>
          <w:szCs w:val="14"/>
          <w:color w:val="auto"/>
        </w:rPr>
        <w:t>total direct compensation dependent upon our stock price and/or total stockholder return.</w:t>
      </w:r>
    </w:p>
    <w:p>
      <w:pPr>
        <w:spacing w:after="0" w:line="77" w:lineRule="exact"/>
        <w:rPr>
          <w:sz w:val="20"/>
          <w:szCs w:val="20"/>
          <w:color w:val="auto"/>
        </w:rPr>
      </w:pPr>
    </w:p>
    <w:p>
      <w:pPr>
        <w:ind w:left="460" w:right="40" w:hanging="323"/>
        <w:spacing w:after="0" w:line="165"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“Double Trigger” Feature for Acceleration of CEO Equity Awards</w:t>
      </w:r>
      <w:r>
        <w:rPr>
          <w:rFonts w:ascii="Arial" w:cs="Arial" w:eastAsia="Arial" w:hAnsi="Arial"/>
          <w:sz w:val="14"/>
          <w:szCs w:val="14"/>
          <w:color w:val="auto"/>
        </w:rPr>
        <w:t xml:space="preserve"> — The outstanding equity awards granted to our CEO provide that, upon a change in</w:t>
      </w:r>
    </w:p>
    <w:p>
      <w:pPr>
        <w:ind w:left="460"/>
        <w:spacing w:after="0" w:line="221" w:lineRule="auto"/>
        <w:rPr>
          <w:sz w:val="20"/>
          <w:szCs w:val="20"/>
          <w:color w:val="auto"/>
        </w:rPr>
      </w:pPr>
      <w:r>
        <w:rPr>
          <w:rFonts w:ascii="Arial" w:cs="Arial" w:eastAsia="Arial" w:hAnsi="Arial"/>
          <w:sz w:val="14"/>
          <w:szCs w:val="14"/>
          <w:color w:val="auto"/>
        </w:rPr>
        <w:t>control of the Company, the vesting of such awards will accelerate only in the</w:t>
      </w:r>
    </w:p>
    <w:p>
      <w:pPr>
        <w:ind w:left="460" w:right="360"/>
        <w:spacing w:after="0" w:line="231" w:lineRule="auto"/>
        <w:rPr>
          <w:sz w:val="20"/>
          <w:szCs w:val="20"/>
          <w:color w:val="auto"/>
        </w:rPr>
      </w:pPr>
      <w:r>
        <w:rPr>
          <w:rFonts w:ascii="Arial" w:cs="Arial" w:eastAsia="Arial" w:hAnsi="Arial"/>
          <w:sz w:val="14"/>
          <w:szCs w:val="14"/>
          <w:color w:val="auto"/>
        </w:rPr>
        <w:t>event of a subsequent involuntary termination of employment (a “double-trigger” arrangement).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503555</wp:posOffset>
            </wp:positionV>
            <wp:extent cx="3480435"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804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FFFFFF"/>
        </w:rPr>
        <w:t>WHAT WE DON’T DO</w:t>
      </w:r>
    </w:p>
    <w:p>
      <w:pPr>
        <w:spacing w:after="0" w:line="357" w:lineRule="exact"/>
        <w:rPr>
          <w:sz w:val="20"/>
          <w:szCs w:val="20"/>
          <w:color w:val="auto"/>
        </w:rPr>
      </w:pPr>
    </w:p>
    <w:p>
      <w:pPr>
        <w:ind w:left="380" w:right="280" w:hanging="323"/>
        <w:spacing w:after="0" w:line="165"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Executive Retirement Plans.</w:t>
      </w:r>
      <w:r>
        <w:rPr>
          <w:rFonts w:ascii="Arial" w:cs="Arial" w:eastAsia="Arial" w:hAnsi="Arial"/>
          <w:sz w:val="14"/>
          <w:szCs w:val="14"/>
          <w:color w:val="auto"/>
        </w:rPr>
        <w:t xml:space="preserve"> We do not offer pension arrangements or retirement plans or arrangements to our executive officers that are different</w:t>
      </w:r>
    </w:p>
    <w:p>
      <w:pPr>
        <w:ind w:left="380"/>
        <w:spacing w:after="0"/>
        <w:rPr>
          <w:sz w:val="20"/>
          <w:szCs w:val="20"/>
          <w:color w:val="auto"/>
        </w:rPr>
      </w:pPr>
      <w:r>
        <w:rPr>
          <w:rFonts w:ascii="Arial" w:cs="Arial" w:eastAsia="Arial" w:hAnsi="Arial"/>
          <w:sz w:val="14"/>
          <w:szCs w:val="14"/>
          <w:color w:val="auto"/>
        </w:rPr>
        <w:t>from or in addition to those offered to our other employees.</w:t>
      </w:r>
    </w:p>
    <w:p>
      <w:pPr>
        <w:spacing w:after="0" w:line="77" w:lineRule="exact"/>
        <w:rPr>
          <w:sz w:val="20"/>
          <w:szCs w:val="20"/>
          <w:color w:val="auto"/>
        </w:rPr>
      </w:pPr>
    </w:p>
    <w:p>
      <w:pPr>
        <w:jc w:val="both"/>
        <w:ind w:left="360" w:right="440" w:hanging="364"/>
        <w:spacing w:after="0" w:line="173"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Special Welfare or Health Benefits.</w:t>
      </w:r>
      <w:r>
        <w:rPr>
          <w:rFonts w:ascii="Arial" w:cs="Arial" w:eastAsia="Arial" w:hAnsi="Arial"/>
          <w:sz w:val="14"/>
          <w:szCs w:val="14"/>
          <w:color w:val="auto"/>
        </w:rPr>
        <w:t xml:space="preserve"> Our executive officers participate in broad-based Company-sponsored health and welfare benefits programs generally on the same basis as our other full-time, salaried employees.</w:t>
      </w:r>
    </w:p>
    <w:p>
      <w:pPr>
        <w:spacing w:after="0" w:line="63" w:lineRule="exact"/>
        <w:rPr>
          <w:sz w:val="20"/>
          <w:szCs w:val="20"/>
          <w:color w:val="auto"/>
        </w:rPr>
      </w:pPr>
    </w:p>
    <w:p>
      <w:pPr>
        <w:ind w:left="60"/>
        <w:spacing w:after="0" w:line="161"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Post-Employment Tax Payment Reimbursement.</w:t>
      </w:r>
      <w:r>
        <w:rPr>
          <w:rFonts w:ascii="Arial" w:cs="Arial" w:eastAsia="Arial" w:hAnsi="Arial"/>
          <w:sz w:val="14"/>
          <w:szCs w:val="14"/>
          <w:color w:val="auto"/>
        </w:rPr>
        <w:t xml:space="preserve"> We do not provide any</w:t>
      </w:r>
    </w:p>
    <w:p>
      <w:pPr>
        <w:spacing w:after="0" w:line="33" w:lineRule="exact"/>
        <w:rPr>
          <w:sz w:val="20"/>
          <w:szCs w:val="20"/>
          <w:color w:val="auto"/>
        </w:rPr>
      </w:pPr>
    </w:p>
    <w:p>
      <w:pPr>
        <w:ind w:left="380" w:right="380"/>
        <w:spacing w:after="0" w:line="231" w:lineRule="auto"/>
        <w:rPr>
          <w:sz w:val="20"/>
          <w:szCs w:val="20"/>
          <w:color w:val="auto"/>
        </w:rPr>
      </w:pPr>
      <w:r>
        <w:rPr>
          <w:rFonts w:ascii="Arial" w:cs="Arial" w:eastAsia="Arial" w:hAnsi="Arial"/>
          <w:sz w:val="14"/>
          <w:szCs w:val="14"/>
          <w:color w:val="auto"/>
        </w:rPr>
        <w:t>tax reimbursement payments (including “gross-ups”) on any severance or change-in-control payments or benefits.</w:t>
      </w:r>
    </w:p>
    <w:p>
      <w:pPr>
        <w:spacing w:after="0" w:line="77" w:lineRule="exact"/>
        <w:rPr>
          <w:sz w:val="20"/>
          <w:szCs w:val="20"/>
          <w:color w:val="auto"/>
        </w:rPr>
      </w:pPr>
    </w:p>
    <w:p>
      <w:pPr>
        <w:jc w:val="right"/>
        <w:ind w:left="60" w:right="160"/>
        <w:spacing w:after="0" w:line="165"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Hedging and Limit on Pledging of Our Equity Securities.</w:t>
      </w:r>
      <w:r>
        <w:rPr>
          <w:rFonts w:ascii="Arial" w:cs="Arial" w:eastAsia="Arial" w:hAnsi="Arial"/>
          <w:sz w:val="14"/>
          <w:szCs w:val="14"/>
          <w:color w:val="auto"/>
        </w:rPr>
        <w:t xml:space="preserve"> We prohibit our employees, executive officers and the non-employee members of our Board</w:t>
      </w:r>
    </w:p>
    <w:p>
      <w:pPr>
        <w:ind w:left="380"/>
        <w:spacing w:after="0" w:line="221" w:lineRule="auto"/>
        <w:rPr>
          <w:sz w:val="20"/>
          <w:szCs w:val="20"/>
          <w:color w:val="auto"/>
        </w:rPr>
      </w:pPr>
      <w:r>
        <w:rPr>
          <w:rFonts w:ascii="Arial" w:cs="Arial" w:eastAsia="Arial" w:hAnsi="Arial"/>
          <w:sz w:val="14"/>
          <w:szCs w:val="14"/>
          <w:color w:val="auto"/>
        </w:rPr>
        <w:t>from hedging our equity securities. Our board members and executive officers</w:t>
      </w:r>
    </w:p>
    <w:p>
      <w:pPr>
        <w:ind w:left="380" w:right="260"/>
        <w:spacing w:after="0" w:line="231" w:lineRule="auto"/>
        <w:rPr>
          <w:sz w:val="20"/>
          <w:szCs w:val="20"/>
          <w:color w:val="auto"/>
        </w:rPr>
      </w:pPr>
      <w:r>
        <w:rPr>
          <w:rFonts w:ascii="Arial" w:cs="Arial" w:eastAsia="Arial" w:hAnsi="Arial"/>
          <w:sz w:val="14"/>
          <w:szCs w:val="14"/>
          <w:color w:val="auto"/>
        </w:rPr>
        <w:t>may pledge up to 75% of owned and vested shares with the approval of our Board.</w:t>
      </w:r>
    </w:p>
    <w:p>
      <w:pPr>
        <w:spacing w:after="0" w:line="77" w:lineRule="exact"/>
        <w:rPr>
          <w:sz w:val="20"/>
          <w:szCs w:val="20"/>
          <w:color w:val="auto"/>
        </w:rPr>
      </w:pPr>
    </w:p>
    <w:p>
      <w:pPr>
        <w:ind w:left="60"/>
        <w:spacing w:after="0" w:line="161"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Dividends or Dividend Equivalents Payable on Unvested Equity</w:t>
      </w:r>
    </w:p>
    <w:p>
      <w:pPr>
        <w:spacing w:after="0" w:line="33" w:lineRule="exact"/>
        <w:rPr>
          <w:sz w:val="20"/>
          <w:szCs w:val="20"/>
          <w:color w:val="auto"/>
        </w:rPr>
      </w:pPr>
    </w:p>
    <w:p>
      <w:pPr>
        <w:ind w:left="380" w:right="200"/>
        <w:spacing w:after="0" w:line="231" w:lineRule="auto"/>
        <w:rPr>
          <w:sz w:val="20"/>
          <w:szCs w:val="20"/>
          <w:color w:val="auto"/>
        </w:rPr>
      </w:pPr>
      <w:r>
        <w:rPr>
          <w:rFonts w:ascii="Arial" w:cs="Arial" w:eastAsia="Arial" w:hAnsi="Arial"/>
          <w:sz w:val="14"/>
          <w:szCs w:val="14"/>
          <w:b w:val="1"/>
          <w:bCs w:val="1"/>
          <w:i w:val="1"/>
          <w:iCs w:val="1"/>
          <w:color w:val="3FAE2A"/>
        </w:rPr>
        <w:t xml:space="preserve">Awards. </w:t>
      </w:r>
      <w:r>
        <w:rPr>
          <w:rFonts w:ascii="Arial" w:cs="Arial" w:eastAsia="Arial" w:hAnsi="Arial"/>
          <w:sz w:val="14"/>
          <w:szCs w:val="14"/>
          <w:color w:val="000000"/>
        </w:rPr>
        <w:t>We do not pay dividends or dividend equivalents on unvested RSU</w:t>
      </w:r>
      <w:r>
        <w:rPr>
          <w:rFonts w:ascii="Arial" w:cs="Arial" w:eastAsia="Arial" w:hAnsi="Arial"/>
          <w:sz w:val="14"/>
          <w:szCs w:val="14"/>
          <w:b w:val="1"/>
          <w:bCs w:val="1"/>
          <w:i w:val="1"/>
          <w:iCs w:val="1"/>
          <w:color w:val="3FAE2A"/>
        </w:rPr>
        <w:t xml:space="preserve"> </w:t>
      </w:r>
      <w:r>
        <w:rPr>
          <w:rFonts w:ascii="Arial" w:cs="Arial" w:eastAsia="Arial" w:hAnsi="Arial"/>
          <w:sz w:val="14"/>
          <w:szCs w:val="14"/>
          <w:color w:val="000000"/>
        </w:rPr>
        <w:t>awards or PRSU awards.</w:t>
      </w:r>
    </w:p>
    <w:p>
      <w:pPr>
        <w:spacing w:after="0" w:line="77" w:lineRule="exact"/>
        <w:rPr>
          <w:sz w:val="20"/>
          <w:szCs w:val="20"/>
          <w:color w:val="auto"/>
        </w:rPr>
      </w:pPr>
    </w:p>
    <w:p>
      <w:pPr>
        <w:jc w:val="right"/>
        <w:ind w:left="60" w:right="140"/>
        <w:spacing w:after="0" w:line="165"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Stock Option Re-pricing.</w:t>
      </w:r>
      <w:r>
        <w:rPr>
          <w:rFonts w:ascii="Arial" w:cs="Arial" w:eastAsia="Arial" w:hAnsi="Arial"/>
          <w:sz w:val="14"/>
          <w:szCs w:val="14"/>
          <w:color w:val="auto"/>
        </w:rPr>
        <w:t xml:space="preserve"> Our employee stock plan does not permit options to purchase shares of our common stock to be repriced to a lower exercise or</w:t>
      </w:r>
    </w:p>
    <w:p>
      <w:pPr>
        <w:ind w:left="380"/>
        <w:spacing w:after="0"/>
        <w:rPr>
          <w:sz w:val="20"/>
          <w:szCs w:val="20"/>
          <w:color w:val="auto"/>
        </w:rPr>
      </w:pPr>
      <w:r>
        <w:rPr>
          <w:rFonts w:ascii="Arial" w:cs="Arial" w:eastAsia="Arial" w:hAnsi="Arial"/>
          <w:sz w:val="14"/>
          <w:szCs w:val="14"/>
          <w:color w:val="auto"/>
        </w:rPr>
        <w:t>strike price without the approval of our stockholders.</w:t>
      </w:r>
    </w:p>
    <w:p>
      <w:pPr>
        <w:spacing w:after="0" w:line="3683" w:lineRule="exact"/>
        <w:rPr>
          <w:sz w:val="20"/>
          <w:szCs w:val="20"/>
          <w:color w:val="auto"/>
        </w:rPr>
      </w:pPr>
    </w:p>
    <w:p>
      <w:pPr>
        <w:sectPr>
          <w:pgSz w:w="11900" w:h="16838" w:orient="portrait"/>
          <w:cols w:equalWidth="0" w:num="2">
            <w:col w:w="5440" w:space="360"/>
            <w:col w:w="5440"/>
          </w:cols>
          <w:pgMar w:left="320" w:top="212"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27" w:lineRule="exact"/>
        <w:rPr>
          <w:sz w:val="20"/>
          <w:szCs w:val="20"/>
          <w:color w:val="auto"/>
        </w:rPr>
      </w:pPr>
    </w:p>
    <w:p>
      <w:pPr>
        <w:ind w:left="400" w:hanging="311"/>
        <w:spacing w:after="0"/>
        <w:tabs>
          <w:tab w:leader="none" w:pos="40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26"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544830</wp:posOffset>
            </wp:positionV>
            <wp:extent cx="98615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20"/>
        <w:spacing w:after="0"/>
        <w:rPr>
          <w:sz w:val="20"/>
          <w:szCs w:val="20"/>
          <w:color w:val="auto"/>
        </w:rPr>
      </w:pPr>
      <w:r>
        <w:rPr>
          <w:rFonts w:ascii="Arial" w:cs="Arial" w:eastAsia="Arial" w:hAnsi="Arial"/>
          <w:sz w:val="17"/>
          <w:szCs w:val="17"/>
          <w:b w:val="1"/>
          <w:bCs w:val="1"/>
          <w:color w:val="0071C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90" w:lineRule="exact"/>
        <w:rPr>
          <w:sz w:val="20"/>
          <w:szCs w:val="20"/>
          <w:color w:val="auto"/>
        </w:rPr>
      </w:pPr>
    </w:p>
    <w:p>
      <w:pPr>
        <w:ind w:left="420" w:hanging="331"/>
        <w:spacing w:after="0" w:line="304" w:lineRule="auto"/>
        <w:tabs>
          <w:tab w:leader="none" w:pos="409"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33"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13"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33"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employ external compensation expertise and market data from industry peers to help assure that our compensation policies and practices are consistent with industry practice and meet our goals for our compensation program;</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align our executives’ incentives with the creation of stockholder value.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24" w:lineRule="exact"/>
        <w:rPr>
          <w:sz w:val="20"/>
          <w:szCs w:val="20"/>
          <w:color w:val="auto"/>
        </w:rPr>
      </w:pPr>
    </w:p>
    <w:p>
      <w:pPr>
        <w:ind w:left="400" w:hanging="311"/>
        <w:spacing w:after="0"/>
        <w:tabs>
          <w:tab w:leader="none" w:pos="40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 and</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align the objectives of our executive officers with those of our stockholders with respect to long-term performance and success.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invest our cash prudently and until November 2025 did not have marketed products, overall target total direct compensation opportunities are weighted more heavily toward long-term incentive compensation in the form of equity awards. Thus, a significant portion of each executive officer’s target total direct compensation opportunity is “at risk,” and dependent on the increase in the value of our common stock. The Compensation Committee periodically reassesses the appropriate weighting of cash and equity compensation.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discharges many of the responsibilities of our Board relating to the compensation of our executive officers, including our NEOs, and the non-employee members of our Board. The Compensation 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487045</wp:posOffset>
            </wp:positionV>
            <wp:extent cx="986155"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including our NEOs, are consistent with our compensation philosophy, policies and objectives.</w:t>
      </w:r>
    </w:p>
    <w:p>
      <w:pPr>
        <w:spacing w:after="0" w:line="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elements of our executive compensation program including, but not limited to, feedback from our stockholders, input from our CEO, the advice of an external compensation consultant (as identified below) retained by the Compensation Committee, information provided in the public filings of industry peers and industry data compiled by AON, which represents a nationally-based assessment of executive compensation widely used within the pharmaceutical and biotechnology industry sectors.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its members' judgment in the assessment process to respond to and adjust for the evolving business environment. The members of the Compensation Committee have extensive experience in executive management, as well as compensation practices and policies.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Compensation-Setting Process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NEOs. The Compensation Committee does not use a single method or measure in making its compensation decisions, nor does it ordinarily position compensation levels based upon a specific or target level relative to a compensation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91" w:lineRule="exact"/>
        <w:rPr>
          <w:sz w:val="20"/>
          <w:szCs w:val="20"/>
          <w:color w:val="auto"/>
        </w:rPr>
      </w:pPr>
    </w:p>
    <w:p>
      <w:pPr>
        <w:ind w:left="400" w:hanging="311"/>
        <w:spacing w:after="0"/>
        <w:tabs>
          <w:tab w:leader="none" w:pos="400"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w:t>
      </w:r>
    </w:p>
    <w:p>
      <w:pPr>
        <w:spacing w:after="0" w:line="113" w:lineRule="exact"/>
        <w:rPr>
          <w:rFonts w:ascii="Arial" w:cs="Arial" w:eastAsia="Arial" w:hAnsi="Arial"/>
          <w:sz w:val="16"/>
          <w:szCs w:val="16"/>
          <w:color w:val="0071CE"/>
        </w:rPr>
      </w:pPr>
    </w:p>
    <w:p>
      <w:pPr>
        <w:ind w:left="420" w:right="20" w:hanging="331"/>
        <w:spacing w:after="0" w:line="304" w:lineRule="auto"/>
        <w:tabs>
          <w:tab w:leader="none" w:pos="409"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 and in selected broad-based compensation surveys;</w:t>
      </w:r>
    </w:p>
    <w:p>
      <w:pPr>
        <w:spacing w:after="0" w:line="33"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 and in selected broad-based compensation surveys;</w:t>
      </w:r>
    </w:p>
    <w:p>
      <w:pPr>
        <w:spacing w:after="0" w:line="61"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61"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companies in selected broad-based compensation surveys and the positioning of each executive officer’s compensation in a ranking of peer company compensation levels; and</w:t>
      </w:r>
    </w:p>
    <w:p>
      <w:pPr>
        <w:spacing w:after="0" w:line="47" w:lineRule="exact"/>
        <w:rPr>
          <w:rFonts w:ascii="Arial" w:cs="Arial" w:eastAsia="Arial" w:hAnsi="Arial"/>
          <w:sz w:val="16"/>
          <w:szCs w:val="16"/>
          <w:color w:val="0071CE"/>
        </w:rPr>
      </w:pPr>
    </w:p>
    <w:p>
      <w:pPr>
        <w:ind w:left="400" w:hanging="311"/>
        <w:spacing w:after="0"/>
        <w:tabs>
          <w:tab w:leader="none" w:pos="400"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Chief Executive Officer</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his performance evaluation of each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487045</wp:posOffset>
            </wp:positionV>
            <wp:extent cx="98615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determining the compensation for our executive officers, including our other NEOs. Our CEO recuses himself from all discussions and recommendations regarding his own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Since October 2018, the Compensation Committee has engaged Compensia as its external compensation consultant. Compensia assisted the Compensation Committee in its review of executive officer and non-employee director compensation practices for fiscal 2025, including the competitiveness of compensation levels, executive compensation design, comparisons with our industry peers, and other technical considerations. Such assistance included:</w:t>
      </w:r>
    </w:p>
    <w:p>
      <w:pPr>
        <w:spacing w:after="0" w:line="83" w:lineRule="exact"/>
        <w:rPr>
          <w:sz w:val="20"/>
          <w:szCs w:val="20"/>
          <w:color w:val="auto"/>
        </w:rPr>
      </w:pPr>
    </w:p>
    <w:p>
      <w:pPr>
        <w:ind w:left="400" w:hanging="311"/>
        <w:spacing w:after="0"/>
        <w:tabs>
          <w:tab w:leader="none" w:pos="40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Reviewing and updating our compensation peer group;</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our executive officers, including our NEOs;</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the non-employee members of our Board;</w:t>
      </w:r>
    </w:p>
    <w:p>
      <w:pPr>
        <w:spacing w:after="0" w:line="113" w:lineRule="exact"/>
        <w:rPr>
          <w:rFonts w:ascii="Arial" w:cs="Arial" w:eastAsia="Arial" w:hAnsi="Arial"/>
          <w:sz w:val="16"/>
          <w:szCs w:val="16"/>
          <w:color w:val="0071CE"/>
        </w:rPr>
      </w:pPr>
    </w:p>
    <w:p>
      <w:pPr>
        <w:ind w:left="420" w:hanging="331"/>
        <w:spacing w:after="0" w:line="263" w:lineRule="auto"/>
        <w:tabs>
          <w:tab w:leader="none" w:pos="409"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Reviewing and updating of the Compensation Discussion and Analysis section of our proxy statement for our 2026 Annual Meeting of Stockholders; and</w:t>
      </w:r>
    </w:p>
    <w:p>
      <w:pPr>
        <w:spacing w:after="0" w:line="297" w:lineRule="exact"/>
        <w:rPr>
          <w:rFonts w:ascii="Arial" w:cs="Arial" w:eastAsia="Arial" w:hAnsi="Arial"/>
          <w:sz w:val="16"/>
          <w:szCs w:val="16"/>
          <w:color w:val="0071CE"/>
        </w:rPr>
      </w:pPr>
    </w:p>
    <w:p>
      <w:pPr>
        <w:ind w:left="400" w:hanging="311"/>
        <w:spacing w:after="0"/>
        <w:tabs>
          <w:tab w:leader="none" w:pos="40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Supporting on other ad hoc matters.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fiscal 2025, Compensia did not provide any services to us other than those described above. The Compensation Committee has evaluated Compensia’s independence pursuant to the listing standards of Nasdaq and the relevant SEC rules and has determined that no conflict of interest has arisen as a result of the work performed by Compensia.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Each year, the Compensation Committee directs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 program in fiscal 2025, the Compensation Committee directed Compensia to update the compensation peer group reflecting the competitive market for executive talent based on the following criteria:</w:t>
      </w:r>
    </w:p>
    <w:p>
      <w:pPr>
        <w:spacing w:after="0" w:line="92" w:lineRule="exact"/>
        <w:rPr>
          <w:sz w:val="20"/>
          <w:szCs w:val="20"/>
          <w:color w:val="auto"/>
        </w:rPr>
      </w:pPr>
    </w:p>
    <w:p>
      <w:pPr>
        <w:ind w:left="400" w:hanging="311"/>
        <w:spacing w:after="0"/>
        <w:tabs>
          <w:tab w:leader="none" w:pos="40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Publicly-held, U.S. biotechnology/pharmaceutical companies;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Companies with lead assets that are in late clinical stage (Phase III) through early commercialization stage (less than $1 billion in revenue);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Companies with market capitalizations between 0.25x to 4.0x our market capitalization at the time of the peer selection.</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630555</wp:posOffset>
            </wp:positionV>
            <wp:extent cx="98615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For fiscal 2025, the compensation peer group was generated in the first quarter of fiscal 2025 and consisted of the following companies:</w:t>
      </w:r>
    </w:p>
    <w:p>
      <w:pPr>
        <w:sectPr>
          <w:pgSz w:w="11900" w:h="16838" w:orient="portrait"/>
          <w:cols w:equalWidth="0" w:num="1">
            <w:col w:w="11240"/>
          </w:cols>
          <w:pgMar w:left="320" w:top="212" w:right="339" w:bottom="1440" w:gutter="0" w:footer="0" w:header="0"/>
        </w:sectPr>
      </w:pPr>
    </w:p>
    <w:p>
      <w:pPr>
        <w:spacing w:after="0" w:line="24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ACADIA Pharmaceuticals, Inc.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Denali Therapeutics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Amicus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Halozyme Therapeutics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AnaptysBio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IDEAYA Biosciences</w:t>
      </w:r>
    </w:p>
    <w:p>
      <w:pPr>
        <w:spacing w:after="0" w:line="43"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Apellis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Intellia Therapeutics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Arcus Biosciences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Ionis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BioCryst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Ironwood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Blueprint Medicines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Madrigal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BridgeBio Pharma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Prothena</w:t>
      </w:r>
    </w:p>
    <w:p>
      <w:pPr>
        <w:spacing w:after="0" w:line="43"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CRISPR Therapeutics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Ultragenyx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Day One Biopharmacueticals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Vir Biotechnology</w:t>
      </w:r>
    </w:p>
    <w:p>
      <w:pPr>
        <w:spacing w:after="0" w:line="200"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AnaptysBio, Day One Biopharmaceuticals, IDEAYA Biosciences, and Prothena were added to the compensation peer group and Deciphera Pharmaceuticals, Insmed, Mirati Therapeutics, REGENXBIO, and Sarepta Therapeutics were removed from the compensation peer group due to changes in our business complexity, employee base and market capitalization, as well as mergers, changes to business complexity, employee base and market capitalization among our prior peer group.</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study prepared by Compensia and presented in October 2024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 2025, the principal elements of our executive compensation program were as follows:</w:t>
      </w:r>
    </w:p>
    <w:p>
      <w:pPr>
        <w:spacing w:after="0" w:line="140" w:lineRule="exact"/>
        <w:rPr>
          <w:sz w:val="20"/>
          <w:szCs w:val="20"/>
          <w:color w:val="auto"/>
        </w:rPr>
      </w:pPr>
    </w:p>
    <w:p>
      <w:pPr>
        <w:ind w:left="400" w:hanging="311"/>
        <w:spacing w:after="0"/>
        <w:tabs>
          <w:tab w:leader="none" w:pos="40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NEOs, and is an important element of compensation intended to attract and retain highly-talented individuals.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external compensation consultant, the Compensation Committee reviews and determines adjustments to the base salaries for each of our executive officers, including our NEOs,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NEOs for fiscal 2025 and fiscal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680720</wp:posOffset>
            </wp:positionV>
            <wp:extent cx="98615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2900" w:type="dxa"/>
            <w:vAlign w:val="bottom"/>
            <w:shd w:val="clear" w:color="auto" w:fill="0071CE"/>
          </w:tcPr>
          <w:p>
            <w:pPr>
              <w:jc w:val="center"/>
              <w:ind w:left="1001"/>
              <w:spacing w:after="0"/>
              <w:rPr>
                <w:sz w:val="20"/>
                <w:szCs w:val="20"/>
                <w:color w:val="auto"/>
              </w:rPr>
            </w:pPr>
            <w:r>
              <w:rPr>
                <w:rFonts w:ascii="Arial" w:cs="Arial" w:eastAsia="Arial" w:hAnsi="Arial"/>
                <w:sz w:val="14"/>
                <w:szCs w:val="14"/>
                <w:b w:val="1"/>
                <w:bCs w:val="1"/>
                <w:color w:val="FFFFFF"/>
              </w:rPr>
              <w:t>Fiscal 2025</w:t>
            </w:r>
          </w:p>
        </w:tc>
        <w:tc>
          <w:tcPr>
            <w:tcW w:w="1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Fiscal 2024</w:t>
            </w:r>
          </w:p>
        </w:tc>
        <w:tc>
          <w:tcPr>
            <w:tcW w:w="2100" w:type="dxa"/>
            <w:vAlign w:val="bottom"/>
            <w:shd w:val="clear" w:color="auto" w:fill="0071CE"/>
          </w:tcPr>
          <w:p>
            <w:pPr>
              <w:ind w:left="580"/>
              <w:spacing w:after="0"/>
              <w:rPr>
                <w:sz w:val="20"/>
                <w:szCs w:val="20"/>
                <w:color w:val="auto"/>
              </w:rPr>
            </w:pPr>
            <w:r>
              <w:rPr>
                <w:rFonts w:ascii="Arial" w:cs="Arial" w:eastAsia="Arial" w:hAnsi="Arial"/>
                <w:sz w:val="14"/>
                <w:szCs w:val="14"/>
                <w:b w:val="1"/>
                <w:bCs w:val="1"/>
                <w:color w:val="FFFFFF"/>
              </w:rPr>
              <w:t>Percentage</w:t>
            </w:r>
          </w:p>
        </w:tc>
      </w:tr>
      <w:tr>
        <w:trPr>
          <w:trHeight w:val="210"/>
        </w:trPr>
        <w:tc>
          <w:tcPr>
            <w:tcW w:w="404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Officer</w:t>
            </w:r>
          </w:p>
        </w:tc>
        <w:tc>
          <w:tcPr>
            <w:tcW w:w="2900" w:type="dxa"/>
            <w:vAlign w:val="bottom"/>
            <w:tcBorders>
              <w:bottom w:val="single" w:sz="8" w:color="0071CE"/>
            </w:tcBorders>
            <w:shd w:val="clear" w:color="auto" w:fill="0071CE"/>
          </w:tcPr>
          <w:p>
            <w:pPr>
              <w:jc w:val="center"/>
              <w:ind w:left="1001"/>
              <w:spacing w:after="0"/>
              <w:rPr>
                <w:sz w:val="20"/>
                <w:szCs w:val="20"/>
                <w:color w:val="auto"/>
              </w:rPr>
            </w:pPr>
            <w:r>
              <w:rPr>
                <w:rFonts w:ascii="Arial" w:cs="Arial" w:eastAsia="Arial" w:hAnsi="Arial"/>
                <w:sz w:val="14"/>
                <w:szCs w:val="14"/>
                <w:b w:val="1"/>
                <w:bCs w:val="1"/>
                <w:color w:val="FFFFFF"/>
              </w:rPr>
              <w:t>Base Salary</w:t>
            </w:r>
          </w:p>
        </w:tc>
        <w:tc>
          <w:tcPr>
            <w:tcW w:w="1900" w:type="dxa"/>
            <w:vAlign w:val="bottom"/>
            <w:tcBorders>
              <w:bottom w:val="single" w:sz="8" w:color="0071CE"/>
            </w:tcBorders>
            <w:shd w:val="clear" w:color="auto" w:fill="0071CE"/>
          </w:tcPr>
          <w:p>
            <w:pPr>
              <w:jc w:val="center"/>
              <w:ind w:right="1"/>
              <w:spacing w:after="0"/>
              <w:rPr>
                <w:sz w:val="20"/>
                <w:szCs w:val="20"/>
                <w:color w:val="auto"/>
              </w:rPr>
            </w:pPr>
            <w:r>
              <w:rPr>
                <w:rFonts w:ascii="Arial" w:cs="Arial" w:eastAsia="Arial" w:hAnsi="Arial"/>
                <w:sz w:val="14"/>
                <w:szCs w:val="14"/>
                <w:b w:val="1"/>
                <w:bCs w:val="1"/>
                <w:color w:val="FFFFFF"/>
              </w:rPr>
              <w:t>Base Salary</w:t>
            </w:r>
          </w:p>
        </w:tc>
        <w:tc>
          <w:tcPr>
            <w:tcW w:w="2100" w:type="dxa"/>
            <w:vAlign w:val="bottom"/>
            <w:tcBorders>
              <w:bottom w:val="single" w:sz="8" w:color="0071CE"/>
            </w:tcBorders>
            <w:shd w:val="clear" w:color="auto" w:fill="0071CE"/>
          </w:tcPr>
          <w:p>
            <w:pPr>
              <w:ind w:left="580"/>
              <w:spacing w:after="0"/>
              <w:rPr>
                <w:sz w:val="20"/>
                <w:szCs w:val="20"/>
                <w:color w:val="auto"/>
              </w:rPr>
            </w:pPr>
            <w:r>
              <w:rPr>
                <w:rFonts w:ascii="Arial" w:cs="Arial" w:eastAsia="Arial" w:hAnsi="Arial"/>
                <w:sz w:val="14"/>
                <w:szCs w:val="14"/>
                <w:b w:val="1"/>
                <w:bCs w:val="1"/>
                <w:color w:val="FFFFFF"/>
              </w:rPr>
              <w:t>Adjustment</w:t>
            </w:r>
          </w:p>
        </w:tc>
      </w:tr>
      <w:tr>
        <w:trPr>
          <w:trHeight w:val="162"/>
        </w:trPr>
        <w:tc>
          <w:tcPr>
            <w:tcW w:w="4040" w:type="dxa"/>
            <w:vAlign w:val="bottom"/>
            <w:shd w:val="clear" w:color="auto" w:fill="E5E5E5"/>
          </w:tcPr>
          <w:p>
            <w:pPr>
              <w:ind w:left="40"/>
              <w:spacing w:after="0" w:line="162" w:lineRule="exact"/>
              <w:rPr>
                <w:sz w:val="20"/>
                <w:szCs w:val="20"/>
                <w:color w:val="auto"/>
              </w:rPr>
            </w:pPr>
            <w:r>
              <w:rPr>
                <w:rFonts w:ascii="Arial" w:cs="Arial" w:eastAsia="Arial" w:hAnsi="Arial"/>
                <w:sz w:val="16"/>
                <w:szCs w:val="16"/>
                <w:b w:val="1"/>
                <w:bCs w:val="1"/>
                <w:color w:val="auto"/>
              </w:rPr>
              <w:t>Christopher Anzalone</w:t>
            </w:r>
          </w:p>
        </w:tc>
        <w:tc>
          <w:tcPr>
            <w:tcW w:w="29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2100" w:type="dxa"/>
            <w:vAlign w:val="bottom"/>
            <w:shd w:val="clear" w:color="auto" w:fill="E5E5E5"/>
          </w:tcPr>
          <w:p>
            <w:pPr>
              <w:spacing w:after="0"/>
              <w:rPr>
                <w:sz w:val="14"/>
                <w:szCs w:val="14"/>
                <w:color w:val="auto"/>
              </w:rPr>
            </w:pPr>
          </w:p>
        </w:tc>
      </w:tr>
      <w:tr>
        <w:trPr>
          <w:trHeight w:val="230"/>
        </w:trPr>
        <w:tc>
          <w:tcPr>
            <w:tcW w:w="4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President &amp; CEO</w:t>
            </w:r>
          </w:p>
        </w:tc>
        <w:tc>
          <w:tcPr>
            <w:tcW w:w="2900" w:type="dxa"/>
            <w:vAlign w:val="bottom"/>
            <w:shd w:val="clear" w:color="auto" w:fill="E5E5E5"/>
          </w:tcPr>
          <w:p>
            <w:pPr>
              <w:jc w:val="center"/>
              <w:ind w:left="1021"/>
              <w:spacing w:after="0"/>
              <w:rPr>
                <w:sz w:val="20"/>
                <w:szCs w:val="20"/>
                <w:color w:val="auto"/>
              </w:rPr>
            </w:pPr>
            <w:r>
              <w:rPr>
                <w:rFonts w:ascii="Arial" w:cs="Arial" w:eastAsia="Arial" w:hAnsi="Arial"/>
                <w:sz w:val="16"/>
                <w:szCs w:val="16"/>
                <w:color w:val="auto"/>
              </w:rPr>
              <w:t>$988,800</w:t>
            </w:r>
          </w:p>
        </w:tc>
        <w:tc>
          <w:tcPr>
            <w:tcW w:w="1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$960,000</w:t>
            </w:r>
          </w:p>
        </w:tc>
        <w:tc>
          <w:tcPr>
            <w:tcW w:w="210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3%</w:t>
            </w:r>
          </w:p>
        </w:tc>
      </w:tr>
      <w:tr>
        <w:trPr>
          <w:trHeight w:val="162"/>
        </w:trPr>
        <w:tc>
          <w:tcPr>
            <w:tcW w:w="404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Daniel Apel (1)</w:t>
            </w:r>
          </w:p>
        </w:tc>
        <w:tc>
          <w:tcPr>
            <w:tcW w:w="2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28"/>
        </w:trPr>
        <w:tc>
          <w:tcPr>
            <w:tcW w:w="404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2900" w:type="dxa"/>
            <w:vAlign w:val="bottom"/>
          </w:tcPr>
          <w:p>
            <w:pPr>
              <w:jc w:val="center"/>
              <w:ind w:left="1021"/>
              <w:spacing w:after="0"/>
              <w:rPr>
                <w:sz w:val="20"/>
                <w:szCs w:val="20"/>
                <w:color w:val="auto"/>
              </w:rPr>
            </w:pPr>
            <w:r>
              <w:rPr>
                <w:rFonts w:ascii="Arial" w:cs="Arial" w:eastAsia="Arial" w:hAnsi="Arial"/>
                <w:sz w:val="16"/>
                <w:szCs w:val="16"/>
                <w:color w:val="auto"/>
              </w:rPr>
              <w:t>$575,000</w:t>
            </w:r>
          </w:p>
        </w:tc>
        <w:tc>
          <w:tcPr>
            <w:tcW w:w="190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2100" w:type="dxa"/>
            <w:vAlign w:val="bottom"/>
          </w:tcPr>
          <w:p>
            <w:pPr>
              <w:ind w:left="860"/>
              <w:spacing w:after="0"/>
              <w:rPr>
                <w:sz w:val="20"/>
                <w:szCs w:val="20"/>
                <w:color w:val="auto"/>
              </w:rPr>
            </w:pPr>
            <w:r>
              <w:rPr>
                <w:rFonts w:ascii="Arial" w:cs="Arial" w:eastAsia="Arial" w:hAnsi="Arial"/>
                <w:sz w:val="16"/>
                <w:szCs w:val="16"/>
                <w:color w:val="auto"/>
              </w:rPr>
              <w:t>N/A</w:t>
            </w:r>
          </w:p>
        </w:tc>
      </w:tr>
      <w:tr>
        <w:trPr>
          <w:trHeight w:val="163"/>
        </w:trPr>
        <w:tc>
          <w:tcPr>
            <w:tcW w:w="404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Patrick O’Brien</w:t>
            </w:r>
          </w:p>
        </w:tc>
        <w:tc>
          <w:tcPr>
            <w:tcW w:w="29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2100" w:type="dxa"/>
            <w:vAlign w:val="bottom"/>
            <w:shd w:val="clear" w:color="auto" w:fill="E5E5E5"/>
          </w:tcPr>
          <w:p>
            <w:pPr>
              <w:spacing w:after="0"/>
              <w:rPr>
                <w:sz w:val="14"/>
                <w:szCs w:val="14"/>
                <w:color w:val="auto"/>
              </w:rPr>
            </w:pPr>
          </w:p>
        </w:tc>
      </w:tr>
      <w:tr>
        <w:trPr>
          <w:trHeight w:val="229"/>
        </w:trPr>
        <w:tc>
          <w:tcPr>
            <w:tcW w:w="4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Chief Operating Officer</w:t>
            </w:r>
          </w:p>
        </w:tc>
        <w:tc>
          <w:tcPr>
            <w:tcW w:w="2900" w:type="dxa"/>
            <w:vAlign w:val="bottom"/>
            <w:shd w:val="clear" w:color="auto" w:fill="E5E5E5"/>
          </w:tcPr>
          <w:p>
            <w:pPr>
              <w:jc w:val="center"/>
              <w:ind w:left="1021"/>
              <w:spacing w:after="0"/>
              <w:rPr>
                <w:sz w:val="20"/>
                <w:szCs w:val="20"/>
                <w:color w:val="auto"/>
              </w:rPr>
            </w:pPr>
            <w:r>
              <w:rPr>
                <w:rFonts w:ascii="Arial" w:cs="Arial" w:eastAsia="Arial" w:hAnsi="Arial"/>
                <w:sz w:val="16"/>
                <w:szCs w:val="16"/>
                <w:color w:val="auto"/>
              </w:rPr>
              <w:t>$650,000</w:t>
            </w:r>
          </w:p>
        </w:tc>
        <w:tc>
          <w:tcPr>
            <w:tcW w:w="1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$600,000</w:t>
            </w:r>
          </w:p>
        </w:tc>
        <w:tc>
          <w:tcPr>
            <w:tcW w:w="210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8%</w:t>
            </w:r>
          </w:p>
        </w:tc>
      </w:tr>
      <w:tr>
        <w:trPr>
          <w:trHeight w:val="162"/>
        </w:trPr>
        <w:tc>
          <w:tcPr>
            <w:tcW w:w="404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James Hamilton</w:t>
            </w:r>
          </w:p>
        </w:tc>
        <w:tc>
          <w:tcPr>
            <w:tcW w:w="2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28"/>
        </w:trPr>
        <w:tc>
          <w:tcPr>
            <w:tcW w:w="4040" w:type="dxa"/>
            <w:vAlign w:val="bottom"/>
          </w:tcPr>
          <w:p>
            <w:pPr>
              <w:ind w:left="40"/>
              <w:spacing w:after="0"/>
              <w:rPr>
                <w:sz w:val="20"/>
                <w:szCs w:val="20"/>
                <w:color w:val="auto"/>
              </w:rPr>
            </w:pPr>
            <w:r>
              <w:rPr>
                <w:rFonts w:ascii="Arial" w:cs="Arial" w:eastAsia="Arial" w:hAnsi="Arial"/>
                <w:sz w:val="16"/>
                <w:szCs w:val="16"/>
                <w:color w:val="auto"/>
              </w:rPr>
              <w:t>Chief Medical Officer</w:t>
            </w:r>
          </w:p>
        </w:tc>
        <w:tc>
          <w:tcPr>
            <w:tcW w:w="2900" w:type="dxa"/>
            <w:vAlign w:val="bottom"/>
          </w:tcPr>
          <w:p>
            <w:pPr>
              <w:jc w:val="center"/>
              <w:ind w:left="1021"/>
              <w:spacing w:after="0"/>
              <w:rPr>
                <w:sz w:val="20"/>
                <w:szCs w:val="20"/>
                <w:color w:val="auto"/>
              </w:rPr>
            </w:pPr>
            <w:r>
              <w:rPr>
                <w:rFonts w:ascii="Arial" w:cs="Arial" w:eastAsia="Arial" w:hAnsi="Arial"/>
                <w:sz w:val="16"/>
                <w:szCs w:val="16"/>
                <w:color w:val="auto"/>
              </w:rPr>
              <w:t>$630,000</w:t>
            </w:r>
          </w:p>
        </w:tc>
        <w:tc>
          <w:tcPr>
            <w:tcW w:w="1900" w:type="dxa"/>
            <w:vAlign w:val="bottom"/>
          </w:tcPr>
          <w:p>
            <w:pPr>
              <w:jc w:val="center"/>
              <w:spacing w:after="0"/>
              <w:rPr>
                <w:sz w:val="20"/>
                <w:szCs w:val="20"/>
                <w:color w:val="auto"/>
              </w:rPr>
            </w:pPr>
            <w:r>
              <w:rPr>
                <w:rFonts w:ascii="Arial" w:cs="Arial" w:eastAsia="Arial" w:hAnsi="Arial"/>
                <w:sz w:val="16"/>
                <w:szCs w:val="16"/>
                <w:color w:val="auto"/>
              </w:rPr>
              <w:t>$582,400</w:t>
            </w:r>
          </w:p>
        </w:tc>
        <w:tc>
          <w:tcPr>
            <w:tcW w:w="2100" w:type="dxa"/>
            <w:vAlign w:val="bottom"/>
          </w:tcPr>
          <w:p>
            <w:pPr>
              <w:jc w:val="center"/>
              <w:ind w:right="21"/>
              <w:spacing w:after="0"/>
              <w:rPr>
                <w:sz w:val="20"/>
                <w:szCs w:val="20"/>
                <w:color w:val="auto"/>
              </w:rPr>
            </w:pPr>
            <w:r>
              <w:rPr>
                <w:rFonts w:ascii="Arial" w:cs="Arial" w:eastAsia="Arial" w:hAnsi="Arial"/>
                <w:sz w:val="16"/>
                <w:szCs w:val="16"/>
                <w:color w:val="auto"/>
              </w:rPr>
              <w:t>8%</w:t>
            </w:r>
          </w:p>
        </w:tc>
      </w:tr>
      <w:tr>
        <w:trPr>
          <w:trHeight w:val="163"/>
        </w:trPr>
        <w:tc>
          <w:tcPr>
            <w:tcW w:w="404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Kenneth Myszkowski (2)</w:t>
            </w:r>
          </w:p>
        </w:tc>
        <w:tc>
          <w:tcPr>
            <w:tcW w:w="29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2100" w:type="dxa"/>
            <w:vAlign w:val="bottom"/>
            <w:shd w:val="clear" w:color="auto" w:fill="E5E5E5"/>
          </w:tcPr>
          <w:p>
            <w:pPr>
              <w:spacing w:after="0"/>
              <w:rPr>
                <w:sz w:val="14"/>
                <w:szCs w:val="14"/>
                <w:color w:val="auto"/>
              </w:rPr>
            </w:pPr>
          </w:p>
        </w:tc>
      </w:tr>
      <w:tr>
        <w:trPr>
          <w:trHeight w:val="230"/>
        </w:trPr>
        <w:tc>
          <w:tcPr>
            <w:tcW w:w="4040" w:type="dxa"/>
            <w:vAlign w:val="bottom"/>
            <w:shd w:val="clear" w:color="auto" w:fill="E5E5E5"/>
          </w:tcPr>
          <w:p>
            <w:pPr>
              <w:ind w:left="80"/>
              <w:spacing w:after="0"/>
              <w:rPr>
                <w:sz w:val="20"/>
                <w:szCs w:val="20"/>
                <w:color w:val="auto"/>
              </w:rPr>
            </w:pPr>
            <w:r>
              <w:rPr>
                <w:rFonts w:ascii="Arial" w:cs="Arial" w:eastAsia="Arial" w:hAnsi="Arial"/>
                <w:sz w:val="16"/>
                <w:szCs w:val="16"/>
                <w:color w:val="auto"/>
              </w:rPr>
              <w:t>Former Chief Financial Officer</w:t>
            </w:r>
          </w:p>
        </w:tc>
        <w:tc>
          <w:tcPr>
            <w:tcW w:w="2900" w:type="dxa"/>
            <w:vAlign w:val="bottom"/>
            <w:shd w:val="clear" w:color="auto" w:fill="E5E5E5"/>
          </w:tcPr>
          <w:p>
            <w:pPr>
              <w:jc w:val="center"/>
              <w:ind w:left="1021"/>
              <w:spacing w:after="0"/>
              <w:rPr>
                <w:sz w:val="20"/>
                <w:szCs w:val="20"/>
                <w:color w:val="auto"/>
              </w:rPr>
            </w:pPr>
            <w:r>
              <w:rPr>
                <w:rFonts w:ascii="Arial" w:cs="Arial" w:eastAsia="Arial" w:hAnsi="Arial"/>
                <w:sz w:val="16"/>
                <w:szCs w:val="16"/>
                <w:color w:val="auto"/>
              </w:rPr>
              <w:t>$606,000</w:t>
            </w:r>
          </w:p>
        </w:tc>
        <w:tc>
          <w:tcPr>
            <w:tcW w:w="1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$582,400</w:t>
            </w:r>
          </w:p>
        </w:tc>
        <w:tc>
          <w:tcPr>
            <w:tcW w:w="2100" w:type="dxa"/>
            <w:vAlign w:val="bottom"/>
            <w:shd w:val="clear" w:color="auto" w:fill="E5E5E5"/>
          </w:tcPr>
          <w:p>
            <w:pPr>
              <w:jc w:val="center"/>
              <w:ind w:right="21"/>
              <w:spacing w:after="0"/>
              <w:rPr>
                <w:sz w:val="20"/>
                <w:szCs w:val="20"/>
                <w:color w:val="auto"/>
              </w:rPr>
            </w:pPr>
            <w:r>
              <w:rPr>
                <w:rFonts w:ascii="Arial" w:cs="Arial" w:eastAsia="Arial" w:hAnsi="Arial"/>
                <w:sz w:val="16"/>
                <w:szCs w:val="16"/>
                <w:color w:val="auto"/>
              </w:rPr>
              <w:t>4%</w:t>
            </w:r>
          </w:p>
        </w:tc>
      </w:tr>
      <w:tr>
        <w:trPr>
          <w:trHeight w:val="162"/>
        </w:trPr>
        <w:tc>
          <w:tcPr>
            <w:tcW w:w="404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Tracie Oliver (3)</w:t>
            </w:r>
          </w:p>
        </w:tc>
        <w:tc>
          <w:tcPr>
            <w:tcW w:w="2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28"/>
        </w:trPr>
        <w:tc>
          <w:tcPr>
            <w:tcW w:w="4040" w:type="dxa"/>
            <w:vAlign w:val="bottom"/>
            <w:tcBorders>
              <w:bottom w:val="single" w:sz="8" w:color="0071CE"/>
            </w:tcBorders>
          </w:tcPr>
          <w:p>
            <w:pPr>
              <w:ind w:left="80"/>
              <w:spacing w:after="0"/>
              <w:rPr>
                <w:sz w:val="20"/>
                <w:szCs w:val="20"/>
                <w:color w:val="auto"/>
              </w:rPr>
            </w:pPr>
            <w:r>
              <w:rPr>
                <w:rFonts w:ascii="Arial" w:cs="Arial" w:eastAsia="Arial" w:hAnsi="Arial"/>
                <w:sz w:val="16"/>
                <w:szCs w:val="16"/>
                <w:color w:val="auto"/>
              </w:rPr>
              <w:t>Former Chief Commercial Officer</w:t>
            </w:r>
          </w:p>
        </w:tc>
        <w:tc>
          <w:tcPr>
            <w:tcW w:w="2900" w:type="dxa"/>
            <w:vAlign w:val="bottom"/>
            <w:tcBorders>
              <w:bottom w:val="single" w:sz="8" w:color="0071CE"/>
            </w:tcBorders>
          </w:tcPr>
          <w:p>
            <w:pPr>
              <w:jc w:val="center"/>
              <w:ind w:left="1021"/>
              <w:spacing w:after="0"/>
              <w:rPr>
                <w:sz w:val="20"/>
                <w:szCs w:val="20"/>
                <w:color w:val="auto"/>
              </w:rPr>
            </w:pPr>
            <w:r>
              <w:rPr>
                <w:rFonts w:ascii="Arial" w:cs="Arial" w:eastAsia="Arial" w:hAnsi="Arial"/>
                <w:sz w:val="16"/>
                <w:szCs w:val="16"/>
                <w:color w:val="auto"/>
              </w:rPr>
              <w:t>$488,880</w:t>
            </w:r>
          </w:p>
        </w:tc>
        <w:tc>
          <w:tcPr>
            <w:tcW w:w="190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$488,880</w:t>
            </w:r>
          </w:p>
        </w:tc>
        <w:tc>
          <w:tcPr>
            <w:tcW w:w="2100" w:type="dxa"/>
            <w:vAlign w:val="bottom"/>
            <w:tcBorders>
              <w:bottom w:val="single" w:sz="8" w:color="0071CE"/>
            </w:tcBorders>
          </w:tcPr>
          <w:p>
            <w:pPr>
              <w:jc w:val="center"/>
              <w:ind w:right="21"/>
              <w:spacing w:after="0"/>
              <w:rPr>
                <w:sz w:val="20"/>
                <w:szCs w:val="20"/>
                <w:color w:val="auto"/>
              </w:rPr>
            </w:pPr>
            <w:r>
              <w:rPr>
                <w:rFonts w:ascii="Arial" w:cs="Arial" w:eastAsia="Arial" w:hAnsi="Arial"/>
                <w:sz w:val="16"/>
                <w:szCs w:val="16"/>
                <w:color w:val="auto"/>
              </w:rPr>
              <w:t>—%</w:t>
            </w:r>
          </w:p>
        </w:tc>
      </w:tr>
    </w:tbl>
    <w:p>
      <w:pPr>
        <w:spacing w:after="0" w:line="166"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Apel joined the Company in April 2025.</w:t>
      </w:r>
    </w:p>
    <w:p>
      <w:pPr>
        <w:spacing w:after="0" w:line="15" w:lineRule="exact"/>
        <w:rPr>
          <w:rFonts w:ascii="Arial" w:cs="Arial" w:eastAsia="Arial" w:hAnsi="Arial"/>
          <w:sz w:val="14"/>
          <w:szCs w:val="14"/>
          <w:color w:val="auto"/>
        </w:rPr>
      </w:pPr>
    </w:p>
    <w:p>
      <w:pPr>
        <w:ind w:right="20" w:firstLine="8"/>
        <w:spacing w:after="0" w:line="241" w:lineRule="auto"/>
        <w:tabs>
          <w:tab w:leader="none" w:pos="2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Myszkowski served as the Company's Chief Financial Officer until May 2025, at which time he transitioned to the role of employee advisor until January 31, 2026 in order to assist with the CFO transition with a base salary of $200,000 in such role.</w:t>
      </w:r>
    </w:p>
    <w:p>
      <w:pPr>
        <w:ind w:left="220" w:hanging="212"/>
        <w:spacing w:after="0" w:line="237" w:lineRule="auto"/>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w:t>
      </w:r>
    </w:p>
    <w:p>
      <w:pPr>
        <w:spacing w:after="0"/>
        <w:rPr>
          <w:sz w:val="20"/>
          <w:szCs w:val="20"/>
          <w:color w:val="auto"/>
        </w:rPr>
      </w:pPr>
      <w:r>
        <w:rPr>
          <w:rFonts w:ascii="Arial" w:cs="Arial" w:eastAsia="Arial" w:hAnsi="Arial"/>
          <w:sz w:val="16"/>
          <w:szCs w:val="16"/>
          <w:color w:val="auto"/>
        </w:rPr>
        <w:t>The actual base salaries paid to our NEOs in fiscal 2025 are set forth in the “Fiscal 2025 Summary Compensation Table”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 Compensation</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provide our executive officers, including our NEOs,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cash incentive compensation opportunity. Through a collaborative planning process involving our Board and management, corporate performance objectives are established at the beginning of each year and evaluated regularly by our Board for their continued relevance to our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Annual Cash Incentive Award Opportunities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purposes of the fiscal 2025 performance-based incentive awards, each of our NEOs was assigned a target annual cash incentive award opportunity based upon a percentage of his or her base salary. The target annual cash incentive award opportunities for our executive officers, including our NEOs, were recommended by our CEO (except with respect to his own target annual cash incentive award opportunity) based on each executive officer’s accountability, scope of responsibilities, and potential impact on our performance, and approved by the Compensation Committee. The determination of target annual cash incentive award opportunities was also based on the factors described in “Governance of Executive Compensation Program — Compensation-Setting Process” above. Our NEOs' target annual cash incentive award opportunities did not change from fiscal 2024.</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target cash annual incentive award opportunities for our NEOs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shd w:val="clear" w:color="auto" w:fill="0071CE"/>
          </w:tcPr>
          <w:p>
            <w:pPr>
              <w:spacing w:after="0"/>
              <w:rPr>
                <w:sz w:val="16"/>
                <w:szCs w:val="16"/>
                <w:color w:val="auto"/>
              </w:rPr>
            </w:pPr>
          </w:p>
        </w:tc>
        <w:tc>
          <w:tcPr>
            <w:tcW w:w="4400" w:type="dxa"/>
            <w:vAlign w:val="bottom"/>
            <w:shd w:val="clear" w:color="auto" w:fill="0071CE"/>
          </w:tcPr>
          <w:p>
            <w:pPr>
              <w:jc w:val="center"/>
              <w:ind w:left="1379"/>
              <w:spacing w:after="0"/>
              <w:rPr>
                <w:sz w:val="20"/>
                <w:szCs w:val="20"/>
                <w:color w:val="auto"/>
              </w:rPr>
            </w:pPr>
            <w:r>
              <w:rPr>
                <w:rFonts w:ascii="Arial" w:cs="Arial" w:eastAsia="Arial" w:hAnsi="Arial"/>
                <w:sz w:val="16"/>
                <w:szCs w:val="16"/>
                <w:b w:val="1"/>
                <w:bCs w:val="1"/>
                <w:color w:val="FFFFFF"/>
              </w:rPr>
              <w:t>Fiscal 2025 Target Annual</w:t>
            </w:r>
          </w:p>
        </w:tc>
        <w:tc>
          <w:tcPr>
            <w:tcW w:w="29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Fiscal 2024 Target Annual</w:t>
            </w:r>
          </w:p>
        </w:tc>
        <w:tc>
          <w:tcPr>
            <w:tcW w:w="0" w:type="dxa"/>
            <w:vAlign w:val="bottom"/>
          </w:tcPr>
          <w:p>
            <w:pPr>
              <w:spacing w:after="0"/>
              <w:rPr>
                <w:sz w:val="1"/>
                <w:szCs w:val="1"/>
                <w:color w:val="auto"/>
              </w:rPr>
            </w:pPr>
          </w:p>
        </w:tc>
      </w:tr>
      <w:tr>
        <w:trPr>
          <w:trHeight w:val="162"/>
        </w:trPr>
        <w:tc>
          <w:tcPr>
            <w:tcW w:w="3860" w:type="dxa"/>
            <w:vAlign w:val="bottom"/>
            <w:shd w:val="clear" w:color="auto" w:fill="0071CE"/>
          </w:tcPr>
          <w:p>
            <w:pPr>
              <w:spacing w:after="0"/>
              <w:rPr>
                <w:sz w:val="14"/>
                <w:szCs w:val="14"/>
                <w:color w:val="auto"/>
              </w:rPr>
            </w:pP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w w:val="99"/>
              </w:rPr>
              <w:t>Incentive Award</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Incentive Award</w:t>
            </w:r>
          </w:p>
        </w:tc>
        <w:tc>
          <w:tcPr>
            <w:tcW w:w="0" w:type="dxa"/>
            <w:vAlign w:val="bottom"/>
          </w:tcPr>
          <w:p>
            <w:pPr>
              <w:spacing w:after="0"/>
              <w:rPr>
                <w:sz w:val="1"/>
                <w:szCs w:val="1"/>
                <w:color w:val="auto"/>
              </w:rPr>
            </w:pPr>
          </w:p>
        </w:tc>
      </w:tr>
      <w:tr>
        <w:trPr>
          <w:trHeight w:val="162"/>
        </w:trPr>
        <w:tc>
          <w:tcPr>
            <w:tcW w:w="3860" w:type="dxa"/>
            <w:vAlign w:val="bottom"/>
            <w:shd w:val="clear" w:color="auto" w:fill="0071CE"/>
          </w:tcPr>
          <w:p>
            <w:pPr>
              <w:spacing w:after="0"/>
              <w:rPr>
                <w:sz w:val="14"/>
                <w:szCs w:val="14"/>
                <w:color w:val="auto"/>
              </w:rPr>
            </w:pP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rPr>
              <w:t>Opportunity (as a</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Opportunity (as a</w:t>
            </w: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0071CE"/>
          </w:tcPr>
          <w:p>
            <w:pPr>
              <w:ind w:left="20"/>
              <w:spacing w:after="0"/>
              <w:rPr>
                <w:sz w:val="20"/>
                <w:szCs w:val="20"/>
                <w:color w:val="auto"/>
              </w:rPr>
            </w:pPr>
            <w:r>
              <w:rPr>
                <w:rFonts w:ascii="Arial" w:cs="Arial" w:eastAsia="Arial" w:hAnsi="Arial"/>
                <w:sz w:val="16"/>
                <w:szCs w:val="16"/>
                <w:b w:val="1"/>
                <w:bCs w:val="1"/>
                <w:color w:val="FFFFFF"/>
              </w:rPr>
              <w:t>Named Executive Officer</w:t>
            </w:r>
          </w:p>
        </w:tc>
        <w:tc>
          <w:tcPr>
            <w:tcW w:w="4400" w:type="dxa"/>
            <w:vAlign w:val="bottom"/>
            <w:shd w:val="clear" w:color="auto" w:fill="0071CE"/>
          </w:tcPr>
          <w:p>
            <w:pPr>
              <w:jc w:val="center"/>
              <w:ind w:left="1379"/>
              <w:spacing w:after="0" w:line="162" w:lineRule="exact"/>
              <w:rPr>
                <w:sz w:val="20"/>
                <w:szCs w:val="20"/>
                <w:color w:val="auto"/>
              </w:rPr>
            </w:pPr>
            <w:r>
              <w:rPr>
                <w:rFonts w:ascii="Arial" w:cs="Arial" w:eastAsia="Arial" w:hAnsi="Arial"/>
                <w:sz w:val="16"/>
                <w:szCs w:val="16"/>
                <w:b w:val="1"/>
                <w:bCs w:val="1"/>
                <w:color w:val="FFFFFF"/>
              </w:rPr>
              <w:t>percentage of base</w:t>
            </w:r>
          </w:p>
        </w:tc>
        <w:tc>
          <w:tcPr>
            <w:tcW w:w="29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percentage of base</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0071CE"/>
          </w:tcPr>
          <w:p>
            <w:pPr>
              <w:spacing w:after="0"/>
              <w:rPr>
                <w:sz w:val="18"/>
                <w:szCs w:val="18"/>
                <w:color w:val="auto"/>
              </w:rPr>
            </w:pPr>
          </w:p>
        </w:tc>
        <w:tc>
          <w:tcPr>
            <w:tcW w:w="4400" w:type="dxa"/>
            <w:vAlign w:val="bottom"/>
            <w:shd w:val="clear" w:color="auto" w:fill="0071CE"/>
          </w:tcPr>
          <w:p>
            <w:pPr>
              <w:jc w:val="center"/>
              <w:ind w:left="1359"/>
              <w:spacing w:after="0"/>
              <w:rPr>
                <w:sz w:val="20"/>
                <w:szCs w:val="20"/>
                <w:color w:val="auto"/>
              </w:rPr>
            </w:pPr>
            <w:r>
              <w:rPr>
                <w:rFonts w:ascii="Arial" w:cs="Arial" w:eastAsia="Arial" w:hAnsi="Arial"/>
                <w:sz w:val="16"/>
                <w:szCs w:val="16"/>
                <w:b w:val="1"/>
                <w:bCs w:val="1"/>
                <w:color w:val="FFFFFF"/>
              </w:rPr>
              <w:t>salary)</w:t>
            </w:r>
          </w:p>
        </w:tc>
        <w:tc>
          <w:tcPr>
            <w:tcW w:w="29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salary)</w:t>
            </w:r>
          </w:p>
        </w:tc>
        <w:tc>
          <w:tcPr>
            <w:tcW w:w="0" w:type="dxa"/>
            <w:vAlign w:val="bottom"/>
          </w:tcPr>
          <w:p>
            <w:pPr>
              <w:spacing w:after="0"/>
              <w:rPr>
                <w:sz w:val="1"/>
                <w:szCs w:val="1"/>
                <w:color w:val="auto"/>
              </w:rPr>
            </w:pPr>
          </w:p>
        </w:tc>
      </w:tr>
      <w:tr>
        <w:trPr>
          <w:trHeight w:val="216"/>
        </w:trPr>
        <w:tc>
          <w:tcPr>
            <w:tcW w:w="3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Dr. Anzalone (1)</w:t>
            </w:r>
          </w:p>
        </w:tc>
        <w:tc>
          <w:tcPr>
            <w:tcW w:w="4400" w:type="dxa"/>
            <w:vAlign w:val="bottom"/>
            <w:shd w:val="clear" w:color="auto" w:fill="E5E5E5"/>
          </w:tcPr>
          <w:p>
            <w:pPr>
              <w:jc w:val="center"/>
              <w:ind w:left="1379"/>
              <w:spacing w:after="0"/>
              <w:rPr>
                <w:sz w:val="20"/>
                <w:szCs w:val="20"/>
                <w:color w:val="auto"/>
              </w:rPr>
            </w:pPr>
            <w:r>
              <w:rPr>
                <w:rFonts w:ascii="Arial" w:cs="Arial" w:eastAsia="Arial" w:hAnsi="Arial"/>
                <w:sz w:val="16"/>
                <w:szCs w:val="16"/>
                <w:color w:val="auto"/>
              </w:rPr>
              <w:t>100%</w:t>
            </w:r>
          </w:p>
        </w:tc>
        <w:tc>
          <w:tcPr>
            <w:tcW w:w="29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Mr. Apel (2)</w:t>
            </w:r>
          </w:p>
        </w:tc>
        <w:tc>
          <w:tcPr>
            <w:tcW w:w="4400" w:type="dxa"/>
            <w:vAlign w:val="bottom"/>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3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O’Brien</w:t>
            </w:r>
          </w:p>
        </w:tc>
        <w:tc>
          <w:tcPr>
            <w:tcW w:w="4400" w:type="dxa"/>
            <w:vAlign w:val="bottom"/>
            <w:shd w:val="clear" w:color="auto" w:fill="E5E5E5"/>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Dr. Hamilton</w:t>
            </w:r>
          </w:p>
        </w:tc>
        <w:tc>
          <w:tcPr>
            <w:tcW w:w="4400" w:type="dxa"/>
            <w:vAlign w:val="bottom"/>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7"/>
        </w:trPr>
        <w:tc>
          <w:tcPr>
            <w:tcW w:w="3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Mr. Myszkowski</w:t>
            </w:r>
          </w:p>
        </w:tc>
        <w:tc>
          <w:tcPr>
            <w:tcW w:w="4400" w:type="dxa"/>
            <w:vAlign w:val="bottom"/>
            <w:shd w:val="clear" w:color="auto" w:fill="E5E5E5"/>
          </w:tcPr>
          <w:p>
            <w:pPr>
              <w:jc w:val="center"/>
              <w:ind w:left="1379"/>
              <w:spacing w:after="0"/>
              <w:rPr>
                <w:sz w:val="20"/>
                <w:szCs w:val="20"/>
                <w:color w:val="auto"/>
              </w:rPr>
            </w:pPr>
            <w:r>
              <w:rPr>
                <w:rFonts w:ascii="Arial" w:cs="Arial" w:eastAsia="Arial" w:hAnsi="Arial"/>
                <w:sz w:val="16"/>
                <w:szCs w:val="16"/>
                <w:color w:val="auto"/>
              </w:rPr>
              <w:t>45%</w:t>
            </w:r>
          </w:p>
        </w:tc>
        <w:tc>
          <w:tcPr>
            <w:tcW w:w="29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45%</w:t>
            </w:r>
          </w:p>
        </w:tc>
        <w:tc>
          <w:tcPr>
            <w:tcW w:w="0" w:type="dxa"/>
            <w:vAlign w:val="bottom"/>
          </w:tcPr>
          <w:p>
            <w:pPr>
              <w:spacing w:after="0"/>
              <w:rPr>
                <w:sz w:val="1"/>
                <w:szCs w:val="1"/>
                <w:color w:val="auto"/>
              </w:rPr>
            </w:pPr>
          </w:p>
        </w:tc>
      </w:tr>
      <w:tr>
        <w:trPr>
          <w:trHeight w:val="215"/>
        </w:trPr>
        <w:tc>
          <w:tcPr>
            <w:tcW w:w="3860" w:type="dxa"/>
            <w:vAlign w:val="bottom"/>
            <w:tcBorders>
              <w:bottom w:val="single" w:sz="8" w:color="0071CE"/>
            </w:tcBorders>
          </w:tcPr>
          <w:p>
            <w:pPr>
              <w:ind w:left="20"/>
              <w:spacing w:after="0"/>
              <w:rPr>
                <w:sz w:val="20"/>
                <w:szCs w:val="20"/>
                <w:color w:val="auto"/>
              </w:rPr>
            </w:pPr>
            <w:r>
              <w:rPr>
                <w:rFonts w:ascii="Arial" w:cs="Arial" w:eastAsia="Arial" w:hAnsi="Arial"/>
                <w:sz w:val="16"/>
                <w:szCs w:val="16"/>
                <w:color w:val="auto"/>
              </w:rPr>
              <w:t>Ms. Oliver (3)</w:t>
            </w:r>
          </w:p>
        </w:tc>
        <w:tc>
          <w:tcPr>
            <w:tcW w:w="4400" w:type="dxa"/>
            <w:vAlign w:val="bottom"/>
            <w:tcBorders>
              <w:bottom w:val="single" w:sz="8" w:color="0071CE"/>
            </w:tcBorders>
          </w:tcPr>
          <w:p>
            <w:pPr>
              <w:jc w:val="center"/>
              <w:ind w:left="1379"/>
              <w:spacing w:after="0"/>
              <w:rPr>
                <w:sz w:val="20"/>
                <w:szCs w:val="20"/>
                <w:color w:val="auto"/>
              </w:rPr>
            </w:pPr>
            <w:r>
              <w:rPr>
                <w:rFonts w:ascii="Arial" w:cs="Arial" w:eastAsia="Arial" w:hAnsi="Arial"/>
                <w:sz w:val="16"/>
                <w:szCs w:val="16"/>
                <w:color w:val="auto"/>
                <w:w w:val="99"/>
              </w:rPr>
              <w:t>—%</w:t>
            </w:r>
          </w:p>
        </w:tc>
        <w:tc>
          <w:tcPr>
            <w:tcW w:w="296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w w:val="99"/>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556895</wp:posOffset>
            </wp:positionV>
            <wp:extent cx="986155"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60" w:hanging="212"/>
        <w:spacing w:after="0"/>
        <w:tabs>
          <w:tab w:leader="none" w:pos="2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Dr. Anzalone's annual cash incentive compensation opportunity is capped at 200% of his base salary.</w:t>
      </w:r>
    </w:p>
    <w:p>
      <w:pPr>
        <w:spacing w:after="0" w:line="1" w:lineRule="exact"/>
        <w:rPr>
          <w:rFonts w:ascii="Arial" w:cs="Arial" w:eastAsia="Arial" w:hAnsi="Arial"/>
          <w:sz w:val="14"/>
          <w:szCs w:val="14"/>
          <w:color w:val="auto"/>
        </w:rPr>
      </w:pPr>
    </w:p>
    <w:p>
      <w:pPr>
        <w:ind w:left="260" w:hanging="212"/>
        <w:spacing w:after="0" w:line="221" w:lineRule="auto"/>
        <w:tabs>
          <w:tab w:leader="none" w:pos="2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Mr. Apel joined the Company in April 2025.</w:t>
      </w: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Objectives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determining the amount of the annual cash incentive award for each of our executive officers, including each of our NEOs,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2025, the Compensation Committee determined our performance against our primary business objectives set for calendar 2025,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23430" cy="7632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3430" cy="763270"/>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Goal</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w:t>
      </w:r>
    </w:p>
    <w:p>
      <w:pPr>
        <w:ind w:left="20"/>
        <w:spacing w:after="0"/>
        <w:rPr>
          <w:sz w:val="20"/>
          <w:szCs w:val="20"/>
          <w:color w:val="auto"/>
        </w:rPr>
      </w:pPr>
      <w:r>
        <w:rPr>
          <w:rFonts w:ascii="Arial" w:cs="Arial" w:eastAsia="Arial" w:hAnsi="Arial"/>
          <w:sz w:val="16"/>
          <w:szCs w:val="16"/>
          <w:b w:val="1"/>
          <w:bCs w:val="1"/>
          <w:color w:val="auto"/>
        </w:rPr>
        <w:t xml:space="preserve">Business Development - </w:t>
      </w:r>
      <w:r>
        <w:rPr>
          <w:rFonts w:ascii="Arial" w:cs="Arial" w:eastAsia="Arial" w:hAnsi="Arial"/>
          <w:sz w:val="16"/>
          <w:szCs w:val="16"/>
          <w:color w:val="auto"/>
        </w:rPr>
        <w:t>Weight: 35%</w:t>
      </w:r>
    </w:p>
    <w:p>
      <w:pPr>
        <w:spacing w:after="0" w:line="126" w:lineRule="exact"/>
        <w:rPr>
          <w:sz w:val="20"/>
          <w:szCs w:val="20"/>
          <w:color w:val="auto"/>
        </w:rPr>
      </w:pPr>
    </w:p>
    <w:p>
      <w:pPr>
        <w:ind w:left="20"/>
        <w:spacing w:after="0" w:line="248" w:lineRule="auto"/>
        <w:rPr>
          <w:sz w:val="20"/>
          <w:szCs w:val="20"/>
          <w:color w:val="auto"/>
        </w:rPr>
      </w:pPr>
      <w:r>
        <w:rPr>
          <w:rFonts w:ascii="Arial" w:cs="Arial" w:eastAsia="Arial" w:hAnsi="Arial"/>
          <w:sz w:val="16"/>
          <w:szCs w:val="16"/>
          <w:i w:val="1"/>
          <w:iCs w:val="1"/>
          <w:color w:val="auto"/>
        </w:rPr>
        <w:t>Meet certain goals related to business development, capitalization, CFO recruitment, BoD expansion, and utilization of recent capital improvements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Clinical Development - </w:t>
      </w:r>
      <w:r>
        <w:rPr>
          <w:rFonts w:ascii="Arial" w:cs="Arial" w:eastAsia="Arial" w:hAnsi="Arial"/>
          <w:sz w:val="16"/>
          <w:szCs w:val="16"/>
          <w:color w:val="auto"/>
        </w:rPr>
        <w:t>Weight: 35%</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Meet certain goals relating to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Discovery - </w:t>
      </w:r>
      <w:r>
        <w:rPr>
          <w:rFonts w:ascii="Arial" w:cs="Arial" w:eastAsia="Arial" w:hAnsi="Arial"/>
          <w:sz w:val="16"/>
          <w:szCs w:val="16"/>
          <w:color w:val="auto"/>
        </w:rPr>
        <w:t>Weight: 15%</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Meet certain goals with regard to progress on our pre-clinical programs.</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Commercial - </w:t>
      </w:r>
      <w:r>
        <w:rPr>
          <w:rFonts w:ascii="Arial" w:cs="Arial" w:eastAsia="Arial" w:hAnsi="Arial"/>
          <w:sz w:val="16"/>
          <w:szCs w:val="16"/>
          <w:color w:val="auto"/>
        </w:rPr>
        <w:t>Weight: 15%</w:t>
      </w:r>
    </w:p>
    <w:p>
      <w:pPr>
        <w:spacing w:after="0" w:line="156" w:lineRule="exact"/>
        <w:rPr>
          <w:sz w:val="20"/>
          <w:szCs w:val="20"/>
          <w:color w:val="auto"/>
        </w:rPr>
      </w:pPr>
    </w:p>
    <w:p>
      <w:pPr>
        <w:ind w:left="20" w:right="360"/>
        <w:spacing w:after="0" w:line="248" w:lineRule="auto"/>
        <w:rPr>
          <w:sz w:val="20"/>
          <w:szCs w:val="20"/>
          <w:color w:val="auto"/>
        </w:rPr>
      </w:pPr>
      <w:r>
        <w:rPr>
          <w:rFonts w:ascii="Arial" w:cs="Arial" w:eastAsia="Arial" w:hAnsi="Arial"/>
          <w:sz w:val="16"/>
          <w:szCs w:val="16"/>
          <w:i w:val="1"/>
          <w:iCs w:val="1"/>
          <w:color w:val="auto"/>
        </w:rPr>
        <w:t>Meet certain goals with regard to REDEMPLO's approval and product revenue.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FFFFFF"/>
        </w:rPr>
        <w:t>Achievement Highlights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Met</w:t>
      </w:r>
    </w:p>
    <w:p>
      <w:pPr>
        <w:spacing w:after="0" w:line="46"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Substantial business development transactions leading to significant new capital.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Hired new CFO and expanded the board.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Met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Achieved 20 in '25 corporate goal.</w:t>
      </w:r>
    </w:p>
    <w:p>
      <w:pPr>
        <w:spacing w:after="0" w:line="211" w:lineRule="auto"/>
        <w:rPr>
          <w:sz w:val="20"/>
          <w:szCs w:val="20"/>
          <w:color w:val="auto"/>
        </w:rPr>
      </w:pPr>
      <w:r>
        <w:rPr>
          <w:rFonts w:ascii="Arial" w:cs="Arial" w:eastAsia="Arial" w:hAnsi="Arial"/>
          <w:sz w:val="16"/>
          <w:szCs w:val="16"/>
          <w:color w:val="auto"/>
        </w:rPr>
        <w:t>Fully enrolled plozasiran SUMMIT program clinical trials.</w:t>
      </w:r>
    </w:p>
    <w:p>
      <w:pPr>
        <w:spacing w:after="0" w:line="211" w:lineRule="auto"/>
        <w:rPr>
          <w:sz w:val="20"/>
          <w:szCs w:val="20"/>
          <w:color w:val="auto"/>
        </w:rPr>
      </w:pPr>
      <w:r>
        <w:rPr>
          <w:rFonts w:ascii="Arial" w:cs="Arial" w:eastAsia="Arial" w:hAnsi="Arial"/>
          <w:sz w:val="16"/>
          <w:szCs w:val="16"/>
          <w:color w:val="auto"/>
        </w:rPr>
        <w:t>Initiated phase 3 clinical trials for zodasiran in HoFH.</w:t>
      </w:r>
    </w:p>
    <w:p>
      <w:pPr>
        <w:ind w:right="120"/>
        <w:spacing w:after="0" w:line="227" w:lineRule="auto"/>
        <w:rPr>
          <w:sz w:val="20"/>
          <w:szCs w:val="20"/>
          <w:color w:val="auto"/>
        </w:rPr>
      </w:pPr>
      <w:r>
        <w:rPr>
          <w:rFonts w:ascii="Arial" w:cs="Arial" w:eastAsia="Arial" w:hAnsi="Arial"/>
          <w:sz w:val="16"/>
          <w:szCs w:val="16"/>
          <w:color w:val="auto"/>
        </w:rPr>
        <w:t>Met other goals related to early stage clinical trials, including trial recruitment or initiation milestones for ARO-INHBE, ARO-ALK7, ARO-MAPT and ARO-RAGE.</w:t>
      </w:r>
    </w:p>
    <w:p>
      <w:pPr>
        <w:spacing w:after="0" w:line="234" w:lineRule="auto"/>
        <w:rPr>
          <w:sz w:val="20"/>
          <w:szCs w:val="20"/>
          <w:color w:val="auto"/>
        </w:rPr>
      </w:pPr>
      <w:r>
        <w:rPr>
          <w:rFonts w:ascii="Arial" w:cs="Arial" w:eastAsia="Arial" w:hAnsi="Arial"/>
          <w:sz w:val="16"/>
          <w:szCs w:val="16"/>
          <w:color w:val="auto"/>
        </w:rPr>
        <w:t>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-111760</wp:posOffset>
            </wp:positionV>
            <wp:extent cx="7115175" cy="548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5486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Executed on plan to in-source portions of BBB platform manufacturing</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Nominated at least four new candidates for wholly-owned use.</w:t>
      </w:r>
    </w:p>
    <w:p>
      <w:pPr>
        <w:spacing w:after="0" w:line="46" w:lineRule="exact"/>
        <w:rPr>
          <w:sz w:val="20"/>
          <w:szCs w:val="20"/>
          <w:color w:val="auto"/>
        </w:rPr>
      </w:pPr>
    </w:p>
    <w:p>
      <w:pPr>
        <w:ind w:right="660"/>
        <w:spacing w:after="0" w:line="251" w:lineRule="auto"/>
        <w:rPr>
          <w:sz w:val="20"/>
          <w:szCs w:val="20"/>
          <w:color w:val="auto"/>
        </w:rPr>
      </w:pPr>
      <w:r>
        <w:rPr>
          <w:rFonts w:ascii="Arial" w:cs="Arial" w:eastAsia="Arial" w:hAnsi="Arial"/>
          <w:sz w:val="16"/>
          <w:szCs w:val="16"/>
          <w:color w:val="auto"/>
        </w:rPr>
        <w:t>Did not meet because these goals assumed priority review instead of standard review for REDEMPLO's launch.</w:t>
      </w:r>
    </w:p>
    <w:p>
      <w:pPr>
        <w:spacing w:after="0" w:line="575" w:lineRule="exact"/>
        <w:rPr>
          <w:sz w:val="20"/>
          <w:szCs w:val="20"/>
          <w:color w:val="auto"/>
        </w:rPr>
      </w:pPr>
    </w:p>
    <w:p>
      <w:pPr>
        <w:sectPr>
          <w:pgSz w:w="11900" w:h="16838" w:orient="portrait"/>
          <w:cols w:equalWidth="0" w:num="2">
            <w:col w:w="5360" w:space="280"/>
            <w:col w:w="5600"/>
          </w:cols>
          <w:pgMar w:left="320" w:top="212"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Award Payments</w:t>
      </w:r>
    </w:p>
    <w:p>
      <w:pPr>
        <w:spacing w:after="0" w:line="9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Compensation Committee determined that the corporate objectives were achieved at 125% and the actual annual cash incentive award payments earned by our incumbent NEOs are set forth in the table below. Except for the annual incentive award for our CEO, these awards were recommended by our CEO and approved by the Compensation Committee based on the overall achievement of our goals, their contributions to the goals and the overall</w:t>
      </w:r>
    </w:p>
    <w:p>
      <w:pPr>
        <w:spacing w:after="0" w:line="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performance of each executive officer during the year. The following table sets forth the target annual cash incentive award opportunities as a percentage of base salary, the achievement level expressed as a percentage of target and the actual award payment made in cash or cash equivalents to each of our NEOs based on their performance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468630</wp:posOffset>
            </wp:positionV>
            <wp:extent cx="98615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0071CE"/>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shd w:val="clear" w:color="auto" w:fill="0071CE"/>
          </w:tcPr>
          <w:p>
            <w:pPr>
              <w:spacing w:after="0"/>
              <w:rPr>
                <w:sz w:val="14"/>
                <w:szCs w:val="14"/>
                <w:color w:val="auto"/>
              </w:rPr>
            </w:pPr>
          </w:p>
        </w:tc>
        <w:tc>
          <w:tcPr>
            <w:tcW w:w="3820" w:type="dxa"/>
            <w:vAlign w:val="bottom"/>
            <w:shd w:val="clear" w:color="auto" w:fill="0071CE"/>
          </w:tcPr>
          <w:p>
            <w:pPr>
              <w:jc w:val="center"/>
              <w:ind w:left="1828"/>
              <w:spacing w:after="0"/>
              <w:rPr>
                <w:sz w:val="20"/>
                <w:szCs w:val="20"/>
                <w:color w:val="auto"/>
              </w:rPr>
            </w:pPr>
            <w:r>
              <w:rPr>
                <w:rFonts w:ascii="Arial" w:cs="Arial" w:eastAsia="Arial" w:hAnsi="Arial"/>
                <w:sz w:val="14"/>
                <w:szCs w:val="14"/>
                <w:b w:val="1"/>
                <w:bCs w:val="1"/>
                <w:color w:val="FFFFFF"/>
              </w:rPr>
              <w:t>Target Annual</w:t>
            </w:r>
          </w:p>
        </w:tc>
        <w:tc>
          <w:tcPr>
            <w:tcW w:w="214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5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3820" w:type="dxa"/>
            <w:vAlign w:val="bottom"/>
            <w:shd w:val="clear" w:color="auto" w:fill="0071CE"/>
          </w:tcPr>
          <w:p>
            <w:pPr>
              <w:jc w:val="center"/>
              <w:ind w:left="1848"/>
              <w:spacing w:after="0" w:line="139" w:lineRule="exact"/>
              <w:rPr>
                <w:sz w:val="20"/>
                <w:szCs w:val="20"/>
                <w:color w:val="auto"/>
              </w:rPr>
            </w:pPr>
            <w:r>
              <w:rPr>
                <w:rFonts w:ascii="Arial" w:cs="Arial" w:eastAsia="Arial" w:hAnsi="Arial"/>
                <w:sz w:val="14"/>
                <w:szCs w:val="14"/>
                <w:b w:val="1"/>
                <w:bCs w:val="1"/>
                <w:color w:val="FFFFFF"/>
              </w:rPr>
              <w:t>Incentive Award</w:t>
            </w:r>
          </w:p>
        </w:tc>
        <w:tc>
          <w:tcPr>
            <w:tcW w:w="2140" w:type="dxa"/>
            <w:vAlign w:val="bottom"/>
            <w:shd w:val="clear" w:color="auto" w:fill="0071CE"/>
          </w:tcPr>
          <w:p>
            <w:pPr>
              <w:spacing w:after="0"/>
              <w:rPr>
                <w:sz w:val="12"/>
                <w:szCs w:val="12"/>
                <w:color w:val="auto"/>
              </w:rPr>
            </w:pPr>
          </w:p>
        </w:tc>
        <w:tc>
          <w:tcPr>
            <w:tcW w:w="1740" w:type="dxa"/>
            <w:vAlign w:val="bottom"/>
            <w:vMerge w:val="restart"/>
            <w:shd w:val="clear" w:color="auto" w:fill="0071CE"/>
          </w:tcPr>
          <w:p>
            <w:pPr>
              <w:jc w:val="right"/>
              <w:ind w:right="328"/>
              <w:spacing w:after="0"/>
              <w:rPr>
                <w:sz w:val="20"/>
                <w:szCs w:val="20"/>
                <w:color w:val="auto"/>
              </w:rPr>
            </w:pPr>
            <w:r>
              <w:rPr>
                <w:rFonts w:ascii="Arial" w:cs="Arial" w:eastAsia="Arial" w:hAnsi="Arial"/>
                <w:sz w:val="14"/>
                <w:szCs w:val="14"/>
                <w:b w:val="1"/>
                <w:bCs w:val="1"/>
                <w:color w:val="FFFFFF"/>
              </w:rPr>
              <w:t>Actual Annual</w:t>
            </w:r>
          </w:p>
        </w:tc>
        <w:tc>
          <w:tcPr>
            <w:tcW w:w="0" w:type="dxa"/>
            <w:vAlign w:val="bottom"/>
          </w:tcPr>
          <w:p>
            <w:pPr>
              <w:spacing w:after="0"/>
              <w:rPr>
                <w:sz w:val="1"/>
                <w:szCs w:val="1"/>
                <w:color w:val="auto"/>
              </w:rPr>
            </w:pPr>
          </w:p>
        </w:tc>
      </w:tr>
      <w:tr>
        <w:trPr>
          <w:trHeight w:val="144"/>
        </w:trPr>
        <w:tc>
          <w:tcPr>
            <w:tcW w:w="3520" w:type="dxa"/>
            <w:vAlign w:val="bottom"/>
            <w:vMerge w:val="continue"/>
            <w:shd w:val="clear" w:color="auto" w:fill="0071CE"/>
          </w:tcPr>
          <w:p>
            <w:pPr>
              <w:spacing w:after="0"/>
              <w:rPr>
                <w:sz w:val="12"/>
                <w:szCs w:val="12"/>
                <w:color w:val="auto"/>
              </w:rPr>
            </w:pPr>
          </w:p>
        </w:tc>
        <w:tc>
          <w:tcPr>
            <w:tcW w:w="3820" w:type="dxa"/>
            <w:vAlign w:val="bottom"/>
            <w:shd w:val="clear" w:color="auto" w:fill="0071CE"/>
          </w:tcPr>
          <w:p>
            <w:pPr>
              <w:jc w:val="center"/>
              <w:ind w:left="1828"/>
              <w:spacing w:after="0" w:line="145" w:lineRule="exact"/>
              <w:rPr>
                <w:sz w:val="20"/>
                <w:szCs w:val="20"/>
                <w:color w:val="auto"/>
              </w:rPr>
            </w:pPr>
            <w:r>
              <w:rPr>
                <w:rFonts w:ascii="Arial" w:cs="Arial" w:eastAsia="Arial" w:hAnsi="Arial"/>
                <w:sz w:val="14"/>
                <w:szCs w:val="14"/>
                <w:b w:val="1"/>
                <w:bCs w:val="1"/>
                <w:color w:val="FFFFFF"/>
              </w:rPr>
              <w:t>Opportunity (as a</w:t>
            </w:r>
          </w:p>
        </w:tc>
        <w:tc>
          <w:tcPr>
            <w:tcW w:w="21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Achievement of Target</w:t>
            </w:r>
          </w:p>
        </w:tc>
        <w:tc>
          <w:tcPr>
            <w:tcW w:w="1740" w:type="dxa"/>
            <w:vAlign w:val="bottom"/>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0071CE"/>
          </w:tcPr>
          <w:p>
            <w:pPr>
              <w:ind w:left="140"/>
              <w:spacing w:after="0" w:line="149" w:lineRule="exact"/>
              <w:rPr>
                <w:sz w:val="20"/>
                <w:szCs w:val="20"/>
                <w:color w:val="auto"/>
              </w:rPr>
            </w:pPr>
            <w:r>
              <w:rPr>
                <w:rFonts w:ascii="Arial" w:cs="Arial" w:eastAsia="Arial" w:hAnsi="Arial"/>
                <w:sz w:val="14"/>
                <w:szCs w:val="14"/>
                <w:b w:val="1"/>
                <w:bCs w:val="1"/>
                <w:color w:val="FFFFFF"/>
              </w:rPr>
              <w:t>Officer</w:t>
            </w:r>
          </w:p>
        </w:tc>
        <w:tc>
          <w:tcPr>
            <w:tcW w:w="3820" w:type="dxa"/>
            <w:vAlign w:val="bottom"/>
            <w:shd w:val="clear" w:color="auto" w:fill="0071CE"/>
          </w:tcPr>
          <w:p>
            <w:pPr>
              <w:jc w:val="center"/>
              <w:ind w:left="1828"/>
              <w:spacing w:after="0" w:line="149" w:lineRule="exact"/>
              <w:rPr>
                <w:sz w:val="20"/>
                <w:szCs w:val="20"/>
                <w:color w:val="auto"/>
              </w:rPr>
            </w:pPr>
            <w:r>
              <w:rPr>
                <w:rFonts w:ascii="Arial" w:cs="Arial" w:eastAsia="Arial" w:hAnsi="Arial"/>
                <w:sz w:val="14"/>
                <w:szCs w:val="14"/>
                <w:b w:val="1"/>
                <w:bCs w:val="1"/>
                <w:color w:val="FFFFFF"/>
              </w:rPr>
              <w:t>percentage of base</w:t>
            </w:r>
          </w:p>
        </w:tc>
        <w:tc>
          <w:tcPr>
            <w:tcW w:w="2140" w:type="dxa"/>
            <w:vAlign w:val="bottom"/>
            <w:vMerge w:val="continue"/>
            <w:shd w:val="clear" w:color="auto" w:fill="0071CE"/>
          </w:tcPr>
          <w:p>
            <w:pPr>
              <w:spacing w:after="0"/>
              <w:rPr>
                <w:sz w:val="12"/>
                <w:szCs w:val="12"/>
                <w:color w:val="auto"/>
              </w:rPr>
            </w:pPr>
          </w:p>
        </w:tc>
        <w:tc>
          <w:tcPr>
            <w:tcW w:w="1740" w:type="dxa"/>
            <w:vAlign w:val="bottom"/>
            <w:shd w:val="clear" w:color="auto" w:fill="0071CE"/>
          </w:tcPr>
          <w:p>
            <w:pPr>
              <w:jc w:val="right"/>
              <w:ind w:right="268"/>
              <w:spacing w:after="0" w:line="149" w:lineRule="exact"/>
              <w:rPr>
                <w:sz w:val="20"/>
                <w:szCs w:val="20"/>
                <w:color w:val="auto"/>
              </w:rPr>
            </w:pPr>
            <w:r>
              <w:rPr>
                <w:rFonts w:ascii="Arial" w:cs="Arial" w:eastAsia="Arial" w:hAnsi="Arial"/>
                <w:sz w:val="14"/>
                <w:szCs w:val="14"/>
                <w:b w:val="1"/>
                <w:bCs w:val="1"/>
                <w:color w:val="FFFFFF"/>
              </w:rPr>
              <w:t>Incentive Award</w:t>
            </w:r>
          </w:p>
        </w:tc>
        <w:tc>
          <w:tcPr>
            <w:tcW w:w="0" w:type="dxa"/>
            <w:vAlign w:val="bottom"/>
          </w:tcPr>
          <w:p>
            <w:pPr>
              <w:spacing w:after="0"/>
              <w:rPr>
                <w:sz w:val="1"/>
                <w:szCs w:val="1"/>
                <w:color w:val="auto"/>
              </w:rPr>
            </w:pPr>
          </w:p>
        </w:tc>
      </w:tr>
      <w:tr>
        <w:trPr>
          <w:trHeight w:val="189"/>
        </w:trPr>
        <w:tc>
          <w:tcPr>
            <w:tcW w:w="3520" w:type="dxa"/>
            <w:vAlign w:val="bottom"/>
            <w:shd w:val="clear" w:color="auto" w:fill="0071CE"/>
          </w:tcPr>
          <w:p>
            <w:pPr>
              <w:spacing w:after="0"/>
              <w:rPr>
                <w:sz w:val="16"/>
                <w:szCs w:val="16"/>
                <w:color w:val="auto"/>
              </w:rPr>
            </w:pPr>
          </w:p>
        </w:tc>
        <w:tc>
          <w:tcPr>
            <w:tcW w:w="3820" w:type="dxa"/>
            <w:vAlign w:val="bottom"/>
            <w:shd w:val="clear" w:color="auto" w:fill="0071CE"/>
          </w:tcPr>
          <w:p>
            <w:pPr>
              <w:jc w:val="center"/>
              <w:ind w:left="1848"/>
              <w:spacing w:after="0"/>
              <w:rPr>
                <w:sz w:val="20"/>
                <w:szCs w:val="20"/>
                <w:color w:val="auto"/>
              </w:rPr>
            </w:pPr>
            <w:r>
              <w:rPr>
                <w:rFonts w:ascii="Arial" w:cs="Arial" w:eastAsia="Arial" w:hAnsi="Arial"/>
                <w:sz w:val="14"/>
                <w:szCs w:val="14"/>
                <w:b w:val="1"/>
                <w:bCs w:val="1"/>
                <w:color w:val="FFFFFF"/>
              </w:rPr>
              <w:t>salary)</w:t>
            </w:r>
          </w:p>
        </w:tc>
        <w:tc>
          <w:tcPr>
            <w:tcW w:w="21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Bonus</w:t>
            </w:r>
          </w:p>
        </w:tc>
        <w:tc>
          <w:tcPr>
            <w:tcW w:w="1740" w:type="dxa"/>
            <w:vAlign w:val="bottom"/>
            <w:shd w:val="clear" w:color="auto" w:fill="0071CE"/>
          </w:tcPr>
          <w:p>
            <w:pPr>
              <w:jc w:val="right"/>
              <w:ind w:right="7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ind w:left="20"/>
              <w:spacing w:after="0"/>
              <w:rPr>
                <w:sz w:val="20"/>
                <w:szCs w:val="20"/>
                <w:color w:val="auto"/>
              </w:rPr>
            </w:pPr>
            <w:r>
              <w:rPr>
                <w:rFonts w:ascii="Arial" w:cs="Arial" w:eastAsia="Arial" w:hAnsi="Arial"/>
                <w:sz w:val="14"/>
                <w:szCs w:val="14"/>
                <w:color w:val="auto"/>
              </w:rPr>
              <w:t>Dr. Anzalone</w:t>
            </w:r>
          </w:p>
        </w:tc>
        <w:tc>
          <w:tcPr>
            <w:tcW w:w="3820" w:type="dxa"/>
            <w:vAlign w:val="bottom"/>
            <w:shd w:val="clear" w:color="auto" w:fill="E5E5E5"/>
          </w:tcPr>
          <w:p>
            <w:pPr>
              <w:jc w:val="center"/>
              <w:ind w:left="1828"/>
              <w:spacing w:after="0"/>
              <w:rPr>
                <w:sz w:val="20"/>
                <w:szCs w:val="20"/>
                <w:color w:val="auto"/>
              </w:rPr>
            </w:pPr>
            <w:r>
              <w:rPr>
                <w:rFonts w:ascii="Arial" w:cs="Arial" w:eastAsia="Arial" w:hAnsi="Arial"/>
                <w:sz w:val="14"/>
                <w:szCs w:val="14"/>
                <w:color w:val="auto"/>
              </w:rPr>
              <w:t>100%</w:t>
            </w:r>
          </w:p>
        </w:tc>
        <w:tc>
          <w:tcPr>
            <w:tcW w:w="2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125%</w:t>
            </w:r>
          </w:p>
        </w:tc>
        <w:tc>
          <w:tcPr>
            <w:tcW w:w="17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$1,236,000</w:t>
            </w: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rPr>
                <w:sz w:val="20"/>
                <w:szCs w:val="20"/>
                <w:color w:val="auto"/>
              </w:rPr>
            </w:pPr>
            <w:r>
              <w:rPr>
                <w:rFonts w:ascii="Arial" w:cs="Arial" w:eastAsia="Arial" w:hAnsi="Arial"/>
                <w:sz w:val="14"/>
                <w:szCs w:val="14"/>
                <w:color w:val="auto"/>
              </w:rPr>
              <w:t>Mr. Apel (1)</w:t>
            </w:r>
          </w:p>
        </w:tc>
        <w:tc>
          <w:tcPr>
            <w:tcW w:w="3820" w:type="dxa"/>
            <w:vAlign w:val="bottom"/>
          </w:tcPr>
          <w:p>
            <w:pPr>
              <w:jc w:val="center"/>
              <w:ind w:left="1828"/>
              <w:spacing w:after="0"/>
              <w:rPr>
                <w:sz w:val="20"/>
                <w:szCs w:val="20"/>
                <w:color w:val="auto"/>
              </w:rPr>
            </w:pPr>
            <w:r>
              <w:rPr>
                <w:rFonts w:ascii="Arial" w:cs="Arial" w:eastAsia="Arial" w:hAnsi="Arial"/>
                <w:sz w:val="14"/>
                <w:szCs w:val="14"/>
                <w:color w:val="auto"/>
                <w:w w:val="99"/>
              </w:rPr>
              <w:t>45%</w:t>
            </w:r>
          </w:p>
        </w:tc>
        <w:tc>
          <w:tcPr>
            <w:tcW w:w="2140" w:type="dxa"/>
            <w:vAlign w:val="bottom"/>
          </w:tcPr>
          <w:p>
            <w:pPr>
              <w:jc w:val="center"/>
              <w:spacing w:after="0"/>
              <w:rPr>
                <w:sz w:val="20"/>
                <w:szCs w:val="20"/>
                <w:color w:val="auto"/>
              </w:rPr>
            </w:pPr>
            <w:r>
              <w:rPr>
                <w:rFonts w:ascii="Arial" w:cs="Arial" w:eastAsia="Arial" w:hAnsi="Arial"/>
                <w:sz w:val="14"/>
                <w:szCs w:val="14"/>
                <w:color w:val="auto"/>
              </w:rPr>
              <w:t>87.5%</w:t>
            </w:r>
          </w:p>
        </w:tc>
        <w:tc>
          <w:tcPr>
            <w:tcW w:w="1740" w:type="dxa"/>
            <w:vAlign w:val="bottom"/>
          </w:tcPr>
          <w:p>
            <w:pPr>
              <w:jc w:val="right"/>
              <w:ind w:right="168"/>
              <w:spacing w:after="0"/>
              <w:rPr>
                <w:sz w:val="20"/>
                <w:szCs w:val="20"/>
                <w:color w:val="auto"/>
              </w:rPr>
            </w:pPr>
            <w:r>
              <w:rPr>
                <w:rFonts w:ascii="Arial" w:cs="Arial" w:eastAsia="Arial" w:hAnsi="Arial"/>
                <w:sz w:val="14"/>
                <w:szCs w:val="14"/>
                <w:color w:val="auto"/>
              </w:rPr>
              <w:t>$226,406</w:t>
            </w:r>
          </w:p>
        </w:tc>
        <w:tc>
          <w:tcPr>
            <w:tcW w:w="0" w:type="dxa"/>
            <w:vAlign w:val="bottom"/>
          </w:tcPr>
          <w:p>
            <w:pPr>
              <w:spacing w:after="0"/>
              <w:rPr>
                <w:sz w:val="1"/>
                <w:szCs w:val="1"/>
                <w:color w:val="auto"/>
              </w:rPr>
            </w:pPr>
          </w:p>
        </w:tc>
      </w:tr>
      <w:tr>
        <w:trPr>
          <w:trHeight w:val="207"/>
        </w:trPr>
        <w:tc>
          <w:tcPr>
            <w:tcW w:w="3520" w:type="dxa"/>
            <w:vAlign w:val="bottom"/>
            <w:shd w:val="clear" w:color="auto" w:fill="E5E5E5"/>
          </w:tcPr>
          <w:p>
            <w:pPr>
              <w:ind w:left="20"/>
              <w:spacing w:after="0"/>
              <w:rPr>
                <w:sz w:val="20"/>
                <w:szCs w:val="20"/>
                <w:color w:val="auto"/>
              </w:rPr>
            </w:pPr>
            <w:r>
              <w:rPr>
                <w:rFonts w:ascii="Arial" w:cs="Arial" w:eastAsia="Arial" w:hAnsi="Arial"/>
                <w:sz w:val="14"/>
                <w:szCs w:val="14"/>
                <w:color w:val="auto"/>
              </w:rPr>
              <w:t>Mr. O’Brien</w:t>
            </w:r>
          </w:p>
        </w:tc>
        <w:tc>
          <w:tcPr>
            <w:tcW w:w="3820" w:type="dxa"/>
            <w:vAlign w:val="bottom"/>
            <w:shd w:val="clear" w:color="auto" w:fill="E5E5E5"/>
          </w:tcPr>
          <w:p>
            <w:pPr>
              <w:jc w:val="center"/>
              <w:ind w:left="1828"/>
              <w:spacing w:after="0"/>
              <w:rPr>
                <w:sz w:val="20"/>
                <w:szCs w:val="20"/>
                <w:color w:val="auto"/>
              </w:rPr>
            </w:pPr>
            <w:r>
              <w:rPr>
                <w:rFonts w:ascii="Arial" w:cs="Arial" w:eastAsia="Arial" w:hAnsi="Arial"/>
                <w:sz w:val="14"/>
                <w:szCs w:val="14"/>
                <w:color w:val="auto"/>
                <w:w w:val="99"/>
              </w:rPr>
              <w:t>45%</w:t>
            </w:r>
          </w:p>
        </w:tc>
        <w:tc>
          <w:tcPr>
            <w:tcW w:w="2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125%</w:t>
            </w:r>
          </w:p>
        </w:tc>
        <w:tc>
          <w:tcPr>
            <w:tcW w:w="17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$365,638</w:t>
            </w: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rPr>
                <w:sz w:val="20"/>
                <w:szCs w:val="20"/>
                <w:color w:val="auto"/>
              </w:rPr>
            </w:pPr>
            <w:r>
              <w:rPr>
                <w:rFonts w:ascii="Arial" w:cs="Arial" w:eastAsia="Arial" w:hAnsi="Arial"/>
                <w:sz w:val="14"/>
                <w:szCs w:val="14"/>
                <w:color w:val="auto"/>
              </w:rPr>
              <w:t>Dr. Hamilton</w:t>
            </w:r>
          </w:p>
        </w:tc>
        <w:tc>
          <w:tcPr>
            <w:tcW w:w="3820" w:type="dxa"/>
            <w:vAlign w:val="bottom"/>
          </w:tcPr>
          <w:p>
            <w:pPr>
              <w:jc w:val="center"/>
              <w:ind w:left="1828"/>
              <w:spacing w:after="0"/>
              <w:rPr>
                <w:sz w:val="20"/>
                <w:szCs w:val="20"/>
                <w:color w:val="auto"/>
              </w:rPr>
            </w:pPr>
            <w:r>
              <w:rPr>
                <w:rFonts w:ascii="Arial" w:cs="Arial" w:eastAsia="Arial" w:hAnsi="Arial"/>
                <w:sz w:val="14"/>
                <w:szCs w:val="14"/>
                <w:color w:val="auto"/>
                <w:w w:val="99"/>
              </w:rPr>
              <w:t>45%</w:t>
            </w:r>
          </w:p>
        </w:tc>
        <w:tc>
          <w:tcPr>
            <w:tcW w:w="2140" w:type="dxa"/>
            <w:vAlign w:val="bottom"/>
          </w:tcPr>
          <w:p>
            <w:pPr>
              <w:jc w:val="center"/>
              <w:spacing w:after="0"/>
              <w:rPr>
                <w:sz w:val="20"/>
                <w:szCs w:val="20"/>
                <w:color w:val="auto"/>
              </w:rPr>
            </w:pPr>
            <w:r>
              <w:rPr>
                <w:rFonts w:ascii="Arial" w:cs="Arial" w:eastAsia="Arial" w:hAnsi="Arial"/>
                <w:sz w:val="14"/>
                <w:szCs w:val="14"/>
                <w:color w:val="auto"/>
              </w:rPr>
              <w:t>125%</w:t>
            </w:r>
          </w:p>
        </w:tc>
        <w:tc>
          <w:tcPr>
            <w:tcW w:w="1740" w:type="dxa"/>
            <w:vAlign w:val="bottom"/>
          </w:tcPr>
          <w:p>
            <w:pPr>
              <w:jc w:val="right"/>
              <w:ind w:right="168"/>
              <w:spacing w:after="0"/>
              <w:rPr>
                <w:sz w:val="20"/>
                <w:szCs w:val="20"/>
                <w:color w:val="auto"/>
              </w:rPr>
            </w:pPr>
            <w:r>
              <w:rPr>
                <w:rFonts w:ascii="Arial" w:cs="Arial" w:eastAsia="Arial" w:hAnsi="Arial"/>
                <w:sz w:val="14"/>
                <w:szCs w:val="14"/>
                <w:color w:val="auto"/>
              </w:rPr>
              <w:t>$354,627</w:t>
            </w:r>
          </w:p>
        </w:tc>
        <w:tc>
          <w:tcPr>
            <w:tcW w:w="0" w:type="dxa"/>
            <w:vAlign w:val="bottom"/>
          </w:tcPr>
          <w:p>
            <w:pPr>
              <w:spacing w:after="0"/>
              <w:rPr>
                <w:sz w:val="1"/>
                <w:szCs w:val="1"/>
                <w:color w:val="auto"/>
              </w:rPr>
            </w:pPr>
          </w:p>
        </w:tc>
      </w:tr>
      <w:tr>
        <w:trPr>
          <w:trHeight w:val="207"/>
        </w:trPr>
        <w:tc>
          <w:tcPr>
            <w:tcW w:w="3520" w:type="dxa"/>
            <w:vAlign w:val="bottom"/>
            <w:shd w:val="clear" w:color="auto" w:fill="E5E5E5"/>
          </w:tcPr>
          <w:p>
            <w:pPr>
              <w:ind w:left="20"/>
              <w:spacing w:after="0"/>
              <w:rPr>
                <w:sz w:val="20"/>
                <w:szCs w:val="20"/>
                <w:color w:val="auto"/>
              </w:rPr>
            </w:pPr>
            <w:r>
              <w:rPr>
                <w:rFonts w:ascii="Arial" w:cs="Arial" w:eastAsia="Arial" w:hAnsi="Arial"/>
                <w:sz w:val="14"/>
                <w:szCs w:val="14"/>
                <w:color w:val="auto"/>
              </w:rPr>
              <w:t>Mr. Myszkowski (2)</w:t>
            </w:r>
          </w:p>
        </w:tc>
        <w:tc>
          <w:tcPr>
            <w:tcW w:w="3820" w:type="dxa"/>
            <w:vAlign w:val="bottom"/>
            <w:shd w:val="clear" w:color="auto" w:fill="E5E5E5"/>
          </w:tcPr>
          <w:p>
            <w:pPr>
              <w:jc w:val="center"/>
              <w:ind w:left="1828"/>
              <w:spacing w:after="0"/>
              <w:rPr>
                <w:sz w:val="20"/>
                <w:szCs w:val="20"/>
                <w:color w:val="auto"/>
              </w:rPr>
            </w:pPr>
            <w:r>
              <w:rPr>
                <w:rFonts w:ascii="Arial" w:cs="Arial" w:eastAsia="Arial" w:hAnsi="Arial"/>
                <w:sz w:val="14"/>
                <w:szCs w:val="14"/>
                <w:color w:val="auto"/>
                <w:w w:val="99"/>
              </w:rPr>
              <w:t>45%</w:t>
            </w:r>
          </w:p>
        </w:tc>
        <w:tc>
          <w:tcPr>
            <w:tcW w:w="2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57%</w:t>
            </w:r>
          </w:p>
        </w:tc>
        <w:tc>
          <w:tcPr>
            <w:tcW w:w="17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$155,776</w:t>
            </w:r>
          </w:p>
        </w:tc>
        <w:tc>
          <w:tcPr>
            <w:tcW w:w="0" w:type="dxa"/>
            <w:vAlign w:val="bottom"/>
          </w:tcPr>
          <w:p>
            <w:pPr>
              <w:spacing w:after="0"/>
              <w:rPr>
                <w:sz w:val="1"/>
                <w:szCs w:val="1"/>
                <w:color w:val="auto"/>
              </w:rPr>
            </w:pPr>
          </w:p>
        </w:tc>
      </w:tr>
      <w:tr>
        <w:trPr>
          <w:trHeight w:val="198"/>
        </w:trPr>
        <w:tc>
          <w:tcPr>
            <w:tcW w:w="3520" w:type="dxa"/>
            <w:vAlign w:val="bottom"/>
            <w:tcBorders>
              <w:bottom w:val="single" w:sz="8" w:color="0071CE"/>
            </w:tcBorders>
          </w:tcPr>
          <w:p>
            <w:pPr>
              <w:ind w:left="20"/>
              <w:spacing w:after="0"/>
              <w:rPr>
                <w:sz w:val="20"/>
                <w:szCs w:val="20"/>
                <w:color w:val="auto"/>
              </w:rPr>
            </w:pPr>
            <w:r>
              <w:rPr>
                <w:rFonts w:ascii="Arial" w:cs="Arial" w:eastAsia="Arial" w:hAnsi="Arial"/>
                <w:sz w:val="14"/>
                <w:szCs w:val="14"/>
                <w:color w:val="auto"/>
              </w:rPr>
              <w:t>Ms. Oliver (3)</w:t>
            </w:r>
          </w:p>
        </w:tc>
        <w:tc>
          <w:tcPr>
            <w:tcW w:w="3820" w:type="dxa"/>
            <w:vAlign w:val="bottom"/>
            <w:tcBorders>
              <w:bottom w:val="single" w:sz="8" w:color="0071CE"/>
            </w:tcBorders>
          </w:tcPr>
          <w:p>
            <w:pPr>
              <w:jc w:val="center"/>
              <w:ind w:left="1828"/>
              <w:spacing w:after="0"/>
              <w:rPr>
                <w:sz w:val="20"/>
                <w:szCs w:val="20"/>
                <w:color w:val="auto"/>
              </w:rPr>
            </w:pPr>
            <w:r>
              <w:rPr>
                <w:rFonts w:ascii="Arial" w:cs="Arial" w:eastAsia="Arial" w:hAnsi="Arial"/>
                <w:sz w:val="14"/>
                <w:szCs w:val="14"/>
                <w:color w:val="auto"/>
                <w:w w:val="99"/>
              </w:rPr>
              <w:t>40%</w:t>
            </w:r>
          </w:p>
        </w:tc>
        <w:tc>
          <w:tcPr>
            <w:tcW w:w="2140" w:type="dxa"/>
            <w:vAlign w:val="bottom"/>
            <w:tcBorders>
              <w:bottom w:val="single" w:sz="8" w:color="0071CE"/>
            </w:tcBorders>
          </w:tcPr>
          <w:p>
            <w:pPr>
              <w:jc w:val="center"/>
              <w:spacing w:after="0"/>
              <w:rPr>
                <w:sz w:val="20"/>
                <w:szCs w:val="20"/>
                <w:color w:val="auto"/>
              </w:rPr>
            </w:pPr>
            <w:r>
              <w:rPr>
                <w:rFonts w:ascii="Arial" w:cs="Arial" w:eastAsia="Arial" w:hAnsi="Arial"/>
                <w:sz w:val="14"/>
                <w:szCs w:val="14"/>
                <w:color w:val="auto"/>
                <w:w w:val="98"/>
              </w:rPr>
              <w:t>—%</w:t>
            </w:r>
          </w:p>
        </w:tc>
        <w:tc>
          <w:tcPr>
            <w:tcW w:w="1740" w:type="dxa"/>
            <w:vAlign w:val="bottom"/>
            <w:tcBorders>
              <w:bottom w:val="single" w:sz="8" w:color="0071CE"/>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Apel's annual bonus was prorated as he joined the Company in April 2025.</w:t>
      </w:r>
    </w:p>
    <w:p>
      <w:pPr>
        <w:spacing w:after="0" w:line="15" w:lineRule="exact"/>
        <w:rPr>
          <w:rFonts w:ascii="Arial" w:cs="Arial" w:eastAsia="Arial" w:hAnsi="Arial"/>
          <w:sz w:val="14"/>
          <w:szCs w:val="14"/>
          <w:color w:val="auto"/>
        </w:rPr>
      </w:pPr>
    </w:p>
    <w:p>
      <w:pPr>
        <w:ind w:left="220" w:hanging="212"/>
        <w:spacing w:after="0" w:line="221" w:lineRule="auto"/>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Myszkowski served as the Company's Chief Financial Officer until May 2025 and received a prorated target bonus.</w:t>
      </w: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 and did not receive an annual incentive award.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annual cash incentive award payments made to our NEOs for fiscal 2025 are set forth in the “Fiscal 2025 Summary Compensation Table”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NEOs, to create value for our stockholders. Equity awards also help us retain qualified executive officers in a competitive market.</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Long-Term Incentive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for Chief Executive Officer</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CEO's fiscal 2025 award was designed as a combination of time-based RSUs and performance share unit (PRSU) awards, which were designed to be valued so as to give our CEO compensation equal to approximately the median of our peer group. Specifically, the award consisted of:</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A time-based RSU award of 100,000 RSUs to vest in four equal, annual amounts of 25,000 RSUs;</w:t>
      </w:r>
    </w:p>
    <w:p>
      <w:pPr>
        <w:spacing w:after="0" w:line="21" w:lineRule="exact"/>
        <w:rPr>
          <w:sz w:val="20"/>
          <w:szCs w:val="20"/>
          <w:color w:val="auto"/>
        </w:rPr>
      </w:pPr>
    </w:p>
    <w:p>
      <w:pPr>
        <w:ind w:left="340"/>
        <w:spacing w:after="0" w:line="228" w:lineRule="auto"/>
        <w:rPr>
          <w:sz w:val="20"/>
          <w:szCs w:val="20"/>
          <w:color w:val="auto"/>
        </w:rPr>
      </w:pPr>
      <w:r>
        <w:rPr>
          <w:rFonts w:ascii="Arial" w:cs="Arial" w:eastAsia="Arial" w:hAnsi="Arial"/>
          <w:sz w:val="16"/>
          <w:szCs w:val="16"/>
          <w:color w:val="auto"/>
        </w:rPr>
        <w:t>–   PRSU awards subject to the following performance goals:</w:t>
      </w:r>
    </w:p>
    <w:p>
      <w:pPr>
        <w:ind w:left="980"/>
        <w:spacing w:after="0"/>
        <w:rPr>
          <w:sz w:val="20"/>
          <w:szCs w:val="20"/>
          <w:color w:val="auto"/>
        </w:rPr>
      </w:pPr>
      <w:r>
        <w:rPr>
          <w:rFonts w:ascii="Arial" w:cs="Arial" w:eastAsia="Arial" w:hAnsi="Arial"/>
          <w:sz w:val="16"/>
          <w:szCs w:val="16"/>
          <w:color w:val="auto"/>
        </w:rPr>
        <w:t>–   75,000 shares to vest upon filing of an sNDA for the sHTG indication of plozasiran;</w:t>
      </w:r>
    </w:p>
    <w:p>
      <w:pPr>
        <w:spacing w:after="0" w:line="5" w:lineRule="exact"/>
        <w:rPr>
          <w:sz w:val="20"/>
          <w:szCs w:val="20"/>
          <w:color w:val="auto"/>
        </w:rPr>
      </w:pPr>
    </w:p>
    <w:p>
      <w:pPr>
        <w:ind w:left="1300" w:right="580" w:hanging="324"/>
        <w:spacing w:after="0" w:line="228" w:lineRule="auto"/>
        <w:rPr>
          <w:sz w:val="20"/>
          <w:szCs w:val="20"/>
          <w:color w:val="auto"/>
        </w:rPr>
      </w:pPr>
      <w:r>
        <w:rPr>
          <w:rFonts w:ascii="Arial" w:cs="Arial" w:eastAsia="Arial" w:hAnsi="Arial"/>
          <w:sz w:val="16"/>
          <w:szCs w:val="16"/>
          <w:color w:val="auto"/>
        </w:rPr>
        <w:t>– 75,000 shares to vest upon the first patient to be screened in a Phase 2 clinical trial for a drug targeting the central nervous system (whether wholly owned or partnered); and</w:t>
      </w:r>
    </w:p>
    <w:p>
      <w:pPr>
        <w:spacing w:after="0" w:line="1" w:lineRule="exact"/>
        <w:rPr>
          <w:sz w:val="20"/>
          <w:szCs w:val="20"/>
          <w:color w:val="auto"/>
        </w:rPr>
      </w:pPr>
    </w:p>
    <w:p>
      <w:pPr>
        <w:ind w:left="1300" w:right="720" w:hanging="324"/>
        <w:spacing w:after="0" w:line="265" w:lineRule="auto"/>
        <w:rPr>
          <w:sz w:val="20"/>
          <w:szCs w:val="20"/>
          <w:color w:val="auto"/>
        </w:rPr>
      </w:pPr>
      <w:r>
        <w:rPr>
          <w:rFonts w:ascii="Arial" w:cs="Arial" w:eastAsia="Arial" w:hAnsi="Arial"/>
          <w:sz w:val="16"/>
          <w:szCs w:val="16"/>
          <w:color w:val="auto"/>
        </w:rPr>
        <w:t>– 75,000 shares to vest upon the first patient to be screened in a Phase 2 clinical trial for an obesity drug (whether wholly owned or partnered).</w:t>
      </w:r>
    </w:p>
    <w:p>
      <w:pPr>
        <w:spacing w:after="0" w:line="185"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In addition to the fiscal 2025 awards described above, the Board determined that it was in the best interest of the Company to extend the CEO's performance awards expiring at the end of calendar year 2024 or beginning of calendar year 2025 for an additional four years. The Compensation Committee discussed the performance of the CEO and considered whether the expiration of the awards would result in equitable and fair treatment of the CEO's performance. After considering various factors including the status of and the progress toward the performance milestones, and in consideration of external market forces during the period beyond the CEO’s control, as well as the additional time needed to achieve the milestones, the Compensation Committee determined that it was in the best interest of the Company to have the CEO continue to be incentivized to meet the goals given the substantial progress that had already been made toward their achievement. Although these awards are shown in the compensation table as part of the value of the CEO's long term incentive compensation for Fiscal 2025 in accordance with SEC disclosure rules, the Compensation Committee notes that these awards were fully disclosed as compensation in previous proxy statements and therefore does not deem this to be a core part of his fiscal 2025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500380</wp:posOffset>
            </wp:positionV>
            <wp:extent cx="98615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5" w:name="page46"/>
    <w:bookmarkEnd w:id="45"/>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ind w:right="20"/>
        <w:spacing w:after="0"/>
        <w:tabs>
          <w:tab w:leader="none" w:pos="172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from PRSU Awards Previously Granted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fiscal 2025, the Compensation Committee certified achievement of the performance milestones relating to the following PRSU awards: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vMerge w:val="restart"/>
            <w:shd w:val="clear" w:color="auto" w:fill="0071CE"/>
          </w:tcPr>
          <w:p>
            <w:pPr>
              <w:ind w:left="1220"/>
              <w:spacing w:after="0"/>
              <w:rPr>
                <w:sz w:val="20"/>
                <w:szCs w:val="20"/>
                <w:color w:val="auto"/>
              </w:rPr>
            </w:pPr>
            <w:r>
              <w:rPr>
                <w:rFonts w:ascii="Arial" w:cs="Arial" w:eastAsia="Arial" w:hAnsi="Arial"/>
                <w:sz w:val="14"/>
                <w:szCs w:val="14"/>
                <w:b w:val="1"/>
                <w:bCs w:val="1"/>
                <w:color w:val="FFFFFF"/>
              </w:rPr>
              <w:t>Performance Goal</w:t>
            </w:r>
          </w:p>
        </w:tc>
        <w:tc>
          <w:tcPr>
            <w:tcW w:w="3460" w:type="dxa"/>
            <w:vAlign w:val="bottom"/>
            <w:vMerge w:val="restart"/>
            <w:shd w:val="clear" w:color="auto" w:fill="0071CE"/>
          </w:tcPr>
          <w:p>
            <w:pPr>
              <w:ind w:left="1700"/>
              <w:spacing w:after="0"/>
              <w:rPr>
                <w:sz w:val="20"/>
                <w:szCs w:val="20"/>
                <w:color w:val="auto"/>
              </w:rPr>
            </w:pPr>
            <w:r>
              <w:rPr>
                <w:rFonts w:ascii="Arial" w:cs="Arial" w:eastAsia="Arial" w:hAnsi="Arial"/>
                <w:sz w:val="14"/>
                <w:szCs w:val="14"/>
                <w:b w:val="1"/>
                <w:bCs w:val="1"/>
                <w:color w:val="FFFFFF"/>
              </w:rPr>
              <w:t>Achievement</w:t>
            </w:r>
          </w:p>
        </w:tc>
        <w:tc>
          <w:tcPr>
            <w:tcW w:w="4100" w:type="dxa"/>
            <w:vAlign w:val="bottom"/>
            <w:shd w:val="clear" w:color="auto" w:fill="0071CE"/>
          </w:tcPr>
          <w:p>
            <w:pPr>
              <w:jc w:val="center"/>
              <w:ind w:left="765"/>
              <w:spacing w:after="0"/>
              <w:rPr>
                <w:sz w:val="20"/>
                <w:szCs w:val="20"/>
                <w:color w:val="auto"/>
              </w:rPr>
            </w:pPr>
            <w:r>
              <w:rPr>
                <w:rFonts w:ascii="Arial" w:cs="Arial" w:eastAsia="Arial" w:hAnsi="Arial"/>
                <w:sz w:val="14"/>
                <w:szCs w:val="14"/>
                <w:b w:val="1"/>
                <w:bCs w:val="1"/>
                <w:color w:val="FFFFFF"/>
              </w:rPr>
              <w:t>No. of Shares</w:t>
            </w:r>
          </w:p>
        </w:tc>
        <w:tc>
          <w:tcPr>
            <w:tcW w:w="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80" w:type="dxa"/>
            <w:vAlign w:val="bottom"/>
            <w:vMerge w:val="continue"/>
            <w:shd w:val="clear" w:color="auto" w:fill="0071CE"/>
          </w:tcPr>
          <w:p>
            <w:pPr>
              <w:spacing w:after="0"/>
              <w:rPr>
                <w:sz w:val="17"/>
                <w:szCs w:val="17"/>
                <w:color w:val="auto"/>
              </w:rPr>
            </w:pPr>
          </w:p>
        </w:tc>
        <w:tc>
          <w:tcPr>
            <w:tcW w:w="3460" w:type="dxa"/>
            <w:vAlign w:val="bottom"/>
            <w:vMerge w:val="continue"/>
            <w:shd w:val="clear" w:color="auto" w:fill="0071CE"/>
          </w:tcPr>
          <w:p>
            <w:pPr>
              <w:spacing w:after="0"/>
              <w:rPr>
                <w:sz w:val="17"/>
                <w:szCs w:val="17"/>
                <w:color w:val="auto"/>
              </w:rPr>
            </w:pPr>
          </w:p>
        </w:tc>
        <w:tc>
          <w:tcPr>
            <w:tcW w:w="4100" w:type="dxa"/>
            <w:vAlign w:val="bottom"/>
            <w:shd w:val="clear" w:color="auto" w:fill="0071CE"/>
          </w:tcPr>
          <w:p>
            <w:pPr>
              <w:jc w:val="center"/>
              <w:ind w:left="765"/>
              <w:spacing w:after="0"/>
              <w:rPr>
                <w:sz w:val="20"/>
                <w:szCs w:val="20"/>
                <w:color w:val="auto"/>
              </w:rPr>
            </w:pPr>
            <w:r>
              <w:rPr>
                <w:rFonts w:ascii="Arial" w:cs="Arial" w:eastAsia="Arial" w:hAnsi="Arial"/>
                <w:sz w:val="14"/>
                <w:szCs w:val="14"/>
                <w:b w:val="1"/>
                <w:bCs w:val="1"/>
                <w:color w:val="FFFFFF"/>
              </w:rPr>
              <w:t>Certified as Vested</w:t>
            </w:r>
          </w:p>
        </w:tc>
        <w:tc>
          <w:tcPr>
            <w:tcW w:w="20" w:type="dxa"/>
            <w:vAlign w:val="bottom"/>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80" w:type="dxa"/>
            <w:vAlign w:val="bottom"/>
            <w:shd w:val="clear" w:color="auto" w:fill="0071CE"/>
          </w:tcPr>
          <w:p>
            <w:pPr>
              <w:spacing w:after="0"/>
              <w:rPr>
                <w:sz w:val="15"/>
                <w:szCs w:val="15"/>
                <w:color w:val="auto"/>
              </w:rPr>
            </w:pPr>
          </w:p>
        </w:tc>
        <w:tc>
          <w:tcPr>
            <w:tcW w:w="3460" w:type="dxa"/>
            <w:vAlign w:val="bottom"/>
            <w:shd w:val="clear" w:color="auto" w:fill="0071CE"/>
          </w:tcPr>
          <w:p>
            <w:pPr>
              <w:spacing w:after="0"/>
              <w:rPr>
                <w:sz w:val="15"/>
                <w:szCs w:val="15"/>
                <w:color w:val="auto"/>
              </w:rPr>
            </w:pPr>
          </w:p>
        </w:tc>
        <w:tc>
          <w:tcPr>
            <w:tcW w:w="410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Achievement of 15 Arrowhead-Discovered drugs</w:t>
            </w:r>
          </w:p>
        </w:tc>
        <w:tc>
          <w:tcPr>
            <w:tcW w:w="3460" w:type="dxa"/>
            <w:vAlign w:val="bottom"/>
            <w:shd w:val="clear" w:color="auto" w:fill="E5E5E5"/>
          </w:tcPr>
          <w:p>
            <w:pPr>
              <w:ind w:left="280"/>
              <w:spacing w:after="0"/>
              <w:rPr>
                <w:sz w:val="20"/>
                <w:szCs w:val="20"/>
                <w:color w:val="auto"/>
              </w:rPr>
            </w:pPr>
            <w:r>
              <w:rPr>
                <w:rFonts w:ascii="Arial" w:cs="Arial" w:eastAsia="Arial" w:hAnsi="Arial"/>
                <w:sz w:val="16"/>
                <w:szCs w:val="16"/>
                <w:color w:val="auto"/>
              </w:rPr>
              <w:t>Certified in July 2025.</w:t>
            </w:r>
          </w:p>
        </w:tc>
        <w:tc>
          <w:tcPr>
            <w:tcW w:w="4100" w:type="dxa"/>
            <w:vAlign w:val="bottom"/>
            <w:shd w:val="clear" w:color="auto" w:fill="E5E5E5"/>
          </w:tcPr>
          <w:p>
            <w:pPr>
              <w:ind w:left="860"/>
              <w:spacing w:after="0"/>
              <w:rPr>
                <w:sz w:val="20"/>
                <w:szCs w:val="20"/>
                <w:color w:val="auto"/>
              </w:rPr>
            </w:pPr>
            <w:r>
              <w:rPr>
                <w:rFonts w:ascii="Arial" w:cs="Arial" w:eastAsia="Arial" w:hAnsi="Arial"/>
                <w:sz w:val="16"/>
                <w:szCs w:val="16"/>
                <w:color w:val="auto"/>
              </w:rPr>
              <w:t>49,760 shares pursuant to a PRSU award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80" w:type="dxa"/>
            <w:vAlign w:val="bottom"/>
            <w:shd w:val="clear" w:color="auto" w:fill="E5E5E5"/>
          </w:tcPr>
          <w:p>
            <w:pPr>
              <w:ind w:left="20"/>
              <w:spacing w:after="0" w:line="135" w:lineRule="exact"/>
              <w:rPr>
                <w:sz w:val="20"/>
                <w:szCs w:val="20"/>
                <w:color w:val="auto"/>
              </w:rPr>
            </w:pPr>
            <w:r>
              <w:rPr>
                <w:rFonts w:ascii="Arial" w:cs="Arial" w:eastAsia="Arial" w:hAnsi="Arial"/>
                <w:sz w:val="15"/>
                <w:szCs w:val="15"/>
                <w:color w:val="auto"/>
              </w:rPr>
              <w:t>in clinical study or clinical use, inclusive of wholly-</w:t>
            </w:r>
          </w:p>
        </w:tc>
        <w:tc>
          <w:tcPr>
            <w:tcW w:w="3460" w:type="dxa"/>
            <w:vAlign w:val="bottom"/>
            <w:shd w:val="clear" w:color="auto" w:fill="E5E5E5"/>
          </w:tcPr>
          <w:p>
            <w:pPr>
              <w:spacing w:after="0"/>
              <w:rPr>
                <w:sz w:val="11"/>
                <w:szCs w:val="11"/>
                <w:color w:val="auto"/>
              </w:rPr>
            </w:pPr>
          </w:p>
        </w:tc>
        <w:tc>
          <w:tcPr>
            <w:tcW w:w="410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E5E5E5"/>
          </w:tcPr>
          <w:p>
            <w:pPr>
              <w:ind w:left="20"/>
              <w:spacing w:after="0"/>
              <w:rPr>
                <w:sz w:val="20"/>
                <w:szCs w:val="20"/>
                <w:color w:val="auto"/>
              </w:rPr>
            </w:pPr>
            <w:r>
              <w:rPr>
                <w:rFonts w:ascii="Arial" w:cs="Arial" w:eastAsia="Arial" w:hAnsi="Arial"/>
                <w:sz w:val="16"/>
                <w:szCs w:val="16"/>
                <w:color w:val="auto"/>
              </w:rPr>
              <w:t>owned and out licensed drugs.</w:t>
            </w:r>
          </w:p>
        </w:tc>
        <w:tc>
          <w:tcPr>
            <w:tcW w:w="3460" w:type="dxa"/>
            <w:vAlign w:val="bottom"/>
            <w:shd w:val="clear" w:color="auto" w:fill="E5E5E5"/>
          </w:tcPr>
          <w:p>
            <w:pPr>
              <w:spacing w:after="0"/>
              <w:rPr>
                <w:sz w:val="18"/>
                <w:szCs w:val="18"/>
                <w:color w:val="auto"/>
              </w:rPr>
            </w:pPr>
          </w:p>
        </w:tc>
        <w:tc>
          <w:tcPr>
            <w:tcW w:w="41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68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6"/>
                <w:szCs w:val="16"/>
                <w:i w:val="1"/>
                <w:iCs w:val="1"/>
                <w:color w:val="auto"/>
              </w:rPr>
              <w:t>Granted 1/2022 and Modified 7/2022</w:t>
            </w:r>
          </w:p>
        </w:tc>
        <w:tc>
          <w:tcPr>
            <w:tcW w:w="3460" w:type="dxa"/>
            <w:vAlign w:val="bottom"/>
            <w:tcBorders>
              <w:bottom w:val="single" w:sz="8" w:color="0071CE"/>
            </w:tcBorders>
            <w:shd w:val="clear" w:color="auto" w:fill="E5E5E5"/>
          </w:tcPr>
          <w:p>
            <w:pPr>
              <w:spacing w:after="0"/>
              <w:rPr>
                <w:sz w:val="24"/>
                <w:szCs w:val="24"/>
                <w:color w:val="auto"/>
              </w:rPr>
            </w:pPr>
          </w:p>
        </w:tc>
        <w:tc>
          <w:tcPr>
            <w:tcW w:w="4100" w:type="dxa"/>
            <w:vAlign w:val="bottom"/>
            <w:tcBorders>
              <w:bottom w:val="single" w:sz="8" w:color="0071CE"/>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 for Other Named Executive Officers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approved the following aggregate RSU awards for our other NEOs for 2025:</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4760" w:type="dxa"/>
            <w:vAlign w:val="bottom"/>
            <w:shd w:val="clear" w:color="auto" w:fill="0071CE"/>
          </w:tcPr>
          <w:p>
            <w:pPr>
              <w:jc w:val="center"/>
              <w:ind w:left="1788"/>
              <w:spacing w:after="0"/>
              <w:rPr>
                <w:sz w:val="20"/>
                <w:szCs w:val="20"/>
                <w:color w:val="auto"/>
              </w:rPr>
            </w:pPr>
            <w:r>
              <w:rPr>
                <w:rFonts w:ascii="Arial" w:cs="Arial" w:eastAsia="Arial" w:hAnsi="Arial"/>
                <w:sz w:val="14"/>
                <w:szCs w:val="14"/>
                <w:b w:val="1"/>
                <w:bCs w:val="1"/>
                <w:color w:val="FFFFFF"/>
              </w:rPr>
              <w:t>Restricted Stock Unit</w:t>
            </w:r>
          </w:p>
        </w:tc>
        <w:tc>
          <w:tcPr>
            <w:tcW w:w="2560" w:type="dxa"/>
            <w:vAlign w:val="bottom"/>
            <w:shd w:val="clear" w:color="auto" w:fill="0071CE"/>
          </w:tcPr>
          <w:p>
            <w:pPr>
              <w:jc w:val="center"/>
              <w:ind w:left="308"/>
              <w:spacing w:after="0"/>
              <w:rPr>
                <w:sz w:val="20"/>
                <w:szCs w:val="20"/>
                <w:color w:val="auto"/>
              </w:rPr>
            </w:pPr>
            <w:r>
              <w:rPr>
                <w:rFonts w:ascii="Arial" w:cs="Arial" w:eastAsia="Arial" w:hAnsi="Arial"/>
                <w:sz w:val="14"/>
                <w:szCs w:val="14"/>
                <w:b w:val="1"/>
                <w:bCs w:val="1"/>
                <w:color w:val="FFFFFF"/>
              </w:rPr>
              <w:t>Restricted Stock Unit</w:t>
            </w:r>
          </w:p>
        </w:tc>
        <w:tc>
          <w:tcPr>
            <w:tcW w:w="0" w:type="dxa"/>
            <w:vAlign w:val="bottom"/>
          </w:tcPr>
          <w:p>
            <w:pPr>
              <w:spacing w:after="0"/>
              <w:rPr>
                <w:sz w:val="1"/>
                <w:szCs w:val="1"/>
                <w:color w:val="auto"/>
              </w:rPr>
            </w:pPr>
          </w:p>
        </w:tc>
      </w:tr>
      <w:tr>
        <w:trPr>
          <w:trHeight w:val="126"/>
        </w:trPr>
        <w:tc>
          <w:tcPr>
            <w:tcW w:w="3900" w:type="dxa"/>
            <w:vAlign w:val="bottom"/>
            <w:vMerge w:val="continue"/>
            <w:shd w:val="clear" w:color="auto" w:fill="0071CE"/>
          </w:tcPr>
          <w:p>
            <w:pPr>
              <w:spacing w:after="0"/>
              <w:rPr>
                <w:sz w:val="10"/>
                <w:szCs w:val="10"/>
                <w:color w:val="auto"/>
              </w:rPr>
            </w:pPr>
          </w:p>
        </w:tc>
        <w:tc>
          <w:tcPr>
            <w:tcW w:w="4760" w:type="dxa"/>
            <w:vAlign w:val="bottom"/>
            <w:shd w:val="clear" w:color="auto" w:fill="0071CE"/>
          </w:tcPr>
          <w:p>
            <w:pPr>
              <w:jc w:val="center"/>
              <w:ind w:left="1768"/>
              <w:spacing w:after="0" w:line="127" w:lineRule="exact"/>
              <w:rPr>
                <w:sz w:val="20"/>
                <w:szCs w:val="20"/>
                <w:color w:val="auto"/>
              </w:rPr>
            </w:pPr>
            <w:r>
              <w:rPr>
                <w:rFonts w:ascii="Arial" w:cs="Arial" w:eastAsia="Arial" w:hAnsi="Arial"/>
                <w:sz w:val="14"/>
                <w:szCs w:val="14"/>
                <w:b w:val="1"/>
                <w:bCs w:val="1"/>
                <w:color w:val="FFFFFF"/>
              </w:rPr>
              <w:t>Awards</w:t>
            </w:r>
          </w:p>
        </w:tc>
        <w:tc>
          <w:tcPr>
            <w:tcW w:w="2560" w:type="dxa"/>
            <w:vAlign w:val="bottom"/>
            <w:shd w:val="clear" w:color="auto" w:fill="0071CE"/>
          </w:tcPr>
          <w:p>
            <w:pPr>
              <w:jc w:val="center"/>
              <w:ind w:left="328"/>
              <w:spacing w:after="0" w:line="127"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11"/>
        </w:trPr>
        <w:tc>
          <w:tcPr>
            <w:tcW w:w="390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Officer</w:t>
            </w:r>
          </w:p>
        </w:tc>
        <w:tc>
          <w:tcPr>
            <w:tcW w:w="4760" w:type="dxa"/>
            <w:vAlign w:val="bottom"/>
            <w:shd w:val="clear" w:color="auto" w:fill="0071CE"/>
          </w:tcPr>
          <w:p>
            <w:pPr>
              <w:jc w:val="center"/>
              <w:ind w:left="1788"/>
              <w:spacing w:after="0"/>
              <w:rPr>
                <w:sz w:val="20"/>
                <w:szCs w:val="20"/>
                <w:color w:val="auto"/>
              </w:rPr>
            </w:pPr>
            <w:r>
              <w:rPr>
                <w:rFonts w:ascii="Arial" w:cs="Arial" w:eastAsia="Arial" w:hAnsi="Arial"/>
                <w:sz w:val="14"/>
                <w:szCs w:val="14"/>
                <w:b w:val="1"/>
                <w:bCs w:val="1"/>
                <w:color w:val="FFFFFF"/>
              </w:rPr>
              <w:t>(number of shares)</w:t>
            </w:r>
          </w:p>
        </w:tc>
        <w:tc>
          <w:tcPr>
            <w:tcW w:w="2560" w:type="dxa"/>
            <w:vAlign w:val="bottom"/>
            <w:shd w:val="clear" w:color="auto" w:fill="0071CE"/>
          </w:tcPr>
          <w:p>
            <w:pPr>
              <w:jc w:val="center"/>
              <w:ind w:left="348"/>
              <w:spacing w:after="0"/>
              <w:rPr>
                <w:sz w:val="20"/>
                <w:szCs w:val="20"/>
                <w:color w:val="auto"/>
              </w:rPr>
            </w:pPr>
            <w:r>
              <w:rPr>
                <w:rFonts w:ascii="Arial" w:cs="Arial" w:eastAsia="Arial" w:hAnsi="Arial"/>
                <w:sz w:val="14"/>
                <w:szCs w:val="14"/>
                <w:b w:val="1"/>
                <w:bCs w:val="1"/>
                <w:color w:val="FFFFFF"/>
                <w:w w:val="99"/>
              </w:rPr>
              <w:t>($)(1)</w:t>
            </w:r>
          </w:p>
        </w:tc>
        <w:tc>
          <w:tcPr>
            <w:tcW w:w="0" w:type="dxa"/>
            <w:vAlign w:val="bottom"/>
          </w:tcPr>
          <w:p>
            <w:pPr>
              <w:spacing w:after="0"/>
              <w:rPr>
                <w:sz w:val="1"/>
                <w:szCs w:val="1"/>
                <w:color w:val="auto"/>
              </w:rPr>
            </w:pPr>
          </w:p>
        </w:tc>
      </w:tr>
      <w:tr>
        <w:trPr>
          <w:trHeight w:val="203"/>
        </w:trPr>
        <w:tc>
          <w:tcPr>
            <w:tcW w:w="3900" w:type="dxa"/>
            <w:vAlign w:val="bottom"/>
            <w:shd w:val="clear" w:color="auto" w:fill="E5E5E5"/>
          </w:tcPr>
          <w:p>
            <w:pPr>
              <w:ind w:left="120"/>
              <w:spacing w:after="0"/>
              <w:rPr>
                <w:sz w:val="20"/>
                <w:szCs w:val="20"/>
                <w:color w:val="auto"/>
              </w:rPr>
            </w:pPr>
            <w:r>
              <w:rPr>
                <w:rFonts w:ascii="Arial" w:cs="Arial" w:eastAsia="Arial" w:hAnsi="Arial"/>
                <w:sz w:val="14"/>
                <w:szCs w:val="14"/>
                <w:color w:val="auto"/>
              </w:rPr>
              <w:t>Mr. Apel (2)</w:t>
            </w:r>
          </w:p>
        </w:tc>
        <w:tc>
          <w:tcPr>
            <w:tcW w:w="4760" w:type="dxa"/>
            <w:vAlign w:val="bottom"/>
            <w:shd w:val="clear" w:color="auto" w:fill="E5E5E5"/>
          </w:tcPr>
          <w:p>
            <w:pPr>
              <w:jc w:val="center"/>
              <w:ind w:left="1768"/>
              <w:spacing w:after="0"/>
              <w:rPr>
                <w:sz w:val="20"/>
                <w:szCs w:val="20"/>
                <w:color w:val="auto"/>
              </w:rPr>
            </w:pPr>
            <w:r>
              <w:rPr>
                <w:rFonts w:ascii="Arial" w:cs="Arial" w:eastAsia="Arial" w:hAnsi="Arial"/>
                <w:sz w:val="14"/>
                <w:szCs w:val="14"/>
                <w:color w:val="auto"/>
              </w:rPr>
              <w:t>100,000</w:t>
            </w:r>
          </w:p>
        </w:tc>
        <w:tc>
          <w:tcPr>
            <w:tcW w:w="2560" w:type="dxa"/>
            <w:vAlign w:val="bottom"/>
            <w:shd w:val="clear" w:color="auto" w:fill="E5E5E5"/>
          </w:tcPr>
          <w:p>
            <w:pPr>
              <w:jc w:val="center"/>
              <w:ind w:left="328"/>
              <w:spacing w:after="0"/>
              <w:rPr>
                <w:sz w:val="20"/>
                <w:szCs w:val="20"/>
                <w:color w:val="auto"/>
              </w:rPr>
            </w:pPr>
            <w:r>
              <w:rPr>
                <w:rFonts w:ascii="Arial" w:cs="Arial" w:eastAsia="Arial" w:hAnsi="Arial"/>
                <w:sz w:val="14"/>
                <w:szCs w:val="14"/>
                <w:color w:val="auto"/>
              </w:rPr>
              <w:t>$1,287,000</w:t>
            </w:r>
          </w:p>
        </w:tc>
        <w:tc>
          <w:tcPr>
            <w:tcW w:w="0" w:type="dxa"/>
            <w:vAlign w:val="bottom"/>
          </w:tcPr>
          <w:p>
            <w:pPr>
              <w:spacing w:after="0"/>
              <w:rPr>
                <w:sz w:val="1"/>
                <w:szCs w:val="1"/>
                <w:color w:val="auto"/>
              </w:rPr>
            </w:pPr>
          </w:p>
        </w:tc>
      </w:tr>
      <w:tr>
        <w:trPr>
          <w:trHeight w:val="198"/>
        </w:trPr>
        <w:tc>
          <w:tcPr>
            <w:tcW w:w="3900" w:type="dxa"/>
            <w:vAlign w:val="bottom"/>
          </w:tcPr>
          <w:p>
            <w:pPr>
              <w:ind w:left="120"/>
              <w:spacing w:after="0"/>
              <w:rPr>
                <w:sz w:val="20"/>
                <w:szCs w:val="20"/>
                <w:color w:val="auto"/>
              </w:rPr>
            </w:pPr>
            <w:r>
              <w:rPr>
                <w:rFonts w:ascii="Arial" w:cs="Arial" w:eastAsia="Arial" w:hAnsi="Arial"/>
                <w:sz w:val="14"/>
                <w:szCs w:val="14"/>
                <w:color w:val="auto"/>
              </w:rPr>
              <w:t>Mr. O’Brien</w:t>
            </w:r>
          </w:p>
        </w:tc>
        <w:tc>
          <w:tcPr>
            <w:tcW w:w="4760" w:type="dxa"/>
            <w:vAlign w:val="bottom"/>
          </w:tcPr>
          <w:p>
            <w:pPr>
              <w:jc w:val="center"/>
              <w:ind w:left="1768"/>
              <w:spacing w:after="0"/>
              <w:rPr>
                <w:sz w:val="20"/>
                <w:szCs w:val="20"/>
                <w:color w:val="auto"/>
              </w:rPr>
            </w:pPr>
            <w:r>
              <w:rPr>
                <w:rFonts w:ascii="Arial" w:cs="Arial" w:eastAsia="Arial" w:hAnsi="Arial"/>
                <w:sz w:val="14"/>
                <w:szCs w:val="14"/>
                <w:color w:val="auto"/>
              </w:rPr>
              <w:t>100,000</w:t>
            </w:r>
          </w:p>
        </w:tc>
        <w:tc>
          <w:tcPr>
            <w:tcW w:w="2560" w:type="dxa"/>
            <w:vAlign w:val="bottom"/>
          </w:tcPr>
          <w:p>
            <w:pPr>
              <w:jc w:val="center"/>
              <w:ind w:left="328"/>
              <w:spacing w:after="0"/>
              <w:rPr>
                <w:sz w:val="20"/>
                <w:szCs w:val="20"/>
                <w:color w:val="auto"/>
              </w:rPr>
            </w:pPr>
            <w:r>
              <w:rPr>
                <w:rFonts w:ascii="Arial" w:cs="Arial" w:eastAsia="Arial" w:hAnsi="Arial"/>
                <w:sz w:val="14"/>
                <w:szCs w:val="14"/>
                <w:color w:val="auto"/>
              </w:rPr>
              <w:t>$1,979,000</w:t>
            </w:r>
          </w:p>
        </w:tc>
        <w:tc>
          <w:tcPr>
            <w:tcW w:w="0" w:type="dxa"/>
            <w:vAlign w:val="bottom"/>
          </w:tcPr>
          <w:p>
            <w:pPr>
              <w:spacing w:after="0"/>
              <w:rPr>
                <w:sz w:val="1"/>
                <w:szCs w:val="1"/>
                <w:color w:val="auto"/>
              </w:rPr>
            </w:pPr>
          </w:p>
        </w:tc>
      </w:tr>
      <w:tr>
        <w:trPr>
          <w:trHeight w:val="207"/>
        </w:trPr>
        <w:tc>
          <w:tcPr>
            <w:tcW w:w="3900" w:type="dxa"/>
            <w:vAlign w:val="bottom"/>
            <w:shd w:val="clear" w:color="auto" w:fill="E5E5E5"/>
          </w:tcPr>
          <w:p>
            <w:pPr>
              <w:ind w:left="120"/>
              <w:spacing w:after="0"/>
              <w:rPr>
                <w:sz w:val="20"/>
                <w:szCs w:val="20"/>
                <w:color w:val="auto"/>
              </w:rPr>
            </w:pPr>
            <w:r>
              <w:rPr>
                <w:rFonts w:ascii="Arial" w:cs="Arial" w:eastAsia="Arial" w:hAnsi="Arial"/>
                <w:sz w:val="14"/>
                <w:szCs w:val="14"/>
                <w:color w:val="auto"/>
              </w:rPr>
              <w:t>Dr. Hamilton</w:t>
            </w:r>
          </w:p>
        </w:tc>
        <w:tc>
          <w:tcPr>
            <w:tcW w:w="4760" w:type="dxa"/>
            <w:vAlign w:val="bottom"/>
            <w:shd w:val="clear" w:color="auto" w:fill="E5E5E5"/>
          </w:tcPr>
          <w:p>
            <w:pPr>
              <w:jc w:val="center"/>
              <w:ind w:left="1768"/>
              <w:spacing w:after="0"/>
              <w:rPr>
                <w:sz w:val="20"/>
                <w:szCs w:val="20"/>
                <w:color w:val="auto"/>
              </w:rPr>
            </w:pPr>
            <w:r>
              <w:rPr>
                <w:rFonts w:ascii="Arial" w:cs="Arial" w:eastAsia="Arial" w:hAnsi="Arial"/>
                <w:sz w:val="14"/>
                <w:szCs w:val="14"/>
                <w:color w:val="auto"/>
              </w:rPr>
              <w:t>100,000</w:t>
            </w:r>
          </w:p>
        </w:tc>
        <w:tc>
          <w:tcPr>
            <w:tcW w:w="2560" w:type="dxa"/>
            <w:vAlign w:val="bottom"/>
            <w:shd w:val="clear" w:color="auto" w:fill="E5E5E5"/>
          </w:tcPr>
          <w:p>
            <w:pPr>
              <w:jc w:val="center"/>
              <w:ind w:left="328"/>
              <w:spacing w:after="0"/>
              <w:rPr>
                <w:sz w:val="20"/>
                <w:szCs w:val="20"/>
                <w:color w:val="auto"/>
              </w:rPr>
            </w:pPr>
            <w:r>
              <w:rPr>
                <w:rFonts w:ascii="Arial" w:cs="Arial" w:eastAsia="Arial" w:hAnsi="Arial"/>
                <w:sz w:val="14"/>
                <w:szCs w:val="14"/>
                <w:color w:val="auto"/>
              </w:rPr>
              <w:t>$1,979,000</w:t>
            </w:r>
          </w:p>
        </w:tc>
        <w:tc>
          <w:tcPr>
            <w:tcW w:w="0" w:type="dxa"/>
            <w:vAlign w:val="bottom"/>
          </w:tcPr>
          <w:p>
            <w:pPr>
              <w:spacing w:after="0"/>
              <w:rPr>
                <w:sz w:val="1"/>
                <w:szCs w:val="1"/>
                <w:color w:val="auto"/>
              </w:rPr>
            </w:pPr>
          </w:p>
        </w:tc>
      </w:tr>
      <w:tr>
        <w:trPr>
          <w:trHeight w:val="198"/>
        </w:trPr>
        <w:tc>
          <w:tcPr>
            <w:tcW w:w="3900" w:type="dxa"/>
            <w:vAlign w:val="bottom"/>
          </w:tcPr>
          <w:p>
            <w:pPr>
              <w:ind w:left="120"/>
              <w:spacing w:after="0"/>
              <w:rPr>
                <w:sz w:val="20"/>
                <w:szCs w:val="20"/>
                <w:color w:val="auto"/>
              </w:rPr>
            </w:pPr>
            <w:r>
              <w:rPr>
                <w:rFonts w:ascii="Arial" w:cs="Arial" w:eastAsia="Arial" w:hAnsi="Arial"/>
                <w:sz w:val="14"/>
                <w:szCs w:val="14"/>
                <w:color w:val="auto"/>
              </w:rPr>
              <w:t>Mr. Myszkowski</w:t>
            </w:r>
          </w:p>
        </w:tc>
        <w:tc>
          <w:tcPr>
            <w:tcW w:w="4760" w:type="dxa"/>
            <w:vAlign w:val="bottom"/>
          </w:tcPr>
          <w:p>
            <w:pPr>
              <w:jc w:val="right"/>
              <w:ind w:right="1228"/>
              <w:spacing w:after="0"/>
              <w:rPr>
                <w:sz w:val="20"/>
                <w:szCs w:val="20"/>
                <w:color w:val="auto"/>
              </w:rPr>
            </w:pPr>
            <w:r>
              <w:rPr>
                <w:rFonts w:ascii="Arial" w:cs="Arial" w:eastAsia="Arial" w:hAnsi="Arial"/>
                <w:sz w:val="14"/>
                <w:szCs w:val="14"/>
                <w:color w:val="auto"/>
              </w:rPr>
              <w:t>100,000</w:t>
            </w:r>
          </w:p>
        </w:tc>
        <w:tc>
          <w:tcPr>
            <w:tcW w:w="2560" w:type="dxa"/>
            <w:vAlign w:val="bottom"/>
          </w:tcPr>
          <w:p>
            <w:pPr>
              <w:jc w:val="right"/>
              <w:ind w:right="748"/>
              <w:spacing w:after="0"/>
              <w:rPr>
                <w:sz w:val="20"/>
                <w:szCs w:val="20"/>
                <w:color w:val="auto"/>
              </w:rPr>
            </w:pPr>
            <w:r>
              <w:rPr>
                <w:rFonts w:ascii="Arial" w:cs="Arial" w:eastAsia="Arial" w:hAnsi="Arial"/>
                <w:sz w:val="14"/>
                <w:szCs w:val="14"/>
                <w:color w:val="auto"/>
              </w:rPr>
              <w:t>$1,979,000</w:t>
            </w:r>
          </w:p>
        </w:tc>
        <w:tc>
          <w:tcPr>
            <w:tcW w:w="0" w:type="dxa"/>
            <w:vAlign w:val="bottom"/>
          </w:tcPr>
          <w:p>
            <w:pPr>
              <w:spacing w:after="0"/>
              <w:rPr>
                <w:sz w:val="1"/>
                <w:szCs w:val="1"/>
                <w:color w:val="auto"/>
              </w:rPr>
            </w:pPr>
          </w:p>
        </w:tc>
      </w:tr>
      <w:tr>
        <w:trPr>
          <w:trHeight w:val="202"/>
        </w:trPr>
        <w:tc>
          <w:tcPr>
            <w:tcW w:w="390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4"/>
                <w:szCs w:val="14"/>
                <w:color w:val="auto"/>
              </w:rPr>
              <w:t>Ms. Oliver (3)</w:t>
            </w:r>
          </w:p>
        </w:tc>
        <w:tc>
          <w:tcPr>
            <w:tcW w:w="4760" w:type="dxa"/>
            <w:vAlign w:val="bottom"/>
            <w:tcBorders>
              <w:bottom w:val="single" w:sz="8" w:color="0071CE"/>
            </w:tcBorders>
            <w:shd w:val="clear" w:color="auto" w:fill="E5E5E5"/>
          </w:tcPr>
          <w:p>
            <w:pPr>
              <w:jc w:val="right"/>
              <w:ind w:right="1448"/>
              <w:spacing w:after="0"/>
              <w:rPr>
                <w:sz w:val="20"/>
                <w:szCs w:val="20"/>
                <w:color w:val="auto"/>
              </w:rPr>
            </w:pPr>
            <w:r>
              <w:rPr>
                <w:rFonts w:ascii="Arial" w:cs="Arial" w:eastAsia="Arial" w:hAnsi="Arial"/>
                <w:sz w:val="14"/>
                <w:szCs w:val="14"/>
                <w:color w:val="auto"/>
              </w:rPr>
              <w:t>0</w:t>
            </w:r>
          </w:p>
        </w:tc>
        <w:tc>
          <w:tcPr>
            <w:tcW w:w="2560" w:type="dxa"/>
            <w:vAlign w:val="bottom"/>
            <w:tcBorders>
              <w:bottom w:val="single" w:sz="8" w:color="0071CE"/>
            </w:tcBorders>
            <w:shd w:val="clear" w:color="auto" w:fill="E5E5E5"/>
          </w:tcPr>
          <w:p>
            <w:pPr>
              <w:jc w:val="center"/>
              <w:ind w:lef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right="120" w:firstLine="8"/>
        <w:spacing w:after="0" w:line="235" w:lineRule="auto"/>
        <w:tabs>
          <w:tab w:leader="none" w:pos="2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RSUs granted during fiscal years 2025. The assumptions used to calculate the value of the stock underlying the RSU awards are set forth in Note 9 of the Notes to the Consolidated Financial Statements included with the Company’s Annual Report on Form 10-K.</w:t>
      </w: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Mr. Apel was granted RSU awards in April 2025 when he joined the Company.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 and did not receive restricted stock unit awards in fiscal 2025.</w:t>
      </w:r>
    </w:p>
    <w:p>
      <w:pPr>
        <w:spacing w:after="0" w:line="200" w:lineRule="exact"/>
        <w:rPr>
          <w:sz w:val="20"/>
          <w:szCs w:val="20"/>
          <w:color w:val="auto"/>
        </w:rPr>
      </w:pPr>
    </w:p>
    <w:p>
      <w:pPr>
        <w:spacing w:after="0" w:line="25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RSUs granted to our NEOs in fiscal 2025 vest over four years in equal annual installments, subject to the NEO’s continued employment on each applicable vesting date.</w:t>
      </w:r>
    </w:p>
    <w:p>
      <w:pPr>
        <w:spacing w:after="0" w:line="156"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equity awards granted to our NEOs in fiscal 2025 are set forth in the “Fiscal 2025 Summary Compensation Table” and the “Fiscal 2025 Grants of Plan-Based Awards Table”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22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executive officers, including our NEOs, are eligible to participate in all of our employee benefit plans, including medical, dental, vision, life and disability insurance, in each case on the same basis as our other employees, subject to applicable law. In addition, we provide an additional life insurance benefit to our CEO for the benefit of his heirs. We also provide vacation and other paid holidays to all our employees, including our executive officers, all of which we believe to be comparable to those provided the companies in our compensation peer group.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17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NEOs,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NEOs is reflected in the “All Other Compensation” column of the “Fiscal 2025 Summary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487045</wp:posOffset>
            </wp:positionV>
            <wp:extent cx="98615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12"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18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1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detailed descriptions of the employment arrangements we maintained with our NEOs during fiscal 2025, see “Termination Benefits — Potential Payments Upon Termination or Change in Control” below.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entered into Severance and Change of Control Agreements with our CEO, CFO, CMO and COO that provide for certain payments and benefits in the event of certain involuntary terminations of employment, including in connection with a Change of Control. We believe that it is necessary to provide each of these executive officers with certain benefits upon termination of their employment, which benefits are intended to provide the executive officers with financial security and provide sufficient income and, in the case of a Change of Control, encouragement for them to remain employed by the Company through the Change of Control process. These agreements are designed to provide reasonable compensation to these executive officers if they were to leave our employ under certain circumstances to facilitate their transition to new employment. We seek to mitigate any potential employer liability and avoid future disputes or litigation by requiring a departing executive officer to sign a separation and release agreement acceptable to us as a condition to receiving such post-employment compensation payments or benefits.</w:t>
      </w:r>
    </w:p>
    <w:p>
      <w:pPr>
        <w:spacing w:after="0" w:line="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our 2013 Incentive Plan and our 2021 Incentive Plan each provides for the acceleration of vesting of outstanding and unvested equity awards in the event of a change in control of the Company, as defined in the plans, except as otherwise determined by our Board. However, the agreements for equity awards granted to our CEO pursuant to our 2013 Incentive Plan and our 2021 Incentive Plan provide that, upon a change in control of the Company, the vesting of such awards will accelerate only in the event of a subsequent involuntary termination of employment (a “double-trigger” arrangement).</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detailed descriptions of the post-employment compensation arrangements we maintained with our NEOs during fiscal 2025, as well as an estimate of the potential payments and benefits payable under these arrangements, see “Termination Benefits — Potential Payments Upon Termination or Change in Control”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Grant Policy</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upon the commencement of their employment. We do not have any program, plan or practice to grant equity awards of our common stock to our executive officers in coordination with the release of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486410</wp:posOffset>
            </wp:positionV>
            <wp:extent cx="98615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nonpublic information and during fiscal 2025, the Compensation Committee did not time the disclosure of material nonpublic information for the purpose of affecting the value of executive compensation. Equity awards may occasionally be granted following a significant change in job responsibilities or to meet other special retention or performance objectives.</w:t>
      </w:r>
    </w:p>
    <w:p>
      <w:pPr>
        <w:spacing w:after="0" w:line="7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Under the terms of our 2021 Incentive Plan and the Inducement Plan, pursuant to which new equity awards are granted, the exercise price of any option to purchase shares of our common stock awarded under the plans must be equal to at least 100% of the fair market value of our common stock (which is determined based on the closing sales price of our common stock on the Nasdaq Global Market) on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Policy</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maintain a stock ownership policy for our CEO, CFO and COO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CFO and COO to own a minimum number of shares of our common stock equal to a value of twice their annualized base salaries. Our CEO, CFO and COO have each achieved the respective required ownership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2023, we updated our compensation recovery (“Clawback”) policy, in accordance with the Nasdaq Marketplace Rules. Under the updated policy, in the event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each of the NEOs, during the prior three fiscal years that exceeds the amount that the executive otherwise would have received had the incentive-based compensation been determined based on the restated financial statements.</w:t>
      </w:r>
    </w:p>
    <w:p>
      <w:pPr>
        <w:spacing w:after="0" w:line="1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Additionally, our 2013 Incentive Plan and our 2021 Incentive Plan each provides for the recovery of awards made under the plan in accordance with any applicable compensation recovery or recoupment policy, including as required by law, regulation or national securities exchange rule.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Policy</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insider trading policy governs the purchase, sale and other transactions in our securities and the securities of related companies by our directors, officers and employees, and other covered persons, as well as the Company itself, and is designed to promote compliance with insider trading laws, rules and regulations, and Nasdaq Marketplace Rules, as applicable. As part of this policy, we prohibit our directors, officers, and employees, and other covered persons, from engaging in (a) short-term trading; (b) short sales; (c) options trading; (d) trading on margin; (e) pledging our common stock as collateral (except as noted below); and (f) all hedging transactions with respect to our securities. Subject to approval of our Board, directors and executive officers may pledge up to 75% owned and vested stock as collateral for a loan.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Section 162(m) of the Internal Revenue Code limits the federal income tax deductibility of certain compensation amounts in excess of $1 million paid to certain executive officers. While the Compensation Committee generally seeks to pay compensation that is tax-deductible, it reserves the right to pay non-deductible compensation to the extent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636270</wp:posOffset>
            </wp:positionV>
            <wp:extent cx="98615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744220</wp:posOffset>
            </wp:positionV>
            <wp:extent cx="9861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Compensation Risk Assessment</w:t>
      </w:r>
    </w:p>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NEOs.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and are considered to be generally of the nature that promote the steady progression of our development programs and would not encourage or reward excessive risk-taking. In addition, our Board has the ability to intervene in instances where actions by our executive officers vis-à-vis Company performance objective attainment would be considered unduly risky to prevent or penalize such 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20"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our Board that the foregoing Compensation Discussion and Analysis be included in this Proxy Statement and incorporated by reference in the Company’s Annual Report on Form 10-K for the fiscal year ended September 30, 2025.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Michael Perry, Committee Chair</w:t>
      </w:r>
    </w:p>
    <w:p>
      <w:pPr>
        <w:spacing w:after="0"/>
        <w:rPr>
          <w:sz w:val="20"/>
          <w:szCs w:val="20"/>
          <w:color w:val="auto"/>
        </w:rPr>
      </w:pPr>
      <w:r>
        <w:rPr>
          <w:rFonts w:ascii="Arial" w:cs="Arial" w:eastAsia="Arial" w:hAnsi="Arial"/>
          <w:sz w:val="16"/>
          <w:szCs w:val="16"/>
          <w:color w:val="auto"/>
        </w:rPr>
        <w:t>Hongbo Lu</w:t>
      </w:r>
    </w:p>
    <w:p>
      <w:pPr>
        <w:spacing w:after="0"/>
        <w:rPr>
          <w:sz w:val="20"/>
          <w:szCs w:val="20"/>
          <w:color w:val="auto"/>
        </w:rPr>
      </w:pPr>
      <w:r>
        <w:rPr>
          <w:rFonts w:ascii="Arial" w:cs="Arial" w:eastAsia="Arial" w:hAnsi="Arial"/>
          <w:sz w:val="16"/>
          <w:szCs w:val="16"/>
          <w:color w:val="auto"/>
        </w:rPr>
        <w:t>William Waddill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fiscal year 2025, Dr. Perry, Mr. Waddill, and Dr. Lu served on the Compensation Committee. During fiscal year 2025 and through December 2025, there were no compensation committee interlocks between the Company and other entities involving the Company’s executive officers and directors. For information regarding a transaction involving the brother of Dr. Douglass Given, the Company's former Director and Chairman of the Board, which is required to be disclosed under Item 404 of Regulation S-K, see “Certain Relationships and Related Transactions, and Director Independence”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485140</wp:posOffset>
            </wp:positionV>
            <wp:extent cx="986155"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following table summarizes compensation earned for services rendered during fiscal 2025, 2024, and 2023 by our Chief Executive Officer, our Chief Financial Officer, our Chief Operating Officer, our Chief Medical Officer, and our former Chief Financial Officer and former Chief Commercial Officer, collectively our “Named Executive Officers”: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60" w:type="dxa"/>
            <w:vAlign w:val="bottom"/>
            <w:shd w:val="clear" w:color="auto" w:fill="0071CE"/>
          </w:tcPr>
          <w:p>
            <w:pPr>
              <w:spacing w:after="0"/>
              <w:rPr>
                <w:sz w:val="14"/>
                <w:szCs w:val="14"/>
                <w:color w:val="auto"/>
              </w:rPr>
            </w:pPr>
          </w:p>
        </w:tc>
        <w:tc>
          <w:tcPr>
            <w:tcW w:w="540" w:type="dxa"/>
            <w:vAlign w:val="bottom"/>
            <w:shd w:val="clear" w:color="auto" w:fill="0071CE"/>
          </w:tcPr>
          <w:p>
            <w:pPr>
              <w:spacing w:after="0"/>
              <w:rPr>
                <w:sz w:val="14"/>
                <w:szCs w:val="14"/>
                <w:color w:val="auto"/>
              </w:rPr>
            </w:pPr>
          </w:p>
        </w:tc>
        <w:tc>
          <w:tcPr>
            <w:tcW w:w="82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300" w:type="dxa"/>
            <w:vAlign w:val="bottom"/>
            <w:shd w:val="clear" w:color="auto" w:fill="0071CE"/>
          </w:tcPr>
          <w:p>
            <w:pPr>
              <w:spacing w:after="0"/>
              <w:rPr>
                <w:sz w:val="14"/>
                <w:szCs w:val="14"/>
                <w:color w:val="auto"/>
              </w:rPr>
            </w:pPr>
          </w:p>
        </w:tc>
        <w:tc>
          <w:tcPr>
            <w:tcW w:w="11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Non-Equity</w:t>
            </w:r>
          </w:p>
        </w:tc>
        <w:tc>
          <w:tcPr>
            <w:tcW w:w="134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0071CE"/>
          </w:tcPr>
          <w:p>
            <w:pPr>
              <w:spacing w:after="0"/>
              <w:rPr>
                <w:sz w:val="12"/>
                <w:szCs w:val="12"/>
                <w:color w:val="auto"/>
              </w:rPr>
            </w:pPr>
          </w:p>
        </w:tc>
        <w:tc>
          <w:tcPr>
            <w:tcW w:w="5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760" w:type="dxa"/>
            <w:vAlign w:val="bottom"/>
            <w:shd w:val="clear" w:color="auto" w:fill="0071CE"/>
          </w:tcPr>
          <w:p>
            <w:pPr>
              <w:spacing w:after="0"/>
              <w:rPr>
                <w:sz w:val="12"/>
                <w:szCs w:val="12"/>
                <w:color w:val="auto"/>
              </w:rPr>
            </w:pPr>
          </w:p>
        </w:tc>
        <w:tc>
          <w:tcPr>
            <w:tcW w:w="9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300" w:type="dxa"/>
            <w:vAlign w:val="bottom"/>
            <w:shd w:val="clear" w:color="auto" w:fill="0071CE"/>
          </w:tcPr>
          <w:p>
            <w:pPr>
              <w:spacing w:after="0"/>
              <w:rPr>
                <w:sz w:val="12"/>
                <w:szCs w:val="12"/>
                <w:color w:val="auto"/>
              </w:rPr>
            </w:pPr>
          </w:p>
        </w:tc>
        <w:tc>
          <w:tcPr>
            <w:tcW w:w="11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Incentive Plan</w:t>
            </w: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0071CE"/>
          </w:tcPr>
          <w:p>
            <w:pPr>
              <w:spacing w:after="0"/>
              <w:rPr>
                <w:sz w:val="12"/>
                <w:szCs w:val="12"/>
                <w:color w:val="auto"/>
              </w:rPr>
            </w:pPr>
          </w:p>
        </w:tc>
        <w:tc>
          <w:tcPr>
            <w:tcW w:w="540" w:type="dxa"/>
            <w:vAlign w:val="bottom"/>
            <w:shd w:val="clear" w:color="auto" w:fill="0071CE"/>
          </w:tcPr>
          <w:p>
            <w:pPr>
              <w:spacing w:after="0"/>
              <w:rPr>
                <w:sz w:val="12"/>
                <w:szCs w:val="12"/>
                <w:color w:val="auto"/>
              </w:rPr>
            </w:pPr>
          </w:p>
        </w:tc>
        <w:tc>
          <w:tcPr>
            <w:tcW w:w="820" w:type="dxa"/>
            <w:vAlign w:val="bottom"/>
            <w:shd w:val="clear" w:color="auto" w:fill="0071CE"/>
          </w:tcPr>
          <w:p>
            <w:pPr>
              <w:spacing w:after="0"/>
              <w:rPr>
                <w:sz w:val="12"/>
                <w:szCs w:val="12"/>
                <w:color w:val="auto"/>
              </w:rPr>
            </w:pPr>
          </w:p>
        </w:tc>
        <w:tc>
          <w:tcPr>
            <w:tcW w:w="760" w:type="dxa"/>
            <w:vAlign w:val="bottom"/>
            <w:shd w:val="clear" w:color="auto" w:fill="0071CE"/>
          </w:tcPr>
          <w:p>
            <w:pPr>
              <w:spacing w:after="0"/>
              <w:rPr>
                <w:sz w:val="12"/>
                <w:szCs w:val="12"/>
                <w:color w:val="auto"/>
              </w:rPr>
            </w:pPr>
          </w:p>
        </w:tc>
        <w:tc>
          <w:tcPr>
            <w:tcW w:w="900" w:type="dxa"/>
            <w:vAlign w:val="bottom"/>
            <w:vMerge w:val="continue"/>
            <w:shd w:val="clear" w:color="auto" w:fill="0071CE"/>
          </w:tcPr>
          <w:p>
            <w:pPr>
              <w:spacing w:after="0"/>
              <w:rPr>
                <w:sz w:val="12"/>
                <w:szCs w:val="12"/>
                <w:color w:val="auto"/>
              </w:rPr>
            </w:pPr>
          </w:p>
        </w:tc>
        <w:tc>
          <w:tcPr>
            <w:tcW w:w="300" w:type="dxa"/>
            <w:vAlign w:val="bottom"/>
            <w:shd w:val="clear" w:color="auto" w:fill="0071CE"/>
          </w:tcPr>
          <w:p>
            <w:pPr>
              <w:spacing w:after="0"/>
              <w:rPr>
                <w:sz w:val="12"/>
                <w:szCs w:val="12"/>
                <w:color w:val="auto"/>
              </w:rPr>
            </w:pPr>
          </w:p>
        </w:tc>
        <w:tc>
          <w:tcPr>
            <w:tcW w:w="114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340" w:type="dxa"/>
            <w:vAlign w:val="bottom"/>
            <w:vMerge w:val="continue"/>
            <w:shd w:val="clear" w:color="auto" w:fill="0071CE"/>
          </w:tcPr>
          <w:p>
            <w:pPr>
              <w:spacing w:after="0"/>
              <w:rPr>
                <w:sz w:val="12"/>
                <w:szCs w:val="12"/>
                <w:color w:val="auto"/>
              </w:rPr>
            </w:pPr>
          </w:p>
        </w:tc>
        <w:tc>
          <w:tcPr>
            <w:tcW w:w="94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Name and</w:t>
            </w:r>
          </w:p>
        </w:tc>
        <w:tc>
          <w:tcPr>
            <w:tcW w:w="5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8"/>
              </w:rPr>
              <w:t>Year</w:t>
            </w:r>
          </w:p>
        </w:tc>
        <w:tc>
          <w:tcPr>
            <w:tcW w:w="820" w:type="dxa"/>
            <w:vAlign w:val="bottom"/>
            <w:shd w:val="clear" w:color="auto" w:fill="0071CE"/>
          </w:tcPr>
          <w:p>
            <w:pPr>
              <w:ind w:left="220"/>
              <w:spacing w:after="0"/>
              <w:rPr>
                <w:sz w:val="20"/>
                <w:szCs w:val="20"/>
                <w:color w:val="auto"/>
              </w:rPr>
            </w:pPr>
            <w:r>
              <w:rPr>
                <w:rFonts w:ascii="Arial" w:cs="Arial" w:eastAsia="Arial" w:hAnsi="Arial"/>
                <w:sz w:val="14"/>
                <w:szCs w:val="14"/>
                <w:b w:val="1"/>
                <w:bCs w:val="1"/>
                <w:color w:val="FFFFFF"/>
              </w:rPr>
              <w:t>Salary</w:t>
            </w:r>
          </w:p>
        </w:tc>
        <w:tc>
          <w:tcPr>
            <w:tcW w:w="760" w:type="dxa"/>
            <w:vAlign w:val="bottom"/>
            <w:shd w:val="clear" w:color="auto" w:fill="0071CE"/>
          </w:tcPr>
          <w:p>
            <w:pPr>
              <w:ind w:left="160"/>
              <w:spacing w:after="0"/>
              <w:rPr>
                <w:sz w:val="20"/>
                <w:szCs w:val="20"/>
                <w:color w:val="auto"/>
              </w:rPr>
            </w:pPr>
            <w:r>
              <w:rPr>
                <w:rFonts w:ascii="Arial" w:cs="Arial" w:eastAsia="Arial" w:hAnsi="Arial"/>
                <w:sz w:val="14"/>
                <w:szCs w:val="14"/>
                <w:b w:val="1"/>
                <w:bCs w:val="1"/>
                <w:color w:val="FFFFFF"/>
              </w:rPr>
              <w:t>Bonus</w:t>
            </w: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 (1)</w:t>
            </w:r>
          </w:p>
        </w:tc>
        <w:tc>
          <w:tcPr>
            <w:tcW w:w="300" w:type="dxa"/>
            <w:vAlign w:val="bottom"/>
            <w:shd w:val="clear" w:color="auto" w:fill="0071CE"/>
          </w:tcPr>
          <w:p>
            <w:pPr>
              <w:spacing w:after="0"/>
              <w:rPr>
                <w:sz w:val="14"/>
                <w:szCs w:val="14"/>
                <w:color w:val="auto"/>
              </w:rPr>
            </w:pPr>
          </w:p>
        </w:tc>
        <w:tc>
          <w:tcPr>
            <w:tcW w:w="11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(2)</w:t>
            </w:r>
          </w:p>
        </w:tc>
        <w:tc>
          <w:tcPr>
            <w:tcW w:w="13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 (3)</w:t>
            </w:r>
          </w:p>
        </w:tc>
        <w:tc>
          <w:tcPr>
            <w:tcW w:w="940" w:type="dxa"/>
            <w:vAlign w:val="bottom"/>
            <w:vMerge w:val="restart"/>
            <w:shd w:val="clear" w:color="auto" w:fill="0071CE"/>
          </w:tcPr>
          <w:p>
            <w:pPr>
              <w:jc w:val="right"/>
              <w:ind w:right="100"/>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89"/>
        </w:trPr>
        <w:tc>
          <w:tcPr>
            <w:tcW w:w="226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Principal Position</w:t>
            </w:r>
          </w:p>
        </w:tc>
        <w:tc>
          <w:tcPr>
            <w:tcW w:w="540" w:type="dxa"/>
            <w:vAlign w:val="bottom"/>
            <w:vMerge w:val="continue"/>
            <w:shd w:val="clear" w:color="auto" w:fill="0071CE"/>
          </w:tcPr>
          <w:p>
            <w:pPr>
              <w:spacing w:after="0"/>
              <w:rPr>
                <w:sz w:val="16"/>
                <w:szCs w:val="16"/>
                <w:color w:val="auto"/>
              </w:rPr>
            </w:pP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0071CE"/>
          </w:tcPr>
          <w:p>
            <w:pPr>
              <w:jc w:val="right"/>
              <w:ind w:right="205"/>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0071CE"/>
          </w:tcPr>
          <w:p>
            <w:pPr>
              <w:spacing w:after="0"/>
              <w:rPr>
                <w:sz w:val="16"/>
                <w:szCs w:val="16"/>
                <w:color w:val="auto"/>
              </w:rPr>
            </w:pPr>
          </w:p>
        </w:tc>
        <w:tc>
          <w:tcPr>
            <w:tcW w:w="11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w:t>
            </w:r>
          </w:p>
        </w:tc>
        <w:tc>
          <w:tcPr>
            <w:tcW w:w="940" w:type="dxa"/>
            <w:vAlign w:val="bottom"/>
            <w:vMerge w:val="continue"/>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Christopher Anzalone</w:t>
            </w:r>
          </w:p>
        </w:tc>
        <w:tc>
          <w:tcPr>
            <w:tcW w:w="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2025</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981,046</w:t>
            </w:r>
          </w:p>
        </w:tc>
        <w:tc>
          <w:tcPr>
            <w:tcW w:w="760" w:type="dxa"/>
            <w:vAlign w:val="bottom"/>
            <w:shd w:val="clear" w:color="auto" w:fill="E5E5E5"/>
          </w:tcPr>
          <w:p>
            <w:pPr>
              <w:spacing w:after="0"/>
              <w:rPr>
                <w:sz w:val="23"/>
                <w:szCs w:val="23"/>
                <w:color w:val="auto"/>
              </w:rPr>
            </w:pP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6,810,292</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1,236,000</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2,523</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9,029,861</w:t>
            </w:r>
          </w:p>
        </w:tc>
        <w:tc>
          <w:tcPr>
            <w:tcW w:w="0" w:type="dxa"/>
            <w:vAlign w:val="bottom"/>
          </w:tcPr>
          <w:p>
            <w:pPr>
              <w:spacing w:after="0"/>
              <w:rPr>
                <w:sz w:val="1"/>
                <w:szCs w:val="1"/>
                <w:color w:val="auto"/>
              </w:rPr>
            </w:pPr>
          </w:p>
        </w:tc>
      </w:tr>
      <w:tr>
        <w:trPr>
          <w:trHeight w:val="162"/>
        </w:trPr>
        <w:tc>
          <w:tcPr>
            <w:tcW w:w="2260" w:type="dxa"/>
            <w:vAlign w:val="bottom"/>
            <w:shd w:val="clear" w:color="auto" w:fill="E5E5E5"/>
          </w:tcPr>
          <w:p>
            <w:pPr>
              <w:ind w:left="100"/>
              <w:spacing w:after="0" w:line="162" w:lineRule="exact"/>
              <w:rPr>
                <w:sz w:val="20"/>
                <w:szCs w:val="20"/>
                <w:color w:val="auto"/>
              </w:rPr>
            </w:pPr>
            <w:r>
              <w:rPr>
                <w:rFonts w:ascii="Arial" w:cs="Arial" w:eastAsia="Arial" w:hAnsi="Arial"/>
                <w:sz w:val="16"/>
                <w:szCs w:val="16"/>
                <w:color w:val="auto"/>
              </w:rPr>
              <w:t>President and Chief</w:t>
            </w:r>
          </w:p>
        </w:tc>
        <w:tc>
          <w:tcPr>
            <w:tcW w:w="540" w:type="dxa"/>
            <w:vAlign w:val="bottom"/>
            <w:shd w:val="clear" w:color="auto" w:fill="E5E5E5"/>
          </w:tcPr>
          <w:p>
            <w:pPr>
              <w:jc w:val="center"/>
              <w:spacing w:after="0" w:line="162" w:lineRule="exact"/>
              <w:rPr>
                <w:sz w:val="20"/>
                <w:szCs w:val="20"/>
                <w:color w:val="auto"/>
              </w:rPr>
            </w:pPr>
            <w:r>
              <w:rPr>
                <w:rFonts w:ascii="Arial" w:cs="Arial" w:eastAsia="Arial" w:hAnsi="Arial"/>
                <w:sz w:val="16"/>
                <w:szCs w:val="16"/>
                <w:color w:val="auto"/>
              </w:rPr>
              <w:t>2024</w:t>
            </w:r>
          </w:p>
        </w:tc>
        <w:tc>
          <w:tcPr>
            <w:tcW w:w="820" w:type="dxa"/>
            <w:vAlign w:val="bottom"/>
            <w:shd w:val="clear" w:color="auto" w:fill="E5E5E5"/>
          </w:tcPr>
          <w:p>
            <w:pPr>
              <w:jc w:val="center"/>
              <w:spacing w:after="0" w:line="162" w:lineRule="exact"/>
              <w:rPr>
                <w:sz w:val="20"/>
                <w:szCs w:val="20"/>
                <w:color w:val="auto"/>
              </w:rPr>
            </w:pPr>
            <w:r>
              <w:rPr>
                <w:rFonts w:ascii="Arial" w:cs="Arial" w:eastAsia="Arial" w:hAnsi="Arial"/>
                <w:sz w:val="16"/>
                <w:szCs w:val="16"/>
                <w:color w:val="auto"/>
              </w:rPr>
              <w:t>951,012</w:t>
            </w:r>
          </w:p>
        </w:tc>
        <w:tc>
          <w:tcPr>
            <w:tcW w:w="760" w:type="dxa"/>
            <w:vAlign w:val="bottom"/>
            <w:shd w:val="clear" w:color="auto" w:fill="E5E5E5"/>
          </w:tcPr>
          <w:p>
            <w:pPr>
              <w:spacing w:after="0"/>
              <w:rPr>
                <w:sz w:val="14"/>
                <w:szCs w:val="14"/>
                <w:color w:val="auto"/>
              </w:rPr>
            </w:pPr>
          </w:p>
        </w:tc>
        <w:tc>
          <w:tcPr>
            <w:tcW w:w="1200" w:type="dxa"/>
            <w:vAlign w:val="bottom"/>
            <w:gridSpan w:val="2"/>
            <w:shd w:val="clear" w:color="auto" w:fill="E5E5E5"/>
          </w:tcPr>
          <w:p>
            <w:pPr>
              <w:jc w:val="right"/>
              <w:spacing w:after="0" w:line="162" w:lineRule="exact"/>
              <w:rPr>
                <w:sz w:val="20"/>
                <w:szCs w:val="20"/>
                <w:color w:val="auto"/>
              </w:rPr>
            </w:pPr>
            <w:r>
              <w:rPr>
                <w:rFonts w:ascii="Arial" w:cs="Arial" w:eastAsia="Arial" w:hAnsi="Arial"/>
                <w:sz w:val="16"/>
                <w:szCs w:val="16"/>
                <w:color w:val="auto"/>
              </w:rPr>
              <w:t>10,319,000 (5)</w:t>
            </w:r>
          </w:p>
        </w:tc>
        <w:tc>
          <w:tcPr>
            <w:tcW w:w="1140" w:type="dxa"/>
            <w:vAlign w:val="bottom"/>
            <w:shd w:val="clear" w:color="auto" w:fill="E5E5E5"/>
          </w:tcPr>
          <w:p>
            <w:pPr>
              <w:jc w:val="center"/>
              <w:spacing w:after="0" w:line="162" w:lineRule="exact"/>
              <w:rPr>
                <w:sz w:val="20"/>
                <w:szCs w:val="20"/>
                <w:color w:val="auto"/>
              </w:rPr>
            </w:pPr>
            <w:r>
              <w:rPr>
                <w:rFonts w:ascii="Arial" w:cs="Arial" w:eastAsia="Arial" w:hAnsi="Arial"/>
                <w:sz w:val="16"/>
                <w:szCs w:val="16"/>
                <w:color w:val="auto"/>
              </w:rPr>
              <w:t>1,152,000</w:t>
            </w:r>
          </w:p>
        </w:tc>
        <w:tc>
          <w:tcPr>
            <w:tcW w:w="1340" w:type="dxa"/>
            <w:vAlign w:val="bottom"/>
            <w:shd w:val="clear" w:color="auto" w:fill="E5E5E5"/>
          </w:tcPr>
          <w:p>
            <w:pPr>
              <w:jc w:val="center"/>
              <w:spacing w:after="0" w:line="162" w:lineRule="exact"/>
              <w:rPr>
                <w:sz w:val="20"/>
                <w:szCs w:val="20"/>
                <w:color w:val="auto"/>
              </w:rPr>
            </w:pPr>
            <w:r>
              <w:rPr>
                <w:rFonts w:ascii="Arial" w:cs="Arial" w:eastAsia="Arial" w:hAnsi="Arial"/>
                <w:sz w:val="16"/>
                <w:szCs w:val="16"/>
                <w:color w:val="auto"/>
                <w:w w:val="99"/>
              </w:rPr>
              <w:t>2,406</w:t>
            </w:r>
          </w:p>
        </w:tc>
        <w:tc>
          <w:tcPr>
            <w:tcW w:w="940" w:type="dxa"/>
            <w:vAlign w:val="bottom"/>
            <w:shd w:val="clear" w:color="auto" w:fill="E5E5E5"/>
          </w:tcPr>
          <w:p>
            <w:pPr>
              <w:jc w:val="right"/>
              <w:spacing w:after="0" w:line="162" w:lineRule="exact"/>
              <w:rPr>
                <w:sz w:val="20"/>
                <w:szCs w:val="20"/>
                <w:color w:val="auto"/>
              </w:rPr>
            </w:pPr>
            <w:r>
              <w:rPr>
                <w:rFonts w:ascii="Arial" w:cs="Arial" w:eastAsia="Arial" w:hAnsi="Arial"/>
                <w:sz w:val="16"/>
                <w:szCs w:val="16"/>
                <w:color w:val="auto"/>
              </w:rPr>
              <w:t>12,424,418</w:t>
            </w:r>
          </w:p>
        </w:tc>
        <w:tc>
          <w:tcPr>
            <w:tcW w:w="0" w:type="dxa"/>
            <w:vAlign w:val="bottom"/>
          </w:tcPr>
          <w:p>
            <w:pPr>
              <w:spacing w:after="0"/>
              <w:rPr>
                <w:sz w:val="1"/>
                <w:szCs w:val="1"/>
                <w:color w:val="auto"/>
              </w:rPr>
            </w:pPr>
          </w:p>
        </w:tc>
      </w:tr>
      <w:tr>
        <w:trPr>
          <w:trHeight w:val="215"/>
        </w:trPr>
        <w:tc>
          <w:tcPr>
            <w:tcW w:w="2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Executive Officer</w:t>
            </w:r>
          </w:p>
        </w:tc>
        <w:tc>
          <w:tcPr>
            <w:tcW w:w="5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E5E5E5"/>
          </w:tcPr>
          <w:p>
            <w:pPr>
              <w:spacing w:after="0"/>
              <w:rPr>
                <w:sz w:val="18"/>
                <w:szCs w:val="18"/>
                <w:color w:val="auto"/>
              </w:rPr>
            </w:pPr>
          </w:p>
        </w:tc>
        <w:tc>
          <w:tcPr>
            <w:tcW w:w="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902,522</w:t>
            </w:r>
          </w:p>
        </w:tc>
        <w:tc>
          <w:tcPr>
            <w:tcW w:w="760" w:type="dxa"/>
            <w:vAlign w:val="bottom"/>
            <w:shd w:val="clear" w:color="auto" w:fill="E5E5E5"/>
          </w:tcPr>
          <w:p>
            <w:pPr>
              <w:spacing w:after="0"/>
              <w:rPr>
                <w:sz w:val="18"/>
                <w:szCs w:val="18"/>
                <w:color w:val="auto"/>
              </w:rPr>
            </w:pP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8,314,056</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700,000</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1,515</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9,918,093</w:t>
            </w:r>
          </w:p>
        </w:tc>
        <w:tc>
          <w:tcPr>
            <w:tcW w:w="0" w:type="dxa"/>
            <w:vAlign w:val="bottom"/>
          </w:tcPr>
          <w:p>
            <w:pPr>
              <w:spacing w:after="0"/>
              <w:rPr>
                <w:sz w:val="1"/>
                <w:szCs w:val="1"/>
                <w:color w:val="auto"/>
              </w:rPr>
            </w:pPr>
          </w:p>
        </w:tc>
      </w:tr>
      <w:tr>
        <w:trPr>
          <w:trHeight w:val="256"/>
        </w:trPr>
        <w:tc>
          <w:tcPr>
            <w:tcW w:w="2260" w:type="dxa"/>
            <w:vAlign w:val="bottom"/>
          </w:tcPr>
          <w:p>
            <w:pPr>
              <w:ind w:left="100"/>
              <w:spacing w:after="0"/>
              <w:rPr>
                <w:sz w:val="20"/>
                <w:szCs w:val="20"/>
                <w:color w:val="auto"/>
              </w:rPr>
            </w:pPr>
            <w:r>
              <w:rPr>
                <w:rFonts w:ascii="Arial" w:cs="Arial" w:eastAsia="Arial" w:hAnsi="Arial"/>
                <w:sz w:val="16"/>
                <w:szCs w:val="16"/>
                <w:b w:val="1"/>
                <w:bCs w:val="1"/>
                <w:color w:val="0071CE"/>
              </w:rPr>
              <w:t>Daniel Apel (7)</w:t>
            </w:r>
          </w:p>
        </w:tc>
        <w:tc>
          <w:tcPr>
            <w:tcW w:w="540" w:type="dxa"/>
            <w:vAlign w:val="bottom"/>
          </w:tcPr>
          <w:p>
            <w:pPr>
              <w:jc w:val="center"/>
              <w:spacing w:after="0"/>
              <w:rPr>
                <w:sz w:val="20"/>
                <w:szCs w:val="20"/>
                <w:color w:val="auto"/>
              </w:rPr>
            </w:pPr>
            <w:r>
              <w:rPr>
                <w:rFonts w:ascii="Arial" w:cs="Arial" w:eastAsia="Arial" w:hAnsi="Arial"/>
                <w:sz w:val="16"/>
                <w:szCs w:val="16"/>
                <w:color w:val="auto"/>
              </w:rPr>
              <w:t>2025</w:t>
            </w:r>
          </w:p>
        </w:tc>
        <w:tc>
          <w:tcPr>
            <w:tcW w:w="820" w:type="dxa"/>
            <w:vAlign w:val="bottom"/>
          </w:tcPr>
          <w:p>
            <w:pPr>
              <w:jc w:val="center"/>
              <w:spacing w:after="0"/>
              <w:rPr>
                <w:sz w:val="20"/>
                <w:szCs w:val="20"/>
                <w:color w:val="auto"/>
              </w:rPr>
            </w:pPr>
            <w:r>
              <w:rPr>
                <w:rFonts w:ascii="Arial" w:cs="Arial" w:eastAsia="Arial" w:hAnsi="Arial"/>
                <w:sz w:val="16"/>
                <w:szCs w:val="16"/>
                <w:color w:val="auto"/>
              </w:rPr>
              <w:t>232,212</w:t>
            </w:r>
          </w:p>
        </w:tc>
        <w:tc>
          <w:tcPr>
            <w:tcW w:w="760" w:type="dxa"/>
            <w:vAlign w:val="bottom"/>
          </w:tcPr>
          <w:p>
            <w:pPr>
              <w:jc w:val="right"/>
              <w:ind w:right="5"/>
              <w:spacing w:after="0"/>
              <w:rPr>
                <w:sz w:val="20"/>
                <w:szCs w:val="20"/>
                <w:color w:val="auto"/>
              </w:rPr>
            </w:pPr>
            <w:r>
              <w:rPr>
                <w:rFonts w:ascii="Arial" w:cs="Arial" w:eastAsia="Arial" w:hAnsi="Arial"/>
                <w:sz w:val="16"/>
                <w:szCs w:val="16"/>
                <w:color w:val="auto"/>
              </w:rPr>
              <w:t>200,000</w:t>
            </w:r>
          </w:p>
        </w:tc>
        <w:tc>
          <w:tcPr>
            <w:tcW w:w="900" w:type="dxa"/>
            <w:vAlign w:val="bottom"/>
          </w:tcPr>
          <w:p>
            <w:pPr>
              <w:jc w:val="center"/>
              <w:spacing w:after="0"/>
              <w:rPr>
                <w:sz w:val="20"/>
                <w:szCs w:val="20"/>
                <w:color w:val="auto"/>
              </w:rPr>
            </w:pPr>
            <w:r>
              <w:rPr>
                <w:rFonts w:ascii="Arial" w:cs="Arial" w:eastAsia="Arial" w:hAnsi="Arial"/>
                <w:sz w:val="16"/>
                <w:szCs w:val="16"/>
                <w:color w:val="auto"/>
              </w:rPr>
              <w:t>1,287,000</w:t>
            </w:r>
          </w:p>
        </w:tc>
        <w:tc>
          <w:tcPr>
            <w:tcW w:w="3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226,406</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9,294</w:t>
            </w:r>
          </w:p>
        </w:tc>
        <w:tc>
          <w:tcPr>
            <w:tcW w:w="940" w:type="dxa"/>
            <w:vAlign w:val="bottom"/>
          </w:tcPr>
          <w:p>
            <w:pPr>
              <w:jc w:val="right"/>
              <w:spacing w:after="0"/>
              <w:rPr>
                <w:sz w:val="20"/>
                <w:szCs w:val="20"/>
                <w:color w:val="auto"/>
              </w:rPr>
            </w:pPr>
            <w:r>
              <w:rPr>
                <w:rFonts w:ascii="Arial" w:cs="Arial" w:eastAsia="Arial" w:hAnsi="Arial"/>
                <w:sz w:val="16"/>
                <w:szCs w:val="16"/>
                <w:color w:val="auto"/>
              </w:rPr>
              <w:t>1,754,912</w:t>
            </w:r>
          </w:p>
        </w:tc>
        <w:tc>
          <w:tcPr>
            <w:tcW w:w="0" w:type="dxa"/>
            <w:vAlign w:val="bottom"/>
          </w:tcPr>
          <w:p>
            <w:pPr>
              <w:spacing w:after="0"/>
              <w:rPr>
                <w:sz w:val="1"/>
                <w:szCs w:val="1"/>
                <w:color w:val="auto"/>
              </w:rPr>
            </w:pPr>
          </w:p>
        </w:tc>
      </w:tr>
      <w:tr>
        <w:trPr>
          <w:trHeight w:val="216"/>
        </w:trPr>
        <w:tc>
          <w:tcPr>
            <w:tcW w:w="226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6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Patrick O’Brien (8)</w:t>
            </w:r>
          </w:p>
        </w:tc>
        <w:tc>
          <w:tcPr>
            <w:tcW w:w="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2025</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653,940</w:t>
            </w:r>
          </w:p>
        </w:tc>
        <w:tc>
          <w:tcPr>
            <w:tcW w:w="760" w:type="dxa"/>
            <w:vAlign w:val="bottom"/>
            <w:shd w:val="clear" w:color="auto" w:fill="E5E5E5"/>
          </w:tcPr>
          <w:p>
            <w:pPr>
              <w:spacing w:after="0"/>
              <w:rPr>
                <w:sz w:val="22"/>
                <w:szCs w:val="22"/>
                <w:color w:val="auto"/>
              </w:rPr>
            </w:pP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1,979,000</w:t>
            </w:r>
          </w:p>
        </w:tc>
        <w:tc>
          <w:tcPr>
            <w:tcW w:w="30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365,638</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31,617</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3,030,195</w:t>
            </w:r>
          </w:p>
        </w:tc>
        <w:tc>
          <w:tcPr>
            <w:tcW w:w="0" w:type="dxa"/>
            <w:vAlign w:val="bottom"/>
          </w:tcPr>
          <w:p>
            <w:pPr>
              <w:spacing w:after="0"/>
              <w:rPr>
                <w:sz w:val="1"/>
                <w:szCs w:val="1"/>
                <w:color w:val="auto"/>
              </w:rPr>
            </w:pPr>
          </w:p>
        </w:tc>
      </w:tr>
      <w:tr>
        <w:trPr>
          <w:trHeight w:val="464"/>
        </w:trPr>
        <w:tc>
          <w:tcPr>
            <w:tcW w:w="2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Chief Operating Officer</w:t>
            </w:r>
          </w:p>
        </w:tc>
        <w:tc>
          <w:tcPr>
            <w:tcW w:w="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2024</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605,260</w:t>
            </w:r>
          </w:p>
        </w:tc>
        <w:tc>
          <w:tcPr>
            <w:tcW w:w="760" w:type="dxa"/>
            <w:vAlign w:val="bottom"/>
            <w:shd w:val="clear" w:color="auto" w:fill="E5E5E5"/>
          </w:tcPr>
          <w:p>
            <w:pPr>
              <w:spacing w:after="0"/>
              <w:rPr>
                <w:sz w:val="24"/>
                <w:szCs w:val="24"/>
                <w:color w:val="auto"/>
              </w:rPr>
            </w:pP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2,935,050</w:t>
            </w:r>
          </w:p>
        </w:tc>
        <w:tc>
          <w:tcPr>
            <w:tcW w:w="300" w:type="dxa"/>
            <w:vAlign w:val="bottom"/>
            <w:shd w:val="clear" w:color="auto" w:fill="E5E5E5"/>
          </w:tcPr>
          <w:p>
            <w:pPr>
              <w:spacing w:after="0"/>
              <w:rPr>
                <w:sz w:val="24"/>
                <w:szCs w:val="24"/>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378,000</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31,261</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3,949,571</w:t>
            </w:r>
          </w:p>
        </w:tc>
        <w:tc>
          <w:tcPr>
            <w:tcW w:w="0" w:type="dxa"/>
            <w:vAlign w:val="bottom"/>
          </w:tcPr>
          <w:p>
            <w:pPr>
              <w:spacing w:after="0"/>
              <w:rPr>
                <w:sz w:val="1"/>
                <w:szCs w:val="1"/>
                <w:color w:val="auto"/>
              </w:rPr>
            </w:pPr>
          </w:p>
        </w:tc>
      </w:tr>
      <w:tr>
        <w:trPr>
          <w:trHeight w:val="218"/>
        </w:trPr>
        <w:tc>
          <w:tcPr>
            <w:tcW w:w="2260" w:type="dxa"/>
            <w:vAlign w:val="bottom"/>
            <w:shd w:val="clear" w:color="auto" w:fill="E5E5E5"/>
          </w:tcPr>
          <w:p>
            <w:pPr>
              <w:spacing w:after="0"/>
              <w:rPr>
                <w:sz w:val="18"/>
                <w:szCs w:val="18"/>
                <w:color w:val="auto"/>
              </w:rPr>
            </w:pPr>
          </w:p>
        </w:tc>
        <w:tc>
          <w:tcPr>
            <w:tcW w:w="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568,423</w:t>
            </w:r>
          </w:p>
        </w:tc>
        <w:tc>
          <w:tcPr>
            <w:tcW w:w="760" w:type="dxa"/>
            <w:vAlign w:val="bottom"/>
            <w:shd w:val="clear" w:color="auto" w:fill="E5E5E5"/>
          </w:tcPr>
          <w:p>
            <w:pPr>
              <w:spacing w:after="0"/>
              <w:rPr>
                <w:sz w:val="18"/>
                <w:szCs w:val="18"/>
                <w:color w:val="auto"/>
              </w:rPr>
            </w:pP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2,475,200</w:t>
            </w:r>
          </w:p>
        </w:tc>
        <w:tc>
          <w:tcPr>
            <w:tcW w:w="300" w:type="dxa"/>
            <w:vAlign w:val="bottom"/>
            <w:shd w:val="clear" w:color="auto" w:fill="E5E5E5"/>
          </w:tcPr>
          <w:p>
            <w:pPr>
              <w:spacing w:after="0"/>
              <w:rPr>
                <w:sz w:val="18"/>
                <w:szCs w:val="18"/>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252,000</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30,715</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3,326,338</w:t>
            </w:r>
          </w:p>
        </w:tc>
        <w:tc>
          <w:tcPr>
            <w:tcW w:w="0" w:type="dxa"/>
            <w:vAlign w:val="bottom"/>
          </w:tcPr>
          <w:p>
            <w:pPr>
              <w:spacing w:after="0"/>
              <w:rPr>
                <w:sz w:val="1"/>
                <w:szCs w:val="1"/>
                <w:color w:val="auto"/>
              </w:rPr>
            </w:pPr>
          </w:p>
        </w:tc>
      </w:tr>
      <w:tr>
        <w:trPr>
          <w:trHeight w:val="256"/>
        </w:trPr>
        <w:tc>
          <w:tcPr>
            <w:tcW w:w="2260" w:type="dxa"/>
            <w:vAlign w:val="bottom"/>
          </w:tcPr>
          <w:p>
            <w:pPr>
              <w:ind w:left="100"/>
              <w:spacing w:after="0"/>
              <w:rPr>
                <w:sz w:val="20"/>
                <w:szCs w:val="20"/>
                <w:color w:val="auto"/>
              </w:rPr>
            </w:pPr>
            <w:r>
              <w:rPr>
                <w:rFonts w:ascii="Arial" w:cs="Arial" w:eastAsia="Arial" w:hAnsi="Arial"/>
                <w:sz w:val="16"/>
                <w:szCs w:val="16"/>
                <w:b w:val="1"/>
                <w:bCs w:val="1"/>
                <w:color w:val="0071CE"/>
              </w:rPr>
              <w:t>James Hamilton</w:t>
            </w:r>
          </w:p>
        </w:tc>
        <w:tc>
          <w:tcPr>
            <w:tcW w:w="540" w:type="dxa"/>
            <w:vAlign w:val="bottom"/>
          </w:tcPr>
          <w:p>
            <w:pPr>
              <w:jc w:val="center"/>
              <w:spacing w:after="0"/>
              <w:rPr>
                <w:sz w:val="20"/>
                <w:szCs w:val="20"/>
                <w:color w:val="auto"/>
              </w:rPr>
            </w:pPr>
            <w:r>
              <w:rPr>
                <w:rFonts w:ascii="Arial" w:cs="Arial" w:eastAsia="Arial" w:hAnsi="Arial"/>
                <w:sz w:val="16"/>
                <w:szCs w:val="16"/>
                <w:color w:val="auto"/>
              </w:rPr>
              <w:t>2025</w:t>
            </w:r>
          </w:p>
        </w:tc>
        <w:tc>
          <w:tcPr>
            <w:tcW w:w="820" w:type="dxa"/>
            <w:vAlign w:val="bottom"/>
          </w:tcPr>
          <w:p>
            <w:pPr>
              <w:jc w:val="center"/>
              <w:spacing w:after="0"/>
              <w:rPr>
                <w:sz w:val="20"/>
                <w:szCs w:val="20"/>
                <w:color w:val="auto"/>
              </w:rPr>
            </w:pPr>
            <w:r>
              <w:rPr>
                <w:rFonts w:ascii="Arial" w:cs="Arial" w:eastAsia="Arial" w:hAnsi="Arial"/>
                <w:sz w:val="16"/>
                <w:szCs w:val="16"/>
                <w:color w:val="auto"/>
              </w:rPr>
              <w:t>617,512</w:t>
            </w:r>
          </w:p>
        </w:tc>
        <w:tc>
          <w:tcPr>
            <w:tcW w:w="7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1,979,000</w:t>
            </w:r>
          </w:p>
        </w:tc>
        <w:tc>
          <w:tcPr>
            <w:tcW w:w="3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354,627</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15,074</w:t>
            </w:r>
          </w:p>
        </w:tc>
        <w:tc>
          <w:tcPr>
            <w:tcW w:w="940" w:type="dxa"/>
            <w:vAlign w:val="bottom"/>
          </w:tcPr>
          <w:p>
            <w:pPr>
              <w:jc w:val="right"/>
              <w:spacing w:after="0"/>
              <w:rPr>
                <w:sz w:val="20"/>
                <w:szCs w:val="20"/>
                <w:color w:val="auto"/>
              </w:rPr>
            </w:pPr>
            <w:r>
              <w:rPr>
                <w:rFonts w:ascii="Arial" w:cs="Arial" w:eastAsia="Arial" w:hAnsi="Arial"/>
                <w:sz w:val="16"/>
                <w:szCs w:val="16"/>
                <w:color w:val="auto"/>
              </w:rPr>
              <w:t>2,966,213</w:t>
            </w:r>
          </w:p>
        </w:tc>
        <w:tc>
          <w:tcPr>
            <w:tcW w:w="0" w:type="dxa"/>
            <w:vAlign w:val="bottom"/>
          </w:tcPr>
          <w:p>
            <w:pPr>
              <w:spacing w:after="0"/>
              <w:rPr>
                <w:sz w:val="1"/>
                <w:szCs w:val="1"/>
                <w:color w:val="auto"/>
              </w:rPr>
            </w:pPr>
          </w:p>
        </w:tc>
      </w:tr>
      <w:tr>
        <w:trPr>
          <w:trHeight w:val="215"/>
        </w:trPr>
        <w:tc>
          <w:tcPr>
            <w:tcW w:w="2260" w:type="dxa"/>
            <w:vAlign w:val="bottom"/>
          </w:tcPr>
          <w:p>
            <w:pPr>
              <w:ind w:left="100"/>
              <w:spacing w:after="0"/>
              <w:rPr>
                <w:sz w:val="20"/>
                <w:szCs w:val="20"/>
                <w:color w:val="auto"/>
              </w:rPr>
            </w:pPr>
            <w:r>
              <w:rPr>
                <w:rFonts w:ascii="Arial" w:cs="Arial" w:eastAsia="Arial" w:hAnsi="Arial"/>
                <w:sz w:val="16"/>
                <w:szCs w:val="16"/>
                <w:color w:val="auto"/>
              </w:rPr>
              <w:t>Chief Medical Officer</w:t>
            </w:r>
          </w:p>
        </w:tc>
        <w:tc>
          <w:tcPr>
            <w:tcW w:w="540" w:type="dxa"/>
            <w:vAlign w:val="bottom"/>
          </w:tcPr>
          <w:p>
            <w:pPr>
              <w:jc w:val="center"/>
              <w:spacing w:after="0"/>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rPr>
                <w:sz w:val="20"/>
                <w:szCs w:val="20"/>
                <w:color w:val="auto"/>
              </w:rPr>
            </w:pPr>
            <w:r>
              <w:rPr>
                <w:rFonts w:ascii="Arial" w:cs="Arial" w:eastAsia="Arial" w:hAnsi="Arial"/>
                <w:sz w:val="16"/>
                <w:szCs w:val="16"/>
                <w:color w:val="auto"/>
              </w:rPr>
              <w:t>567,938</w:t>
            </w:r>
          </w:p>
        </w:tc>
        <w:tc>
          <w:tcPr>
            <w:tcW w:w="7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2,589,750</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314,496</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15,261</w:t>
            </w:r>
          </w:p>
        </w:tc>
        <w:tc>
          <w:tcPr>
            <w:tcW w:w="940" w:type="dxa"/>
            <w:vAlign w:val="bottom"/>
          </w:tcPr>
          <w:p>
            <w:pPr>
              <w:jc w:val="right"/>
              <w:spacing w:after="0"/>
              <w:rPr>
                <w:sz w:val="20"/>
                <w:szCs w:val="20"/>
                <w:color w:val="auto"/>
              </w:rPr>
            </w:pPr>
            <w:r>
              <w:rPr>
                <w:rFonts w:ascii="Arial" w:cs="Arial" w:eastAsia="Arial" w:hAnsi="Arial"/>
                <w:sz w:val="16"/>
                <w:szCs w:val="16"/>
                <w:color w:val="auto"/>
              </w:rPr>
              <w:t>3,487,445</w:t>
            </w: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Pr>
          <w:p>
            <w:pPr>
              <w:jc w:val="center"/>
              <w:spacing w:after="0"/>
              <w:rPr>
                <w:sz w:val="20"/>
                <w:szCs w:val="20"/>
                <w:color w:val="auto"/>
              </w:rPr>
            </w:pPr>
            <w:r>
              <w:rPr>
                <w:rFonts w:ascii="Arial" w:cs="Arial" w:eastAsia="Arial" w:hAnsi="Arial"/>
                <w:sz w:val="16"/>
                <w:szCs w:val="16"/>
                <w:color w:val="auto"/>
              </w:rPr>
              <w:t>511,178</w:t>
            </w:r>
          </w:p>
        </w:tc>
        <w:tc>
          <w:tcPr>
            <w:tcW w:w="7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2,284,800</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236,250</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14,715</w:t>
            </w:r>
          </w:p>
        </w:tc>
        <w:tc>
          <w:tcPr>
            <w:tcW w:w="940" w:type="dxa"/>
            <w:vAlign w:val="bottom"/>
          </w:tcPr>
          <w:p>
            <w:pPr>
              <w:jc w:val="right"/>
              <w:spacing w:after="0"/>
              <w:rPr>
                <w:sz w:val="20"/>
                <w:szCs w:val="20"/>
                <w:color w:val="auto"/>
              </w:rPr>
            </w:pPr>
            <w:r>
              <w:rPr>
                <w:rFonts w:ascii="Arial" w:cs="Arial" w:eastAsia="Arial" w:hAnsi="Arial"/>
                <w:sz w:val="16"/>
                <w:szCs w:val="16"/>
                <w:color w:val="auto"/>
              </w:rPr>
              <w:t>3,046,943</w:t>
            </w:r>
          </w:p>
        </w:tc>
        <w:tc>
          <w:tcPr>
            <w:tcW w:w="0" w:type="dxa"/>
            <w:vAlign w:val="bottom"/>
          </w:tcPr>
          <w:p>
            <w:pPr>
              <w:spacing w:after="0"/>
              <w:rPr>
                <w:sz w:val="1"/>
                <w:szCs w:val="1"/>
                <w:color w:val="auto"/>
              </w:rPr>
            </w:pPr>
          </w:p>
        </w:tc>
      </w:tr>
      <w:tr>
        <w:trPr>
          <w:trHeight w:val="217"/>
        </w:trPr>
        <w:tc>
          <w:tcPr>
            <w:tcW w:w="226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0071CE"/>
              </w:rPr>
              <w:t>Kenneth Myszkowski (9)</w:t>
            </w:r>
          </w:p>
        </w:tc>
        <w:tc>
          <w:tcPr>
            <w:tcW w:w="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2025</w:t>
            </w:r>
          </w:p>
        </w:tc>
        <w:tc>
          <w:tcPr>
            <w:tcW w:w="8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496,783</w:t>
            </w:r>
          </w:p>
        </w:tc>
        <w:tc>
          <w:tcPr>
            <w:tcW w:w="760" w:type="dxa"/>
            <w:vAlign w:val="bottom"/>
            <w:shd w:val="clear" w:color="auto" w:fill="DBDBDB"/>
          </w:tcPr>
          <w:p>
            <w:pPr>
              <w:spacing w:after="0"/>
              <w:rPr>
                <w:sz w:val="18"/>
                <w:szCs w:val="18"/>
                <w:color w:val="auto"/>
              </w:rPr>
            </w:pPr>
          </w:p>
        </w:tc>
        <w:tc>
          <w:tcPr>
            <w:tcW w:w="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1,979,000</w:t>
            </w:r>
          </w:p>
        </w:tc>
        <w:tc>
          <w:tcPr>
            <w:tcW w:w="300" w:type="dxa"/>
            <w:vAlign w:val="bottom"/>
            <w:shd w:val="clear" w:color="auto" w:fill="DBDBDB"/>
          </w:tcPr>
          <w:p>
            <w:pPr>
              <w:spacing w:after="0"/>
              <w:rPr>
                <w:sz w:val="18"/>
                <w:szCs w:val="18"/>
                <w:color w:val="auto"/>
              </w:rPr>
            </w:pPr>
          </w:p>
        </w:tc>
        <w:tc>
          <w:tcPr>
            <w:tcW w:w="11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155,776</w:t>
            </w:r>
          </w:p>
        </w:tc>
        <w:tc>
          <w:tcPr>
            <w:tcW w:w="13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28,601</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2,660,161</w:t>
            </w:r>
          </w:p>
        </w:tc>
        <w:tc>
          <w:tcPr>
            <w:tcW w:w="0" w:type="dxa"/>
            <w:vAlign w:val="bottom"/>
          </w:tcPr>
          <w:p>
            <w:pPr>
              <w:spacing w:after="0"/>
              <w:rPr>
                <w:sz w:val="1"/>
                <w:szCs w:val="1"/>
                <w:color w:val="auto"/>
              </w:rPr>
            </w:pPr>
          </w:p>
        </w:tc>
      </w:tr>
      <w:tr>
        <w:trPr>
          <w:trHeight w:val="162"/>
        </w:trPr>
        <w:tc>
          <w:tcPr>
            <w:tcW w:w="2260" w:type="dxa"/>
            <w:vAlign w:val="bottom"/>
            <w:shd w:val="clear" w:color="auto" w:fill="DBDBDB"/>
          </w:tcPr>
          <w:p>
            <w:pPr>
              <w:ind w:left="100"/>
              <w:spacing w:after="0" w:line="162" w:lineRule="exact"/>
              <w:rPr>
                <w:sz w:val="20"/>
                <w:szCs w:val="20"/>
                <w:color w:val="auto"/>
              </w:rPr>
            </w:pPr>
            <w:r>
              <w:rPr>
                <w:rFonts w:ascii="Arial" w:cs="Arial" w:eastAsia="Arial" w:hAnsi="Arial"/>
                <w:sz w:val="16"/>
                <w:szCs w:val="16"/>
                <w:color w:val="auto"/>
              </w:rPr>
              <w:t>Former Chief Financial</w:t>
            </w:r>
          </w:p>
        </w:tc>
        <w:tc>
          <w:tcPr>
            <w:tcW w:w="54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2024</w:t>
            </w:r>
          </w:p>
        </w:tc>
        <w:tc>
          <w:tcPr>
            <w:tcW w:w="82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592,369</w:t>
            </w:r>
          </w:p>
        </w:tc>
        <w:tc>
          <w:tcPr>
            <w:tcW w:w="760" w:type="dxa"/>
            <w:vAlign w:val="bottom"/>
            <w:shd w:val="clear" w:color="auto" w:fill="DBDBDB"/>
          </w:tcPr>
          <w:p>
            <w:pPr>
              <w:spacing w:after="0"/>
              <w:rPr>
                <w:sz w:val="14"/>
                <w:szCs w:val="14"/>
                <w:color w:val="auto"/>
              </w:rPr>
            </w:pPr>
          </w:p>
        </w:tc>
        <w:tc>
          <w:tcPr>
            <w:tcW w:w="90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2,589,750</w:t>
            </w:r>
          </w:p>
        </w:tc>
        <w:tc>
          <w:tcPr>
            <w:tcW w:w="300" w:type="dxa"/>
            <w:vAlign w:val="bottom"/>
            <w:shd w:val="clear" w:color="auto" w:fill="DBDBDB"/>
          </w:tcPr>
          <w:p>
            <w:pPr>
              <w:spacing w:after="0"/>
              <w:rPr>
                <w:sz w:val="14"/>
                <w:szCs w:val="14"/>
                <w:color w:val="auto"/>
              </w:rPr>
            </w:pPr>
          </w:p>
        </w:tc>
        <w:tc>
          <w:tcPr>
            <w:tcW w:w="114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314,496</w:t>
            </w:r>
          </w:p>
        </w:tc>
        <w:tc>
          <w:tcPr>
            <w:tcW w:w="134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w w:val="98"/>
              </w:rPr>
              <w:t>31,761</w:t>
            </w:r>
          </w:p>
        </w:tc>
        <w:tc>
          <w:tcPr>
            <w:tcW w:w="94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3,528,376</w:t>
            </w:r>
          </w:p>
        </w:tc>
        <w:tc>
          <w:tcPr>
            <w:tcW w:w="0" w:type="dxa"/>
            <w:vAlign w:val="bottom"/>
          </w:tcPr>
          <w:p>
            <w:pPr>
              <w:spacing w:after="0"/>
              <w:rPr>
                <w:sz w:val="1"/>
                <w:szCs w:val="1"/>
                <w:color w:val="auto"/>
              </w:rPr>
            </w:pPr>
          </w:p>
        </w:tc>
      </w:tr>
      <w:tr>
        <w:trPr>
          <w:trHeight w:val="215"/>
        </w:trPr>
        <w:tc>
          <w:tcPr>
            <w:tcW w:w="2260" w:type="dxa"/>
            <w:vAlign w:val="bottom"/>
            <w:shd w:val="clear" w:color="auto" w:fill="DBDBDB"/>
          </w:tcPr>
          <w:p>
            <w:pPr>
              <w:ind w:left="100"/>
              <w:spacing w:after="0"/>
              <w:rPr>
                <w:sz w:val="20"/>
                <w:szCs w:val="20"/>
                <w:color w:val="auto"/>
              </w:rPr>
            </w:pPr>
            <w:r>
              <w:rPr>
                <w:rFonts w:ascii="Arial" w:cs="Arial" w:eastAsia="Arial" w:hAnsi="Arial"/>
                <w:sz w:val="16"/>
                <w:szCs w:val="16"/>
                <w:color w:val="auto"/>
              </w:rPr>
              <w:t>Officer</w:t>
            </w:r>
          </w:p>
        </w:tc>
        <w:tc>
          <w:tcPr>
            <w:tcW w:w="54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60" w:type="dxa"/>
            <w:vAlign w:val="bottom"/>
            <w:shd w:val="clear" w:color="auto" w:fill="DBDBDB"/>
          </w:tcPr>
          <w:p>
            <w:pPr>
              <w:spacing w:after="0"/>
              <w:rPr>
                <w:sz w:val="18"/>
                <w:szCs w:val="18"/>
                <w:color w:val="auto"/>
              </w:rPr>
            </w:pPr>
          </w:p>
        </w:tc>
        <w:tc>
          <w:tcPr>
            <w:tcW w:w="5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568,129</w:t>
            </w:r>
          </w:p>
        </w:tc>
        <w:tc>
          <w:tcPr>
            <w:tcW w:w="760" w:type="dxa"/>
            <w:vAlign w:val="bottom"/>
            <w:shd w:val="clear" w:color="auto" w:fill="DBDBDB"/>
          </w:tcPr>
          <w:p>
            <w:pPr>
              <w:spacing w:after="0"/>
              <w:rPr>
                <w:sz w:val="18"/>
                <w:szCs w:val="18"/>
                <w:color w:val="auto"/>
              </w:rPr>
            </w:pPr>
          </w:p>
        </w:tc>
        <w:tc>
          <w:tcPr>
            <w:tcW w:w="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2,284,800</w:t>
            </w:r>
          </w:p>
        </w:tc>
        <w:tc>
          <w:tcPr>
            <w:tcW w:w="300" w:type="dxa"/>
            <w:vAlign w:val="bottom"/>
            <w:shd w:val="clear" w:color="auto" w:fill="DBDBDB"/>
          </w:tcPr>
          <w:p>
            <w:pPr>
              <w:spacing w:after="0"/>
              <w:rPr>
                <w:sz w:val="18"/>
                <w:szCs w:val="18"/>
                <w:color w:val="auto"/>
              </w:rPr>
            </w:pPr>
          </w:p>
        </w:tc>
        <w:tc>
          <w:tcPr>
            <w:tcW w:w="11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252,000</w:t>
            </w:r>
          </w:p>
        </w:tc>
        <w:tc>
          <w:tcPr>
            <w:tcW w:w="13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30,215</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3,135,144</w:t>
            </w:r>
          </w:p>
        </w:tc>
        <w:tc>
          <w:tcPr>
            <w:tcW w:w="0" w:type="dxa"/>
            <w:vAlign w:val="bottom"/>
          </w:tcPr>
          <w:p>
            <w:pPr>
              <w:spacing w:after="0"/>
              <w:rPr>
                <w:sz w:val="1"/>
                <w:szCs w:val="1"/>
                <w:color w:val="auto"/>
              </w:rPr>
            </w:pPr>
          </w:p>
        </w:tc>
      </w:tr>
      <w:tr>
        <w:trPr>
          <w:trHeight w:val="215"/>
        </w:trPr>
        <w:tc>
          <w:tcPr>
            <w:tcW w:w="2260" w:type="dxa"/>
            <w:vAlign w:val="bottom"/>
          </w:tcPr>
          <w:p>
            <w:pPr>
              <w:ind w:left="100"/>
              <w:spacing w:after="0"/>
              <w:rPr>
                <w:sz w:val="20"/>
                <w:szCs w:val="20"/>
                <w:color w:val="auto"/>
              </w:rPr>
            </w:pPr>
            <w:r>
              <w:rPr>
                <w:rFonts w:ascii="Arial" w:cs="Arial" w:eastAsia="Arial" w:hAnsi="Arial"/>
                <w:sz w:val="16"/>
                <w:szCs w:val="16"/>
                <w:b w:val="1"/>
                <w:bCs w:val="1"/>
                <w:color w:val="0071CE"/>
              </w:rPr>
              <w:t>Tracie Oliver (10)</w:t>
            </w:r>
          </w:p>
        </w:tc>
        <w:tc>
          <w:tcPr>
            <w:tcW w:w="540" w:type="dxa"/>
            <w:vAlign w:val="bottom"/>
          </w:tcPr>
          <w:p>
            <w:pPr>
              <w:jc w:val="center"/>
              <w:spacing w:after="0"/>
              <w:rPr>
                <w:sz w:val="20"/>
                <w:szCs w:val="20"/>
                <w:color w:val="auto"/>
              </w:rPr>
            </w:pPr>
            <w:r>
              <w:rPr>
                <w:rFonts w:ascii="Arial" w:cs="Arial" w:eastAsia="Arial" w:hAnsi="Arial"/>
                <w:sz w:val="16"/>
                <w:szCs w:val="16"/>
                <w:color w:val="auto"/>
              </w:rPr>
              <w:t>2025</w:t>
            </w:r>
          </w:p>
        </w:tc>
        <w:tc>
          <w:tcPr>
            <w:tcW w:w="820" w:type="dxa"/>
            <w:vAlign w:val="bottom"/>
          </w:tcPr>
          <w:p>
            <w:pPr>
              <w:jc w:val="center"/>
              <w:spacing w:after="0"/>
              <w:rPr>
                <w:sz w:val="20"/>
                <w:szCs w:val="20"/>
                <w:color w:val="auto"/>
              </w:rPr>
            </w:pPr>
            <w:r>
              <w:rPr>
                <w:rFonts w:ascii="Arial" w:cs="Arial" w:eastAsia="Arial" w:hAnsi="Arial"/>
                <w:sz w:val="16"/>
                <w:szCs w:val="16"/>
                <w:color w:val="auto"/>
              </w:rPr>
              <w:t>43,193</w:t>
            </w:r>
          </w:p>
        </w:tc>
        <w:tc>
          <w:tcPr>
            <w:tcW w:w="7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43,193</w:t>
            </w:r>
          </w:p>
        </w:tc>
        <w:tc>
          <w:tcPr>
            <w:tcW w:w="0" w:type="dxa"/>
            <w:vAlign w:val="bottom"/>
          </w:tcPr>
          <w:p>
            <w:pPr>
              <w:spacing w:after="0"/>
              <w:rPr>
                <w:sz w:val="1"/>
                <w:szCs w:val="1"/>
                <w:color w:val="auto"/>
              </w:rPr>
            </w:pPr>
          </w:p>
        </w:tc>
      </w:tr>
      <w:tr>
        <w:trPr>
          <w:trHeight w:val="163"/>
        </w:trPr>
        <w:tc>
          <w:tcPr>
            <w:tcW w:w="2260" w:type="dxa"/>
            <w:vAlign w:val="bottom"/>
          </w:tcPr>
          <w:p>
            <w:pPr>
              <w:ind w:left="100"/>
              <w:spacing w:after="0" w:line="163" w:lineRule="exact"/>
              <w:rPr>
                <w:sz w:val="20"/>
                <w:szCs w:val="20"/>
                <w:color w:val="auto"/>
              </w:rPr>
            </w:pPr>
            <w:r>
              <w:rPr>
                <w:rFonts w:ascii="Arial" w:cs="Arial" w:eastAsia="Arial" w:hAnsi="Arial"/>
                <w:sz w:val="16"/>
                <w:szCs w:val="16"/>
                <w:color w:val="auto"/>
              </w:rPr>
              <w:t>Former Chief Commercial</w:t>
            </w:r>
          </w:p>
        </w:tc>
        <w:tc>
          <w:tcPr>
            <w:tcW w:w="540" w:type="dxa"/>
            <w:vAlign w:val="bottom"/>
          </w:tcPr>
          <w:p>
            <w:pPr>
              <w:jc w:val="center"/>
              <w:spacing w:after="0" w:line="163" w:lineRule="exact"/>
              <w:rPr>
                <w:sz w:val="20"/>
                <w:szCs w:val="20"/>
                <w:color w:val="auto"/>
              </w:rPr>
            </w:pPr>
            <w:r>
              <w:rPr>
                <w:rFonts w:ascii="Arial" w:cs="Arial" w:eastAsia="Arial" w:hAnsi="Arial"/>
                <w:sz w:val="16"/>
                <w:szCs w:val="16"/>
                <w:color w:val="auto"/>
              </w:rPr>
              <w:t>2024</w:t>
            </w:r>
          </w:p>
        </w:tc>
        <w:tc>
          <w:tcPr>
            <w:tcW w:w="820" w:type="dxa"/>
            <w:vAlign w:val="bottom"/>
          </w:tcPr>
          <w:p>
            <w:pPr>
              <w:jc w:val="center"/>
              <w:spacing w:after="0" w:line="163" w:lineRule="exact"/>
              <w:rPr>
                <w:sz w:val="20"/>
                <w:szCs w:val="20"/>
                <w:color w:val="auto"/>
              </w:rPr>
            </w:pPr>
            <w:r>
              <w:rPr>
                <w:rFonts w:ascii="Arial" w:cs="Arial" w:eastAsia="Arial" w:hAnsi="Arial"/>
                <w:sz w:val="16"/>
                <w:szCs w:val="16"/>
                <w:color w:val="auto"/>
              </w:rPr>
              <w:t>484,065</w:t>
            </w:r>
          </w:p>
        </w:tc>
        <w:tc>
          <w:tcPr>
            <w:tcW w:w="760" w:type="dxa"/>
            <w:vAlign w:val="bottom"/>
          </w:tcPr>
          <w:p>
            <w:pPr>
              <w:spacing w:after="0"/>
              <w:rPr>
                <w:sz w:val="14"/>
                <w:szCs w:val="14"/>
                <w:color w:val="auto"/>
              </w:rPr>
            </w:pPr>
          </w:p>
        </w:tc>
        <w:tc>
          <w:tcPr>
            <w:tcW w:w="900" w:type="dxa"/>
            <w:vAlign w:val="bottom"/>
          </w:tcPr>
          <w:p>
            <w:pPr>
              <w:jc w:val="center"/>
              <w:spacing w:after="0" w:line="163" w:lineRule="exact"/>
              <w:rPr>
                <w:sz w:val="20"/>
                <w:szCs w:val="20"/>
                <w:color w:val="auto"/>
              </w:rPr>
            </w:pPr>
            <w:r>
              <w:rPr>
                <w:rFonts w:ascii="Arial" w:cs="Arial" w:eastAsia="Arial" w:hAnsi="Arial"/>
                <w:sz w:val="16"/>
                <w:szCs w:val="16"/>
                <w:color w:val="auto"/>
              </w:rPr>
              <w:t>2,589,750</w:t>
            </w:r>
          </w:p>
        </w:tc>
        <w:tc>
          <w:tcPr>
            <w:tcW w:w="300" w:type="dxa"/>
            <w:vAlign w:val="bottom"/>
          </w:tcPr>
          <w:p>
            <w:pPr>
              <w:spacing w:after="0"/>
              <w:rPr>
                <w:sz w:val="14"/>
                <w:szCs w:val="14"/>
                <w:color w:val="auto"/>
              </w:rPr>
            </w:pPr>
          </w:p>
        </w:tc>
        <w:tc>
          <w:tcPr>
            <w:tcW w:w="1140" w:type="dxa"/>
            <w:vAlign w:val="bottom"/>
          </w:tcPr>
          <w:p>
            <w:pPr>
              <w:jc w:val="center"/>
              <w:spacing w:after="0" w:line="163" w:lineRule="exact"/>
              <w:rPr>
                <w:sz w:val="20"/>
                <w:szCs w:val="20"/>
                <w:color w:val="auto"/>
              </w:rPr>
            </w:pPr>
            <w:r>
              <w:rPr>
                <w:rFonts w:ascii="Arial" w:cs="Arial" w:eastAsia="Arial" w:hAnsi="Arial"/>
                <w:sz w:val="16"/>
                <w:szCs w:val="16"/>
                <w:color w:val="auto"/>
                <w:w w:val="99"/>
              </w:rPr>
              <w:t>—</w:t>
            </w:r>
          </w:p>
        </w:tc>
        <w:tc>
          <w:tcPr>
            <w:tcW w:w="1340" w:type="dxa"/>
            <w:vAlign w:val="bottom"/>
          </w:tcPr>
          <w:p>
            <w:pPr>
              <w:jc w:val="center"/>
              <w:spacing w:after="0" w:line="163" w:lineRule="exact"/>
              <w:rPr>
                <w:sz w:val="20"/>
                <w:szCs w:val="20"/>
                <w:color w:val="auto"/>
              </w:rPr>
            </w:pPr>
            <w:r>
              <w:rPr>
                <w:rFonts w:ascii="Arial" w:cs="Arial" w:eastAsia="Arial" w:hAnsi="Arial"/>
                <w:sz w:val="16"/>
                <w:szCs w:val="16"/>
                <w:color w:val="auto"/>
                <w:w w:val="99"/>
              </w:rPr>
              <w:t>2,965</w:t>
            </w:r>
          </w:p>
        </w:tc>
        <w:tc>
          <w:tcPr>
            <w:tcW w:w="940" w:type="dxa"/>
            <w:vAlign w:val="bottom"/>
          </w:tcPr>
          <w:p>
            <w:pPr>
              <w:jc w:val="right"/>
              <w:spacing w:after="0" w:line="163" w:lineRule="exact"/>
              <w:rPr>
                <w:sz w:val="20"/>
                <w:szCs w:val="20"/>
                <w:color w:val="auto"/>
              </w:rPr>
            </w:pPr>
            <w:r>
              <w:rPr>
                <w:rFonts w:ascii="Arial" w:cs="Arial" w:eastAsia="Arial" w:hAnsi="Arial"/>
                <w:sz w:val="16"/>
                <w:szCs w:val="16"/>
                <w:color w:val="auto"/>
              </w:rPr>
              <w:t>3,076,780</w:t>
            </w:r>
          </w:p>
        </w:tc>
        <w:tc>
          <w:tcPr>
            <w:tcW w:w="0" w:type="dxa"/>
            <w:vAlign w:val="bottom"/>
          </w:tcPr>
          <w:p>
            <w:pPr>
              <w:spacing w:after="0"/>
              <w:rPr>
                <w:sz w:val="1"/>
                <w:szCs w:val="1"/>
                <w:color w:val="auto"/>
              </w:rPr>
            </w:pPr>
          </w:p>
        </w:tc>
      </w:tr>
      <w:tr>
        <w:trPr>
          <w:trHeight w:val="215"/>
        </w:trPr>
        <w:tc>
          <w:tcPr>
            <w:tcW w:w="2260" w:type="dxa"/>
            <w:vAlign w:val="bottom"/>
          </w:tcPr>
          <w:p>
            <w:pPr>
              <w:ind w:left="100"/>
              <w:spacing w:after="0"/>
              <w:rPr>
                <w:sz w:val="20"/>
                <w:szCs w:val="20"/>
                <w:color w:val="auto"/>
              </w:rPr>
            </w:pPr>
            <w:r>
              <w:rPr>
                <w:rFonts w:ascii="Arial" w:cs="Arial" w:eastAsia="Arial" w:hAnsi="Arial"/>
                <w:sz w:val="16"/>
                <w:szCs w:val="16"/>
                <w:color w:val="auto"/>
              </w:rPr>
              <w:t>Officer</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0071CE"/>
            </w:tcBorders>
          </w:tcPr>
          <w:p>
            <w:pPr>
              <w:spacing w:after="0"/>
              <w:rPr>
                <w:sz w:val="18"/>
                <w:szCs w:val="18"/>
                <w:color w:val="auto"/>
              </w:rPr>
            </w:pPr>
          </w:p>
        </w:tc>
        <w:tc>
          <w:tcPr>
            <w:tcW w:w="54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2023</w:t>
            </w:r>
          </w:p>
        </w:tc>
        <w:tc>
          <w:tcPr>
            <w:tcW w:w="82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647,261</w:t>
            </w:r>
          </w:p>
        </w:tc>
        <w:tc>
          <w:tcPr>
            <w:tcW w:w="760" w:type="dxa"/>
            <w:vAlign w:val="bottom"/>
            <w:tcBorders>
              <w:bottom w:val="single" w:sz="8" w:color="0071CE"/>
            </w:tcBorders>
          </w:tcPr>
          <w:p>
            <w:pPr>
              <w:spacing w:after="0"/>
              <w:rPr>
                <w:sz w:val="18"/>
                <w:szCs w:val="18"/>
                <w:color w:val="auto"/>
              </w:rPr>
            </w:pPr>
          </w:p>
        </w:tc>
        <w:tc>
          <w:tcPr>
            <w:tcW w:w="90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19,040</w:t>
            </w:r>
          </w:p>
        </w:tc>
        <w:tc>
          <w:tcPr>
            <w:tcW w:w="300" w:type="dxa"/>
            <w:vAlign w:val="bottom"/>
            <w:tcBorders>
              <w:bottom w:val="single" w:sz="8" w:color="0071CE"/>
            </w:tcBorders>
          </w:tcPr>
          <w:p>
            <w:pPr>
              <w:spacing w:after="0"/>
              <w:rPr>
                <w:sz w:val="18"/>
                <w:szCs w:val="18"/>
                <w:color w:val="auto"/>
              </w:rPr>
            </w:pPr>
          </w:p>
        </w:tc>
        <w:tc>
          <w:tcPr>
            <w:tcW w:w="114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188,000</w:t>
            </w:r>
          </w:p>
        </w:tc>
        <w:tc>
          <w:tcPr>
            <w:tcW w:w="134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w w:val="98"/>
              </w:rPr>
              <w:t>19,521</w:t>
            </w:r>
          </w:p>
        </w:tc>
        <w:tc>
          <w:tcPr>
            <w:tcW w:w="94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873,822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-2922270</wp:posOffset>
            </wp:positionV>
            <wp:extent cx="57092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33" w:lineRule="exact"/>
        <w:rPr>
          <w:sz w:val="20"/>
          <w:szCs w:val="20"/>
          <w:color w:val="auto"/>
        </w:rPr>
      </w:pPr>
    </w:p>
    <w:p>
      <w:pPr>
        <w:ind w:left="420" w:right="20" w:hanging="412"/>
        <w:spacing w:after="0" w:line="255" w:lineRule="auto"/>
        <w:tabs>
          <w:tab w:leader="none" w:pos="4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RSUs (including those subject to the achievement of performance goals) granted during fiscal years 2025, 2024 and 2023. The assumptions used to calculate the value of the stock underlying the RSU awards are set forth in Note 9 of the Notes to the Consolidated Financial Statements included with the Company’s Annual Report on Form 10-K.</w:t>
      </w:r>
    </w:p>
    <w:p>
      <w:pPr>
        <w:ind w:left="420" w:hanging="412"/>
        <w:spacing w:after="0" w:line="261" w:lineRule="auto"/>
        <w:tabs>
          <w:tab w:leader="none" w:pos="4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years 2025, 2024 and 2023 and paid in fiscal years 2026, 2025 and 2024, respectively. The Annual Bonuses are described in more detail in the “Bonus Incentive” section.</w:t>
      </w:r>
    </w:p>
    <w:p>
      <w:pPr>
        <w:ind w:left="420" w:hanging="412"/>
        <w:spacing w:after="0" w:line="251" w:lineRule="auto"/>
        <w:tabs>
          <w:tab w:leader="none" w:pos="4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and disability premiums for the benefit of each executive officer as well as tax and financial advisory services for certain officers.</w:t>
      </w:r>
    </w:p>
    <w:p>
      <w:pPr>
        <w:jc w:val="both"/>
        <w:ind w:left="420" w:hanging="412"/>
        <w:spacing w:after="0" w:line="269" w:lineRule="auto"/>
        <w:tabs>
          <w:tab w:leader="none" w:pos="40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includes the grant date fair value of three fiscal 2025 RSU awards that are subject to vesting upon the achievement of specific performance conditions. We determined the performance conditions were 100% probable of being achieved as of the grant date, as defined under applicable accounting guidance, and assigned a grant date fair value of $4,581,000 based on this evaluation. The amount reported in the Summary Compensation Table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481330</wp:posOffset>
            </wp:positionV>
            <wp:extent cx="98615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420" w:right="20"/>
        <w:spacing w:after="0" w:line="261" w:lineRule="auto"/>
        <w:rPr>
          <w:sz w:val="20"/>
          <w:szCs w:val="20"/>
          <w:color w:val="auto"/>
        </w:rPr>
      </w:pPr>
      <w:r>
        <w:rPr>
          <w:rFonts w:ascii="Arial" w:cs="Arial" w:eastAsia="Arial" w:hAnsi="Arial"/>
          <w:sz w:val="14"/>
          <w:szCs w:val="14"/>
          <w:color w:val="auto"/>
        </w:rPr>
        <w:t>award may not represent the amount that Christopher Anzalone will realize from the award. Whether, and to what extent, an NEO realizes the value will depend on our actual operating performance, stock price fluctuations and the NEO’s continued employment.</w:t>
      </w:r>
    </w:p>
    <w:p>
      <w:pPr>
        <w:spacing w:after="0" w:line="1" w:lineRule="exact"/>
        <w:rPr>
          <w:sz w:val="20"/>
          <w:szCs w:val="20"/>
          <w:color w:val="auto"/>
        </w:rPr>
      </w:pPr>
    </w:p>
    <w:p>
      <w:pPr>
        <w:jc w:val="both"/>
        <w:ind w:left="420" w:hanging="412"/>
        <w:spacing w:after="0" w:line="253" w:lineRule="auto"/>
        <w:tabs>
          <w:tab w:leader="none" w:pos="4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includes the grant date fair value of a fiscal 2024 RSU award that is subject to vesting upon the achievement of a specific performance condition. We determined the performance condition was 100% probable of being achieved as of the grant date, as defined under applicable accounting guidance, and assigned a grant date fair value of $10,319,000 based on this evaluation. The amount reported in the Summary Compensation Table for this award may not represent the amount that Christopher Anzalone will realize from the award. Whether, and to what extent, an NEO realizes the value will depend on our actual operating performance, stock price fluctuations and the NEO’s continued employment.</w:t>
      </w:r>
    </w:p>
    <w:p>
      <w:pPr>
        <w:spacing w:after="0" w:line="1" w:lineRule="exact"/>
        <w:rPr>
          <w:rFonts w:ascii="Arial" w:cs="Arial" w:eastAsia="Arial" w:hAnsi="Arial"/>
          <w:sz w:val="14"/>
          <w:szCs w:val="14"/>
          <w:color w:val="auto"/>
        </w:rPr>
      </w:pPr>
    </w:p>
    <w:p>
      <w:pPr>
        <w:jc w:val="both"/>
        <w:ind w:left="420" w:hanging="412"/>
        <w:spacing w:after="0"/>
        <w:tabs>
          <w:tab w:leader="none" w:pos="4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includes the grant date fair value of a fiscal 2023 RSU award that is subject to vesting upon the achievement of specific performance conditions. We determined the performance conditions that were probable and not probable of being achieved as of the grant date, as defined under applicable accounting guidance, and assigned a grant date fair value of $4,625,270 based on this evaluation. If we had determined that as of the date of the grant it was probable that 100% of the performance conditions would be achieved, we would have assigned a grant date fair value of $8,314,056 for the performance-based RSUs. The amount reported in the Summary Compensation Table for this award may not represent the amount that Christopher Anzalone will realize from the award. Whether, and to what extent, an NEO realizes the value will depend on our actual operating performance, stock price fluctuations and the NEO’s continued employment.</w:t>
      </w:r>
    </w:p>
    <w:p>
      <w:pPr>
        <w:spacing w:after="0" w:line="127" w:lineRule="exact"/>
        <w:rPr>
          <w:rFonts w:ascii="Arial" w:cs="Arial" w:eastAsia="Arial" w:hAnsi="Arial"/>
          <w:sz w:val="14"/>
          <w:szCs w:val="14"/>
          <w:color w:val="auto"/>
        </w:rPr>
      </w:pPr>
    </w:p>
    <w:p>
      <w:pPr>
        <w:ind w:left="400" w:hanging="392"/>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Apel joined the Company in April 2025 and received a $200,000 relocation bonus.</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O'Brian received tax and financial advisory services of $16,543 in fiscal year 2025.</w:t>
      </w:r>
    </w:p>
    <w:p>
      <w:pPr>
        <w:spacing w:after="0" w:line="1" w:lineRule="exact"/>
        <w:rPr>
          <w:rFonts w:ascii="Arial" w:cs="Arial" w:eastAsia="Arial" w:hAnsi="Arial"/>
          <w:sz w:val="14"/>
          <w:szCs w:val="14"/>
          <w:color w:val="auto"/>
        </w:rPr>
      </w:pPr>
    </w:p>
    <w:p>
      <w:pPr>
        <w:ind w:left="420" w:hanging="412"/>
        <w:spacing w:after="0" w:line="241" w:lineRule="auto"/>
        <w:tabs>
          <w:tab w:leader="none" w:pos="4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Myszkowski served as the Company's Chief Financial Officer until May 2025, at which time he transitioned to the role of employee advisor until January 31, 2026 in order to assist with the CFO transition with a base salary of $200,000 in such role. The amounts reported in the table above include amounts he received in both roles. Mr. Myszkowski received tax and financial advisory services of $16,543 in fiscal year 2025.</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726440</wp:posOffset>
            </wp:positionV>
            <wp:extent cx="98615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0" w:type="dxa"/>
            <w:vAlign w:val="bottom"/>
            <w:gridSpan w:val="4"/>
          </w:tcPr>
          <w:p>
            <w:pPr>
              <w:ind w:left="560"/>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Executive Compensation</w:t>
            </w:r>
          </w:p>
        </w:tc>
        <w:tc>
          <w:tcPr>
            <w:tcW w:w="0" w:type="dxa"/>
            <w:vAlign w:val="bottom"/>
          </w:tcPr>
          <w:p>
            <w:pPr>
              <w:spacing w:after="0"/>
              <w:rPr>
                <w:sz w:val="1"/>
                <w:szCs w:val="1"/>
                <w:color w:val="auto"/>
              </w:rPr>
            </w:pPr>
          </w:p>
        </w:tc>
      </w:tr>
      <w:tr>
        <w:trPr>
          <w:trHeight w:val="1013"/>
        </w:trPr>
        <w:tc>
          <w:tcPr>
            <w:tcW w:w="4900" w:type="dxa"/>
            <w:vAlign w:val="bottom"/>
            <w:gridSpan w:val="4"/>
          </w:tcPr>
          <w:p>
            <w:pPr>
              <w:spacing w:after="0"/>
              <w:rPr>
                <w:sz w:val="20"/>
                <w:szCs w:val="20"/>
                <w:color w:val="auto"/>
              </w:rPr>
            </w:pPr>
            <w:r>
              <w:rPr>
                <w:rFonts w:ascii="Arial" w:cs="Arial" w:eastAsia="Arial" w:hAnsi="Arial"/>
                <w:sz w:val="22"/>
                <w:szCs w:val="22"/>
                <w:b w:val="1"/>
                <w:bCs w:val="1"/>
                <w:color w:val="4C4C4C"/>
                <w:w w:val="98"/>
              </w:rPr>
              <w:t>Fiscal 2025 Grants of Plan Based Awards Table</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0071CE"/>
            </w:tcBorders>
          </w:tcPr>
          <w:p>
            <w:pPr>
              <w:spacing w:after="0"/>
              <w:rPr>
                <w:sz w:val="4"/>
                <w:szCs w:val="4"/>
                <w:color w:val="auto"/>
              </w:rPr>
            </w:pPr>
          </w:p>
        </w:tc>
        <w:tc>
          <w:tcPr>
            <w:tcW w:w="100" w:type="dxa"/>
            <w:vAlign w:val="bottom"/>
            <w:tcBorders>
              <w:bottom w:val="single" w:sz="8" w:color="0071CE"/>
            </w:tcBorders>
          </w:tcPr>
          <w:p>
            <w:pPr>
              <w:spacing w:after="0"/>
              <w:rPr>
                <w:sz w:val="4"/>
                <w:szCs w:val="4"/>
                <w:color w:val="auto"/>
              </w:rPr>
            </w:pPr>
          </w:p>
        </w:tc>
        <w:tc>
          <w:tcPr>
            <w:tcW w:w="3880" w:type="dxa"/>
            <w:vAlign w:val="bottom"/>
            <w:tcBorders>
              <w:bottom w:val="single" w:sz="8" w:color="0071CE"/>
            </w:tcBorders>
          </w:tcPr>
          <w:p>
            <w:pPr>
              <w:spacing w:after="0"/>
              <w:rPr>
                <w:sz w:val="4"/>
                <w:szCs w:val="4"/>
                <w:color w:val="auto"/>
              </w:rPr>
            </w:pPr>
          </w:p>
        </w:tc>
        <w:tc>
          <w:tcPr>
            <w:tcW w:w="980" w:type="dxa"/>
            <w:vAlign w:val="bottom"/>
            <w:tcBorders>
              <w:bottom w:val="single" w:sz="8" w:color="0071CE"/>
            </w:tcBorders>
            <w:gridSpan w:val="2"/>
          </w:tcPr>
          <w:p>
            <w:pPr>
              <w:spacing w:after="0"/>
              <w:rPr>
                <w:sz w:val="4"/>
                <w:szCs w:val="4"/>
                <w:color w:val="auto"/>
              </w:rPr>
            </w:pPr>
          </w:p>
        </w:tc>
        <w:tc>
          <w:tcPr>
            <w:tcW w:w="2060" w:type="dxa"/>
            <w:vAlign w:val="bottom"/>
            <w:tcBorders>
              <w:bottom w:val="single" w:sz="8" w:color="0071CE"/>
            </w:tcBorders>
            <w:gridSpan w:val="2"/>
          </w:tcPr>
          <w:p>
            <w:pPr>
              <w:spacing w:after="0"/>
              <w:rPr>
                <w:sz w:val="4"/>
                <w:szCs w:val="4"/>
                <w:color w:val="auto"/>
              </w:rPr>
            </w:pPr>
          </w:p>
        </w:tc>
        <w:tc>
          <w:tcPr>
            <w:tcW w:w="1440" w:type="dxa"/>
            <w:vAlign w:val="bottom"/>
            <w:tcBorders>
              <w:bottom w:val="single" w:sz="8" w:color="0071CE"/>
            </w:tcBorders>
          </w:tcPr>
          <w:p>
            <w:pPr>
              <w:spacing w:after="0"/>
              <w:rPr>
                <w:sz w:val="4"/>
                <w:szCs w:val="4"/>
                <w:color w:val="auto"/>
              </w:rPr>
            </w:pPr>
          </w:p>
        </w:tc>
        <w:tc>
          <w:tcPr>
            <w:tcW w:w="1400" w:type="dxa"/>
            <w:vAlign w:val="bottom"/>
            <w:tcBorders>
              <w:bottom w:val="single" w:sz="8" w:color="0071CE"/>
            </w:tcBorders>
          </w:tcPr>
          <w:p>
            <w:pPr>
              <w:spacing w:after="0"/>
              <w:rPr>
                <w:sz w:val="4"/>
                <w:szCs w:val="4"/>
                <w:color w:val="auto"/>
              </w:rPr>
            </w:pPr>
          </w:p>
        </w:tc>
        <w:tc>
          <w:tcPr>
            <w:tcW w:w="1340" w:type="dxa"/>
            <w:vAlign w:val="bottom"/>
            <w:tcBorders>
              <w:bottom w:val="single" w:sz="8" w:color="0071CE"/>
            </w:tcBorders>
          </w:tcPr>
          <w:p>
            <w:pPr>
              <w:spacing w:after="0"/>
              <w:rPr>
                <w:sz w:val="4"/>
                <w:szCs w:val="4"/>
                <w:color w:val="auto"/>
              </w:rPr>
            </w:pPr>
          </w:p>
        </w:tc>
        <w:tc>
          <w:tcPr>
            <w:tcW w:w="20" w:type="dxa"/>
            <w:vAlign w:val="bottom"/>
            <w:tcBorders>
              <w:bottom w:val="single" w:sz="8" w:color="0071CE"/>
            </w:tcBorders>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7040" w:type="dxa"/>
            <w:vAlign w:val="bottom"/>
            <w:gridSpan w:val="7"/>
          </w:tcPr>
          <w:p>
            <w:pPr>
              <w:spacing w:after="0"/>
              <w:rPr>
                <w:sz w:val="20"/>
                <w:szCs w:val="20"/>
                <w:color w:val="auto"/>
              </w:rPr>
            </w:pPr>
            <w:r>
              <w:rPr>
                <w:rFonts w:ascii="Arial" w:cs="Arial" w:eastAsia="Arial" w:hAnsi="Arial"/>
                <w:sz w:val="16"/>
                <w:szCs w:val="16"/>
                <w:color w:val="auto"/>
              </w:rPr>
              <w:t>The following table sets forth cash bonus and equity grants made to the NEOs in fiscal 2025:</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shd w:val="clear" w:color="auto" w:fill="0071CE"/>
          </w:tcPr>
          <w:p>
            <w:pPr>
              <w:spacing w:after="0"/>
              <w:rPr>
                <w:sz w:val="20"/>
                <w:szCs w:val="20"/>
                <w:color w:val="auto"/>
              </w:rPr>
            </w:pPr>
          </w:p>
        </w:tc>
        <w:tc>
          <w:tcPr>
            <w:tcW w:w="3880" w:type="dxa"/>
            <w:vAlign w:val="bottom"/>
            <w:shd w:val="clear" w:color="auto" w:fill="0071CE"/>
          </w:tcPr>
          <w:p>
            <w:pPr>
              <w:spacing w:after="0"/>
              <w:rPr>
                <w:sz w:val="20"/>
                <w:szCs w:val="20"/>
                <w:color w:val="auto"/>
              </w:rPr>
            </w:pPr>
          </w:p>
        </w:tc>
        <w:tc>
          <w:tcPr>
            <w:tcW w:w="900" w:type="dxa"/>
            <w:vAlign w:val="bottom"/>
            <w:shd w:val="clear" w:color="auto" w:fill="0071CE"/>
          </w:tcPr>
          <w:p>
            <w:pPr>
              <w:spacing w:after="0"/>
              <w:rPr>
                <w:sz w:val="20"/>
                <w:szCs w:val="20"/>
                <w:color w:val="auto"/>
              </w:rPr>
            </w:pPr>
          </w:p>
        </w:tc>
        <w:tc>
          <w:tcPr>
            <w:tcW w:w="80" w:type="dxa"/>
            <w:vAlign w:val="bottom"/>
            <w:shd w:val="clear" w:color="auto" w:fill="0071CE"/>
          </w:tcPr>
          <w:p>
            <w:pPr>
              <w:spacing w:after="0"/>
              <w:rPr>
                <w:sz w:val="20"/>
                <w:szCs w:val="20"/>
                <w:color w:val="auto"/>
              </w:rPr>
            </w:pPr>
          </w:p>
        </w:tc>
        <w:tc>
          <w:tcPr>
            <w:tcW w:w="920" w:type="dxa"/>
            <w:vAlign w:val="bottom"/>
            <w:shd w:val="clear" w:color="auto" w:fill="0071CE"/>
          </w:tcPr>
          <w:p>
            <w:pPr>
              <w:spacing w:after="0"/>
              <w:rPr>
                <w:sz w:val="20"/>
                <w:szCs w:val="20"/>
                <w:color w:val="auto"/>
              </w:rPr>
            </w:pPr>
          </w:p>
        </w:tc>
        <w:tc>
          <w:tcPr>
            <w:tcW w:w="1140" w:type="dxa"/>
            <w:vAlign w:val="bottom"/>
            <w:shd w:val="clear" w:color="auto" w:fill="0071CE"/>
          </w:tcPr>
          <w:p>
            <w:pPr>
              <w:spacing w:after="0"/>
              <w:rPr>
                <w:sz w:val="20"/>
                <w:szCs w:val="20"/>
                <w:color w:val="auto"/>
              </w:rPr>
            </w:pPr>
          </w:p>
        </w:tc>
        <w:tc>
          <w:tcPr>
            <w:tcW w:w="1440" w:type="dxa"/>
            <w:vAlign w:val="bottom"/>
            <w:shd w:val="clear" w:color="auto" w:fill="0071CE"/>
          </w:tcPr>
          <w:p>
            <w:pPr>
              <w:jc w:val="center"/>
              <w:ind w:right="2"/>
              <w:spacing w:after="0"/>
              <w:rPr>
                <w:sz w:val="20"/>
                <w:szCs w:val="20"/>
                <w:color w:val="auto"/>
              </w:rPr>
            </w:pPr>
            <w:r>
              <w:rPr>
                <w:rFonts w:ascii="Arial" w:cs="Arial" w:eastAsia="Arial" w:hAnsi="Arial"/>
                <w:sz w:val="14"/>
                <w:szCs w:val="14"/>
                <w:b w:val="1"/>
                <w:bCs w:val="1"/>
                <w:color w:val="FFFFFF"/>
              </w:rPr>
              <w:t>Estimated</w:t>
            </w:r>
          </w:p>
        </w:tc>
        <w:tc>
          <w:tcPr>
            <w:tcW w:w="1400" w:type="dxa"/>
            <w:vAlign w:val="bottom"/>
            <w:shd w:val="clear" w:color="auto" w:fill="0071CE"/>
          </w:tcPr>
          <w:p>
            <w:pPr>
              <w:spacing w:after="0"/>
              <w:rPr>
                <w:sz w:val="20"/>
                <w:szCs w:val="20"/>
                <w:color w:val="auto"/>
              </w:rPr>
            </w:pPr>
          </w:p>
        </w:tc>
        <w:tc>
          <w:tcPr>
            <w:tcW w:w="1340" w:type="dxa"/>
            <w:vAlign w:val="bottom"/>
            <w:shd w:val="clear" w:color="auto" w:fill="0071C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388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2060" w:type="dxa"/>
            <w:vAlign w:val="bottom"/>
            <w:gridSpan w:val="2"/>
            <w:vMerge w:val="restart"/>
            <w:shd w:val="clear" w:color="auto" w:fill="0071CE"/>
          </w:tcPr>
          <w:p>
            <w:pPr>
              <w:jc w:val="center"/>
              <w:ind w:right="4"/>
              <w:spacing w:after="0"/>
              <w:rPr>
                <w:sz w:val="20"/>
                <w:szCs w:val="20"/>
                <w:color w:val="auto"/>
              </w:rPr>
            </w:pPr>
            <w:r>
              <w:rPr>
                <w:rFonts w:ascii="Arial" w:cs="Arial" w:eastAsia="Arial" w:hAnsi="Arial"/>
                <w:sz w:val="14"/>
                <w:szCs w:val="14"/>
                <w:b w:val="1"/>
                <w:bCs w:val="1"/>
                <w:color w:val="FFFFFF"/>
              </w:rPr>
              <w:t>Estimated Future Payouts</w:t>
            </w:r>
          </w:p>
        </w:tc>
        <w:tc>
          <w:tcPr>
            <w:tcW w:w="1440" w:type="dxa"/>
            <w:vAlign w:val="bottom"/>
            <w:shd w:val="clear" w:color="auto" w:fill="0071CE"/>
          </w:tcPr>
          <w:p>
            <w:pPr>
              <w:jc w:val="center"/>
              <w:ind w:right="2"/>
              <w:spacing w:after="0" w:line="139" w:lineRule="exact"/>
              <w:rPr>
                <w:sz w:val="20"/>
                <w:szCs w:val="20"/>
                <w:color w:val="auto"/>
              </w:rPr>
            </w:pPr>
            <w:r>
              <w:rPr>
                <w:rFonts w:ascii="Arial" w:cs="Arial" w:eastAsia="Arial" w:hAnsi="Arial"/>
                <w:sz w:val="14"/>
                <w:szCs w:val="14"/>
                <w:b w:val="1"/>
                <w:bCs w:val="1"/>
                <w:color w:val="FFFFFF"/>
              </w:rPr>
              <w:t>Future Payouts</w:t>
            </w:r>
          </w:p>
        </w:tc>
        <w:tc>
          <w:tcPr>
            <w:tcW w:w="140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388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2060" w:type="dxa"/>
            <w:vAlign w:val="bottom"/>
            <w:gridSpan w:val="2"/>
            <w:vMerge w:val="continue"/>
            <w:shd w:val="clear" w:color="auto" w:fill="0071CE"/>
          </w:tcPr>
          <w:p>
            <w:pPr>
              <w:spacing w:after="0"/>
              <w:rPr>
                <w:sz w:val="12"/>
                <w:szCs w:val="12"/>
                <w:color w:val="auto"/>
              </w:rPr>
            </w:pPr>
          </w:p>
        </w:tc>
        <w:tc>
          <w:tcPr>
            <w:tcW w:w="1440" w:type="dxa"/>
            <w:vAlign w:val="bottom"/>
            <w:shd w:val="clear" w:color="auto" w:fill="0071CE"/>
          </w:tcPr>
          <w:p>
            <w:pPr>
              <w:jc w:val="center"/>
              <w:ind w:right="2"/>
              <w:spacing w:after="0" w:line="149" w:lineRule="exact"/>
              <w:rPr>
                <w:sz w:val="20"/>
                <w:szCs w:val="20"/>
                <w:color w:val="auto"/>
              </w:rPr>
            </w:pPr>
            <w:r>
              <w:rPr>
                <w:rFonts w:ascii="Arial" w:cs="Arial" w:eastAsia="Arial" w:hAnsi="Arial"/>
                <w:sz w:val="14"/>
                <w:szCs w:val="14"/>
                <w:b w:val="1"/>
                <w:bCs w:val="1"/>
                <w:color w:val="FFFFFF"/>
              </w:rPr>
              <w:t>Under Equity</w:t>
            </w:r>
          </w:p>
        </w:tc>
        <w:tc>
          <w:tcPr>
            <w:tcW w:w="14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All Other Stock</w:t>
            </w:r>
          </w:p>
        </w:tc>
        <w:tc>
          <w:tcPr>
            <w:tcW w:w="1340" w:type="dxa"/>
            <w:vAlign w:val="bottom"/>
            <w:shd w:val="clear" w:color="auto" w:fill="0071C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388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2060" w:type="dxa"/>
            <w:vAlign w:val="bottom"/>
            <w:gridSpan w:val="2"/>
            <w:shd w:val="clear" w:color="auto" w:fill="0071CE"/>
          </w:tcPr>
          <w:p>
            <w:pPr>
              <w:jc w:val="center"/>
              <w:ind w:right="4"/>
              <w:spacing w:after="0" w:line="145" w:lineRule="exact"/>
              <w:rPr>
                <w:sz w:val="20"/>
                <w:szCs w:val="20"/>
                <w:color w:val="auto"/>
              </w:rPr>
            </w:pPr>
            <w:r>
              <w:rPr>
                <w:rFonts w:ascii="Arial" w:cs="Arial" w:eastAsia="Arial" w:hAnsi="Arial"/>
                <w:sz w:val="14"/>
                <w:szCs w:val="14"/>
                <w:b w:val="1"/>
                <w:bCs w:val="1"/>
                <w:color w:val="FFFFFF"/>
              </w:rPr>
              <w:t>Under Non-Equity</w:t>
            </w:r>
          </w:p>
        </w:tc>
        <w:tc>
          <w:tcPr>
            <w:tcW w:w="1440" w:type="dxa"/>
            <w:vAlign w:val="bottom"/>
            <w:shd w:val="clear" w:color="auto" w:fill="0071CE"/>
          </w:tcPr>
          <w:p>
            <w:pPr>
              <w:jc w:val="center"/>
              <w:ind w:right="2"/>
              <w:spacing w:after="0" w:line="145" w:lineRule="exact"/>
              <w:rPr>
                <w:sz w:val="20"/>
                <w:szCs w:val="20"/>
                <w:color w:val="auto"/>
              </w:rPr>
            </w:pPr>
            <w:r>
              <w:rPr>
                <w:rFonts w:ascii="Arial" w:cs="Arial" w:eastAsia="Arial" w:hAnsi="Arial"/>
                <w:sz w:val="14"/>
                <w:szCs w:val="14"/>
                <w:b w:val="1"/>
                <w:bCs w:val="1"/>
                <w:color w:val="FFFFFF"/>
              </w:rPr>
              <w:t>Incentive Plan</w:t>
            </w:r>
          </w:p>
        </w:tc>
        <w:tc>
          <w:tcPr>
            <w:tcW w:w="1400" w:type="dxa"/>
            <w:vAlign w:val="bottom"/>
            <w:vMerge w:val="continue"/>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3880" w:type="dxa"/>
            <w:vAlign w:val="bottom"/>
            <w:shd w:val="clear" w:color="auto" w:fill="0071CE"/>
          </w:tcPr>
          <w:p>
            <w:pPr>
              <w:spacing w:after="0"/>
              <w:rPr>
                <w:sz w:val="12"/>
                <w:szCs w:val="12"/>
                <w:color w:val="auto"/>
              </w:rPr>
            </w:pPr>
          </w:p>
        </w:tc>
        <w:tc>
          <w:tcPr>
            <w:tcW w:w="900" w:type="dxa"/>
            <w:vAlign w:val="bottom"/>
            <w:shd w:val="clear" w:color="auto" w:fill="0071CE"/>
          </w:tcPr>
          <w:p>
            <w:pPr>
              <w:spacing w:after="0"/>
              <w:rPr>
                <w:sz w:val="12"/>
                <w:szCs w:val="12"/>
                <w:color w:val="auto"/>
              </w:rPr>
            </w:pPr>
          </w:p>
        </w:tc>
        <w:tc>
          <w:tcPr>
            <w:tcW w:w="80" w:type="dxa"/>
            <w:vAlign w:val="bottom"/>
            <w:shd w:val="clear" w:color="auto" w:fill="0071CE"/>
          </w:tcPr>
          <w:p>
            <w:pPr>
              <w:spacing w:after="0"/>
              <w:rPr>
                <w:sz w:val="12"/>
                <w:szCs w:val="12"/>
                <w:color w:val="auto"/>
              </w:rPr>
            </w:pPr>
          </w:p>
        </w:tc>
        <w:tc>
          <w:tcPr>
            <w:tcW w:w="2060" w:type="dxa"/>
            <w:vAlign w:val="bottom"/>
            <w:gridSpan w:val="2"/>
            <w:shd w:val="clear" w:color="auto" w:fill="0071CE"/>
          </w:tcPr>
          <w:p>
            <w:pPr>
              <w:jc w:val="center"/>
              <w:ind w:right="4"/>
              <w:spacing w:after="0" w:line="149" w:lineRule="exact"/>
              <w:rPr>
                <w:sz w:val="20"/>
                <w:szCs w:val="20"/>
                <w:color w:val="auto"/>
              </w:rPr>
            </w:pPr>
            <w:r>
              <w:rPr>
                <w:rFonts w:ascii="Arial" w:cs="Arial" w:eastAsia="Arial" w:hAnsi="Arial"/>
                <w:sz w:val="14"/>
                <w:szCs w:val="14"/>
                <w:b w:val="1"/>
                <w:bCs w:val="1"/>
                <w:color w:val="FFFFFF"/>
              </w:rPr>
              <w:t>Incentive Plan Awards (1)</w:t>
            </w:r>
          </w:p>
        </w:tc>
        <w:tc>
          <w:tcPr>
            <w:tcW w:w="1440" w:type="dxa"/>
            <w:vAlign w:val="bottom"/>
            <w:shd w:val="clear" w:color="auto" w:fill="0071CE"/>
          </w:tcPr>
          <w:p>
            <w:pPr>
              <w:jc w:val="center"/>
              <w:ind w:right="2"/>
              <w:spacing w:after="0" w:line="149" w:lineRule="exact"/>
              <w:rPr>
                <w:sz w:val="20"/>
                <w:szCs w:val="20"/>
                <w:color w:val="auto"/>
              </w:rPr>
            </w:pPr>
            <w:r>
              <w:rPr>
                <w:rFonts w:ascii="Arial" w:cs="Arial" w:eastAsia="Arial" w:hAnsi="Arial"/>
                <w:sz w:val="14"/>
                <w:szCs w:val="14"/>
                <w:b w:val="1"/>
                <w:bCs w:val="1"/>
                <w:color w:val="FFFFFF"/>
              </w:rPr>
              <w:t>Awards (2)</w:t>
            </w:r>
          </w:p>
        </w:tc>
        <w:tc>
          <w:tcPr>
            <w:tcW w:w="14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Awards: Number</w:t>
            </w: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Grant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shd w:val="clear" w:color="auto" w:fill="0071CE"/>
          </w:tcPr>
          <w:p>
            <w:pPr>
              <w:spacing w:after="0"/>
              <w:rPr>
                <w:sz w:val="11"/>
                <w:szCs w:val="11"/>
                <w:color w:val="auto"/>
              </w:rPr>
            </w:pPr>
          </w:p>
        </w:tc>
        <w:tc>
          <w:tcPr>
            <w:tcW w:w="3880" w:type="dxa"/>
            <w:vAlign w:val="bottom"/>
            <w:shd w:val="clear" w:color="auto" w:fill="0071CE"/>
          </w:tcPr>
          <w:p>
            <w:pPr>
              <w:spacing w:after="0"/>
              <w:rPr>
                <w:sz w:val="11"/>
                <w:szCs w:val="11"/>
                <w:color w:val="auto"/>
              </w:rPr>
            </w:pPr>
          </w:p>
        </w:tc>
        <w:tc>
          <w:tcPr>
            <w:tcW w:w="900" w:type="dxa"/>
            <w:vAlign w:val="bottom"/>
            <w:shd w:val="clear" w:color="auto" w:fill="0071CE"/>
          </w:tcPr>
          <w:p>
            <w:pPr>
              <w:spacing w:after="0"/>
              <w:rPr>
                <w:sz w:val="11"/>
                <w:szCs w:val="11"/>
                <w:color w:val="auto"/>
              </w:rPr>
            </w:pPr>
          </w:p>
        </w:tc>
        <w:tc>
          <w:tcPr>
            <w:tcW w:w="80" w:type="dxa"/>
            <w:vAlign w:val="bottom"/>
            <w:shd w:val="clear" w:color="auto" w:fill="0071CE"/>
          </w:tcPr>
          <w:p>
            <w:pPr>
              <w:spacing w:after="0"/>
              <w:rPr>
                <w:sz w:val="11"/>
                <w:szCs w:val="11"/>
                <w:color w:val="auto"/>
              </w:rPr>
            </w:pPr>
          </w:p>
        </w:tc>
        <w:tc>
          <w:tcPr>
            <w:tcW w:w="920" w:type="dxa"/>
            <w:vAlign w:val="bottom"/>
            <w:shd w:val="clear" w:color="auto" w:fill="0071CE"/>
          </w:tcPr>
          <w:p>
            <w:pPr>
              <w:spacing w:after="0"/>
              <w:rPr>
                <w:sz w:val="11"/>
                <w:szCs w:val="11"/>
                <w:color w:val="auto"/>
              </w:rPr>
            </w:pPr>
          </w:p>
        </w:tc>
        <w:tc>
          <w:tcPr>
            <w:tcW w:w="1140" w:type="dxa"/>
            <w:vAlign w:val="bottom"/>
            <w:shd w:val="clear" w:color="auto" w:fill="0071CE"/>
          </w:tcPr>
          <w:p>
            <w:pPr>
              <w:spacing w:after="0"/>
              <w:rPr>
                <w:sz w:val="11"/>
                <w:szCs w:val="11"/>
                <w:color w:val="auto"/>
              </w:rPr>
            </w:pPr>
          </w:p>
        </w:tc>
        <w:tc>
          <w:tcPr>
            <w:tcW w:w="1440" w:type="dxa"/>
            <w:vAlign w:val="bottom"/>
            <w:shd w:val="clear" w:color="auto" w:fill="0071CE"/>
          </w:tcPr>
          <w:p>
            <w:pPr>
              <w:spacing w:after="0"/>
              <w:rPr>
                <w:sz w:val="11"/>
                <w:szCs w:val="11"/>
                <w:color w:val="auto"/>
              </w:rPr>
            </w:pPr>
          </w:p>
        </w:tc>
        <w:tc>
          <w:tcPr>
            <w:tcW w:w="140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of Shares of</w:t>
            </w:r>
          </w:p>
        </w:tc>
        <w:tc>
          <w:tcPr>
            <w:tcW w:w="1340" w:type="dxa"/>
            <w:vAlign w:val="bottom"/>
            <w:vMerge w:val="continue"/>
            <w:shd w:val="clear" w:color="auto" w:fill="0071C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shd w:val="clear" w:color="auto" w:fill="0071CE"/>
          </w:tcPr>
          <w:p>
            <w:pPr>
              <w:spacing w:after="0"/>
              <w:rPr>
                <w:sz w:val="11"/>
                <w:szCs w:val="11"/>
                <w:color w:val="auto"/>
              </w:rPr>
            </w:pPr>
          </w:p>
        </w:tc>
        <w:tc>
          <w:tcPr>
            <w:tcW w:w="3880" w:type="dxa"/>
            <w:vAlign w:val="bottom"/>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w:t>
            </w:r>
          </w:p>
        </w:tc>
        <w:tc>
          <w:tcPr>
            <w:tcW w:w="900" w:type="dxa"/>
            <w:vAlign w:val="bottom"/>
            <w:shd w:val="clear" w:color="auto" w:fill="0071CE"/>
          </w:tcPr>
          <w:p>
            <w:pPr>
              <w:spacing w:after="0"/>
              <w:rPr>
                <w:sz w:val="11"/>
                <w:szCs w:val="11"/>
                <w:color w:val="auto"/>
              </w:rPr>
            </w:pPr>
          </w:p>
        </w:tc>
        <w:tc>
          <w:tcPr>
            <w:tcW w:w="80" w:type="dxa"/>
            <w:vAlign w:val="bottom"/>
            <w:shd w:val="clear" w:color="auto" w:fill="0071CE"/>
          </w:tcPr>
          <w:p>
            <w:pPr>
              <w:spacing w:after="0"/>
              <w:rPr>
                <w:sz w:val="11"/>
                <w:szCs w:val="11"/>
                <w:color w:val="auto"/>
              </w:rPr>
            </w:pPr>
          </w:p>
        </w:tc>
        <w:tc>
          <w:tcPr>
            <w:tcW w:w="920" w:type="dxa"/>
            <w:vAlign w:val="bottom"/>
            <w:shd w:val="clear" w:color="auto" w:fill="0071CE"/>
          </w:tcPr>
          <w:p>
            <w:pPr>
              <w:spacing w:after="0"/>
              <w:rPr>
                <w:sz w:val="11"/>
                <w:szCs w:val="11"/>
                <w:color w:val="auto"/>
              </w:rPr>
            </w:pPr>
          </w:p>
        </w:tc>
        <w:tc>
          <w:tcPr>
            <w:tcW w:w="1140" w:type="dxa"/>
            <w:vAlign w:val="bottom"/>
            <w:shd w:val="clear" w:color="auto" w:fill="0071CE"/>
          </w:tcPr>
          <w:p>
            <w:pPr>
              <w:spacing w:after="0"/>
              <w:rPr>
                <w:sz w:val="11"/>
                <w:szCs w:val="11"/>
                <w:color w:val="auto"/>
              </w:rPr>
            </w:pPr>
          </w:p>
        </w:tc>
        <w:tc>
          <w:tcPr>
            <w:tcW w:w="1440" w:type="dxa"/>
            <w:vAlign w:val="bottom"/>
            <w:shd w:val="clear" w:color="auto" w:fill="0071CE"/>
          </w:tcPr>
          <w:p>
            <w:pPr>
              <w:spacing w:after="0"/>
              <w:rPr>
                <w:sz w:val="11"/>
                <w:szCs w:val="11"/>
                <w:color w:val="auto"/>
              </w:rPr>
            </w:pPr>
          </w:p>
        </w:tc>
        <w:tc>
          <w:tcPr>
            <w:tcW w:w="140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Stock or Units</w:t>
            </w:r>
          </w:p>
        </w:tc>
        <w:tc>
          <w:tcPr>
            <w:tcW w:w="134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Date 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0071CE"/>
            </w:tcBorders>
            <w:shd w:val="clear" w:color="auto" w:fill="0071CE"/>
          </w:tcPr>
          <w:p>
            <w:pPr>
              <w:spacing w:after="0"/>
              <w:rPr>
                <w:sz w:val="14"/>
                <w:szCs w:val="14"/>
                <w:color w:val="auto"/>
              </w:rPr>
            </w:pPr>
          </w:p>
        </w:tc>
        <w:tc>
          <w:tcPr>
            <w:tcW w:w="3880" w:type="dxa"/>
            <w:vAlign w:val="bottom"/>
            <w:tcBorders>
              <w:bottom w:val="single" w:sz="8" w:color="0071CE"/>
            </w:tcBorders>
            <w:vMerge w:val="continue"/>
            <w:shd w:val="clear" w:color="auto" w:fill="0071CE"/>
          </w:tcPr>
          <w:p>
            <w:pPr>
              <w:spacing w:after="0"/>
              <w:rPr>
                <w:sz w:val="14"/>
                <w:szCs w:val="14"/>
                <w:color w:val="auto"/>
              </w:rPr>
            </w:pPr>
          </w:p>
        </w:tc>
        <w:tc>
          <w:tcPr>
            <w:tcW w:w="9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Grant Date</w:t>
            </w:r>
          </w:p>
        </w:tc>
        <w:tc>
          <w:tcPr>
            <w:tcW w:w="80" w:type="dxa"/>
            <w:vAlign w:val="bottom"/>
            <w:tcBorders>
              <w:bottom w:val="single" w:sz="8" w:color="0071CE"/>
            </w:tcBorders>
            <w:shd w:val="clear" w:color="auto" w:fill="0071CE"/>
          </w:tcPr>
          <w:p>
            <w:pPr>
              <w:spacing w:after="0"/>
              <w:rPr>
                <w:sz w:val="14"/>
                <w:szCs w:val="14"/>
                <w:color w:val="auto"/>
              </w:rPr>
            </w:pPr>
          </w:p>
        </w:tc>
        <w:tc>
          <w:tcPr>
            <w:tcW w:w="92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Target ($)</w:t>
            </w:r>
          </w:p>
        </w:tc>
        <w:tc>
          <w:tcPr>
            <w:tcW w:w="1140" w:type="dxa"/>
            <w:vAlign w:val="bottom"/>
            <w:tcBorders>
              <w:bottom w:val="single" w:sz="8" w:color="0071CE"/>
            </w:tcBorders>
            <w:shd w:val="clear" w:color="auto" w:fill="0071CE"/>
          </w:tcPr>
          <w:p>
            <w:pPr>
              <w:jc w:val="right"/>
              <w:ind w:right="104"/>
              <w:spacing w:after="0"/>
              <w:rPr>
                <w:sz w:val="20"/>
                <w:szCs w:val="20"/>
                <w:color w:val="auto"/>
              </w:rPr>
            </w:pPr>
            <w:r>
              <w:rPr>
                <w:rFonts w:ascii="Arial" w:cs="Arial" w:eastAsia="Arial" w:hAnsi="Arial"/>
                <w:sz w:val="14"/>
                <w:szCs w:val="14"/>
                <w:b w:val="1"/>
                <w:bCs w:val="1"/>
                <w:color w:val="FFFFFF"/>
              </w:rPr>
              <w:t>Maximum ($)</w:t>
            </w:r>
          </w:p>
        </w:tc>
        <w:tc>
          <w:tcPr>
            <w:tcW w:w="1440" w:type="dxa"/>
            <w:vAlign w:val="bottom"/>
            <w:tcBorders>
              <w:bottom w:val="single" w:sz="8" w:color="0071CE"/>
            </w:tcBorders>
            <w:shd w:val="clear" w:color="auto" w:fill="0071CE"/>
          </w:tcPr>
          <w:p>
            <w:pPr>
              <w:jc w:val="center"/>
              <w:ind w:right="2"/>
              <w:spacing w:after="0"/>
              <w:rPr>
                <w:sz w:val="20"/>
                <w:szCs w:val="20"/>
                <w:color w:val="auto"/>
              </w:rPr>
            </w:pPr>
            <w:r>
              <w:rPr>
                <w:rFonts w:ascii="Arial" w:cs="Arial" w:eastAsia="Arial" w:hAnsi="Arial"/>
                <w:sz w:val="14"/>
                <w:szCs w:val="14"/>
                <w:b w:val="1"/>
                <w:bCs w:val="1"/>
                <w:color w:val="FFFFFF"/>
              </w:rPr>
              <w:t>Target (#)</w:t>
            </w:r>
          </w:p>
        </w:tc>
        <w:tc>
          <w:tcPr>
            <w:tcW w:w="14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 (3)</w:t>
            </w:r>
          </w:p>
        </w:tc>
        <w:tc>
          <w:tcPr>
            <w:tcW w:w="13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Christopher Anzalone</w:t>
            </w:r>
          </w:p>
        </w:tc>
        <w:tc>
          <w:tcPr>
            <w:tcW w:w="9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140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shd w:val="clear" w:color="auto" w:fill="E5E5E5"/>
              </w:rPr>
              <w:t>Cash Bonus</w:t>
            </w:r>
          </w:p>
        </w:tc>
        <w:tc>
          <w:tcPr>
            <w:tcW w:w="90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center"/>
              <w:spacing w:after="0"/>
              <w:rPr>
                <w:sz w:val="20"/>
                <w:szCs w:val="20"/>
                <w:color w:val="auto"/>
              </w:rPr>
            </w:pPr>
            <w:r>
              <w:rPr>
                <w:rFonts w:ascii="Arial" w:cs="Arial" w:eastAsia="Arial" w:hAnsi="Arial"/>
                <w:sz w:val="16"/>
                <w:szCs w:val="16"/>
                <w:color w:val="auto"/>
              </w:rPr>
              <w:t>$988,800</w:t>
            </w:r>
          </w:p>
        </w:tc>
        <w:tc>
          <w:tcPr>
            <w:tcW w:w="1140" w:type="dxa"/>
            <w:vAlign w:val="bottom"/>
            <w:shd w:val="clear" w:color="auto" w:fill="E5E5E5"/>
          </w:tcPr>
          <w:p>
            <w:pPr>
              <w:jc w:val="right"/>
              <w:ind w:right="244"/>
              <w:spacing w:after="0"/>
              <w:rPr>
                <w:sz w:val="20"/>
                <w:szCs w:val="20"/>
                <w:color w:val="auto"/>
              </w:rPr>
            </w:pPr>
            <w:r>
              <w:rPr>
                <w:rFonts w:ascii="Arial" w:cs="Arial" w:eastAsia="Arial" w:hAnsi="Arial"/>
                <w:sz w:val="16"/>
                <w:szCs w:val="16"/>
                <w:color w:val="auto"/>
                <w:w w:val="99"/>
              </w:rPr>
              <w:t>$1,977,600</w:t>
            </w:r>
          </w:p>
        </w:tc>
        <w:tc>
          <w:tcPr>
            <w:tcW w:w="1440" w:type="dxa"/>
            <w:vAlign w:val="bottom"/>
            <w:shd w:val="clear" w:color="auto" w:fill="E5E5E5"/>
          </w:tcPr>
          <w:p>
            <w:pPr>
              <w:ind w:left="1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PRSUs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12/18/2024</w:t>
            </w:r>
          </w:p>
        </w:tc>
        <w:tc>
          <w:tcPr>
            <w:tcW w:w="80" w:type="dxa"/>
            <w:vAlign w:val="bottom"/>
            <w:shd w:val="clear" w:color="auto" w:fill="E5E5E5"/>
          </w:tcPr>
          <w:p>
            <w:pPr>
              <w:spacing w:after="0"/>
              <w:rPr>
                <w:sz w:val="19"/>
                <w:szCs w:val="19"/>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shd w:val="clear" w:color="auto" w:fill="E5E5E5"/>
          </w:tcPr>
          <w:p>
            <w:pPr>
              <w:spacing w:after="0"/>
              <w:rPr>
                <w:sz w:val="19"/>
                <w:szCs w:val="19"/>
                <w:color w:val="auto"/>
              </w:rPr>
            </w:pPr>
          </w:p>
        </w:tc>
        <w:tc>
          <w:tcPr>
            <w:tcW w:w="1440" w:type="dxa"/>
            <w:vAlign w:val="bottom"/>
            <w:shd w:val="clear" w:color="auto" w:fill="E5E5E5"/>
          </w:tcPr>
          <w:p>
            <w:pPr>
              <w:ind w:left="700"/>
              <w:spacing w:after="0"/>
              <w:rPr>
                <w:sz w:val="20"/>
                <w:szCs w:val="20"/>
                <w:color w:val="auto"/>
              </w:rPr>
            </w:pPr>
            <w:r>
              <w:rPr>
                <w:rFonts w:ascii="Arial" w:cs="Arial" w:eastAsia="Arial" w:hAnsi="Arial"/>
                <w:sz w:val="16"/>
                <w:szCs w:val="16"/>
                <w:color w:val="auto"/>
              </w:rPr>
              <w:t>225,000</w:t>
            </w:r>
          </w:p>
        </w:tc>
        <w:tc>
          <w:tcPr>
            <w:tcW w:w="14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$4,581,000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12/18/2024</w:t>
            </w:r>
          </w:p>
        </w:tc>
        <w:tc>
          <w:tcPr>
            <w:tcW w:w="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14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100,000</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02/07/2025</w:t>
            </w:r>
          </w:p>
        </w:tc>
        <w:tc>
          <w:tcPr>
            <w:tcW w:w="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14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9,550</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$193,292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6"/>
                <w:szCs w:val="16"/>
                <w:b w:val="1"/>
                <w:bCs w:val="1"/>
                <w:color w:val="0071CE"/>
              </w:rPr>
              <w:t>Daniel Apel</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$258,750</w:t>
            </w:r>
          </w:p>
        </w:tc>
        <w:tc>
          <w:tcPr>
            <w:tcW w:w="11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6"/>
                <w:szCs w:val="16"/>
                <w:color w:val="auto"/>
              </w:rPr>
              <w:t>RSUs</w:t>
            </w:r>
          </w:p>
        </w:tc>
        <w:tc>
          <w:tcPr>
            <w:tcW w:w="900" w:type="dxa"/>
            <w:vAlign w:val="bottom"/>
          </w:tcPr>
          <w:p>
            <w:pPr>
              <w:jc w:val="center"/>
              <w:spacing w:after="0"/>
              <w:rPr>
                <w:sz w:val="20"/>
                <w:szCs w:val="20"/>
                <w:color w:val="auto"/>
              </w:rPr>
            </w:pPr>
            <w:r>
              <w:rPr>
                <w:rFonts w:ascii="Arial" w:cs="Arial" w:eastAsia="Arial" w:hAnsi="Arial"/>
                <w:sz w:val="16"/>
                <w:szCs w:val="16"/>
                <w:color w:val="auto"/>
              </w:rPr>
              <w:t>04/15/2025</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100,000</w:t>
            </w:r>
          </w:p>
        </w:tc>
        <w:tc>
          <w:tcPr>
            <w:tcW w:w="1340" w:type="dxa"/>
            <w:vAlign w:val="bottom"/>
          </w:tcPr>
          <w:p>
            <w:pPr>
              <w:jc w:val="right"/>
              <w:spacing w:after="0"/>
              <w:rPr>
                <w:sz w:val="20"/>
                <w:szCs w:val="20"/>
                <w:color w:val="auto"/>
              </w:rPr>
            </w:pPr>
            <w:r>
              <w:rPr>
                <w:rFonts w:ascii="Arial" w:cs="Arial" w:eastAsia="Arial" w:hAnsi="Arial"/>
                <w:sz w:val="16"/>
                <w:szCs w:val="16"/>
                <w:color w:val="auto"/>
              </w:rPr>
              <w:t>$1,287,000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88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Patrick O’Brien</w:t>
            </w:r>
          </w:p>
        </w:tc>
        <w:tc>
          <w:tcPr>
            <w:tcW w:w="9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44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center"/>
              <w:spacing w:after="0"/>
              <w:rPr>
                <w:sz w:val="20"/>
                <w:szCs w:val="20"/>
                <w:color w:val="auto"/>
              </w:rPr>
            </w:pPr>
            <w:r>
              <w:rPr>
                <w:rFonts w:ascii="Arial" w:cs="Arial" w:eastAsia="Arial" w:hAnsi="Arial"/>
                <w:sz w:val="16"/>
                <w:szCs w:val="16"/>
                <w:color w:val="auto"/>
              </w:rPr>
              <w:t>$292,500</w:t>
            </w:r>
          </w:p>
        </w:tc>
        <w:tc>
          <w:tcPr>
            <w:tcW w:w="1140" w:type="dxa"/>
            <w:vAlign w:val="bottom"/>
            <w:shd w:val="clear" w:color="auto" w:fill="E5E5E5"/>
          </w:tcPr>
          <w:p>
            <w:pPr>
              <w:spacing w:after="0"/>
              <w:rPr>
                <w:sz w:val="19"/>
                <w:szCs w:val="19"/>
                <w:color w:val="auto"/>
              </w:rPr>
            </w:pPr>
          </w:p>
        </w:tc>
        <w:tc>
          <w:tcPr>
            <w:tcW w:w="1440" w:type="dxa"/>
            <w:vAlign w:val="bottom"/>
            <w:shd w:val="clear" w:color="auto" w:fill="E5E5E5"/>
          </w:tcPr>
          <w:p>
            <w:pPr>
              <w:ind w:left="1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01/04/2025</w:t>
            </w:r>
          </w:p>
        </w:tc>
        <w:tc>
          <w:tcPr>
            <w:tcW w:w="80" w:type="dxa"/>
            <w:vAlign w:val="bottom"/>
            <w:shd w:val="clear" w:color="auto" w:fill="E5E5E5"/>
          </w:tcPr>
          <w:p>
            <w:pPr>
              <w:spacing w:after="0"/>
              <w:rPr>
                <w:sz w:val="18"/>
                <w:szCs w:val="18"/>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shd w:val="clear" w:color="auto" w:fill="E5E5E5"/>
          </w:tcPr>
          <w:p>
            <w:pPr>
              <w:spacing w:after="0"/>
              <w:rPr>
                <w:sz w:val="18"/>
                <w:szCs w:val="18"/>
                <w:color w:val="auto"/>
              </w:rPr>
            </w:pPr>
          </w:p>
        </w:tc>
        <w:tc>
          <w:tcPr>
            <w:tcW w:w="1440" w:type="dxa"/>
            <w:vAlign w:val="bottom"/>
            <w:shd w:val="clear" w:color="auto" w:fill="E5E5E5"/>
          </w:tcPr>
          <w:p>
            <w:pPr>
              <w:ind w:left="1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100,000</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6"/>
                <w:szCs w:val="16"/>
                <w:b w:val="1"/>
                <w:bCs w:val="1"/>
                <w:color w:val="0071CE"/>
              </w:rPr>
              <w:t>James Hamilton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$283,500</w:t>
            </w:r>
          </w:p>
        </w:tc>
        <w:tc>
          <w:tcPr>
            <w:tcW w:w="11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6"/>
                <w:szCs w:val="16"/>
                <w:color w:val="auto"/>
              </w:rPr>
              <w:t>RSUs</w:t>
            </w:r>
          </w:p>
        </w:tc>
        <w:tc>
          <w:tcPr>
            <w:tcW w:w="900" w:type="dxa"/>
            <w:vAlign w:val="bottom"/>
          </w:tcPr>
          <w:p>
            <w:pPr>
              <w:jc w:val="center"/>
              <w:spacing w:after="0"/>
              <w:rPr>
                <w:sz w:val="20"/>
                <w:szCs w:val="20"/>
                <w:color w:val="auto"/>
              </w:rPr>
            </w:pPr>
            <w:r>
              <w:rPr>
                <w:rFonts w:ascii="Arial" w:cs="Arial" w:eastAsia="Arial" w:hAnsi="Arial"/>
                <w:sz w:val="16"/>
                <w:szCs w:val="16"/>
                <w:color w:val="auto"/>
              </w:rPr>
              <w:t>01/04/2025</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100,000</w:t>
            </w:r>
          </w:p>
        </w:tc>
        <w:tc>
          <w:tcPr>
            <w:tcW w:w="1340" w:type="dxa"/>
            <w:vAlign w:val="bottom"/>
          </w:tcPr>
          <w:p>
            <w:pPr>
              <w:jc w:val="right"/>
              <w:spacing w:after="0"/>
              <w:rPr>
                <w:sz w:val="20"/>
                <w:szCs w:val="20"/>
                <w:color w:val="auto"/>
              </w:rPr>
            </w:pPr>
            <w:r>
              <w:rPr>
                <w:rFonts w:ascii="Arial" w:cs="Arial" w:eastAsia="Arial" w:hAnsi="Arial"/>
                <w:sz w:val="16"/>
                <w:szCs w:val="16"/>
                <w:color w:val="auto"/>
              </w:rPr>
              <w:t>$1,979,000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rPr>
              <w:t>Kenneth Myszkowski</w:t>
            </w:r>
          </w:p>
        </w:tc>
        <w:tc>
          <w:tcPr>
            <w:tcW w:w="90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440" w:type="dxa"/>
            <w:vAlign w:val="bottom"/>
            <w:shd w:val="clear" w:color="auto" w:fill="E5E5E5"/>
          </w:tcPr>
          <w:p>
            <w:pPr>
              <w:spacing w:after="0"/>
              <w:rPr>
                <w:sz w:val="18"/>
                <w:szCs w:val="18"/>
                <w:color w:val="auto"/>
              </w:rPr>
            </w:pPr>
          </w:p>
        </w:tc>
        <w:tc>
          <w:tcPr>
            <w:tcW w:w="140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center"/>
              <w:spacing w:after="0"/>
              <w:rPr>
                <w:sz w:val="20"/>
                <w:szCs w:val="20"/>
                <w:color w:val="auto"/>
              </w:rPr>
            </w:pPr>
            <w:r>
              <w:rPr>
                <w:rFonts w:ascii="Arial" w:cs="Arial" w:eastAsia="Arial" w:hAnsi="Arial"/>
                <w:sz w:val="16"/>
                <w:szCs w:val="16"/>
                <w:color w:val="auto"/>
              </w:rPr>
              <w:t>$272,700</w:t>
            </w:r>
          </w:p>
        </w:tc>
        <w:tc>
          <w:tcPr>
            <w:tcW w:w="1140" w:type="dxa"/>
            <w:vAlign w:val="bottom"/>
            <w:shd w:val="clear" w:color="auto" w:fill="E5E5E5"/>
          </w:tcPr>
          <w:p>
            <w:pPr>
              <w:spacing w:after="0"/>
              <w:rPr>
                <w:sz w:val="18"/>
                <w:szCs w:val="18"/>
                <w:color w:val="auto"/>
              </w:rPr>
            </w:pPr>
          </w:p>
        </w:tc>
        <w:tc>
          <w:tcPr>
            <w:tcW w:w="1440" w:type="dxa"/>
            <w:vAlign w:val="bottom"/>
            <w:shd w:val="clear" w:color="auto" w:fill="E5E5E5"/>
          </w:tcPr>
          <w:p>
            <w:pPr>
              <w:ind w:left="1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880" w:type="dxa"/>
            <w:vAlign w:val="bottom"/>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9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01/04/2025</w:t>
            </w:r>
          </w:p>
        </w:tc>
        <w:tc>
          <w:tcPr>
            <w:tcW w:w="80" w:type="dxa"/>
            <w:vAlign w:val="bottom"/>
            <w:shd w:val="clear" w:color="auto" w:fill="E5E5E5"/>
          </w:tcPr>
          <w:p>
            <w:pPr>
              <w:spacing w:after="0"/>
              <w:rPr>
                <w:sz w:val="18"/>
                <w:szCs w:val="18"/>
                <w:color w:val="auto"/>
              </w:rPr>
            </w:pPr>
          </w:p>
        </w:tc>
        <w:tc>
          <w:tcPr>
            <w:tcW w:w="9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shd w:val="clear" w:color="auto" w:fill="E5E5E5"/>
          </w:tcPr>
          <w:p>
            <w:pPr>
              <w:spacing w:after="0"/>
              <w:rPr>
                <w:sz w:val="18"/>
                <w:szCs w:val="18"/>
                <w:color w:val="auto"/>
              </w:rPr>
            </w:pPr>
          </w:p>
        </w:tc>
        <w:tc>
          <w:tcPr>
            <w:tcW w:w="1440" w:type="dxa"/>
            <w:vAlign w:val="bottom"/>
            <w:shd w:val="clear" w:color="auto" w:fill="E5E5E5"/>
          </w:tcPr>
          <w:p>
            <w:pPr>
              <w:ind w:left="1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100,000</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6"/>
                <w:szCs w:val="16"/>
                <w:b w:val="1"/>
                <w:bCs w:val="1"/>
                <w:color w:val="0071CE"/>
              </w:rPr>
              <w:t xml:space="preserve">Tracie Oliver </w:t>
            </w:r>
            <w:r>
              <w:rPr>
                <w:rFonts w:ascii="Arial" w:cs="Arial" w:eastAsia="Arial" w:hAnsi="Arial"/>
                <w:sz w:val="14"/>
                <w:szCs w:val="14"/>
                <w:b w:val="1"/>
                <w:bCs w:val="1"/>
                <w:color w:val="0071CE"/>
              </w:rPr>
              <w:t>(4)</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6"/>
                <w:szCs w:val="16"/>
                <w:color w:val="auto"/>
              </w:rPr>
              <w:t>Cash Bonus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Borders>
              <w:bottom w:val="single" w:sz="8" w:color="026DCE"/>
            </w:tcBorders>
          </w:tcPr>
          <w:p>
            <w:pPr>
              <w:spacing w:after="0"/>
              <w:rPr>
                <w:sz w:val="18"/>
                <w:szCs w:val="18"/>
                <w:color w:val="auto"/>
              </w:rPr>
            </w:pPr>
          </w:p>
        </w:tc>
        <w:tc>
          <w:tcPr>
            <w:tcW w:w="3880" w:type="dxa"/>
            <w:vAlign w:val="bottom"/>
            <w:tcBorders>
              <w:bottom w:val="single" w:sz="8" w:color="026DCE"/>
            </w:tcBorders>
          </w:tcPr>
          <w:p>
            <w:pPr>
              <w:ind w:left="320"/>
              <w:spacing w:after="0"/>
              <w:rPr>
                <w:sz w:val="20"/>
                <w:szCs w:val="20"/>
                <w:color w:val="auto"/>
              </w:rPr>
            </w:pPr>
            <w:r>
              <w:rPr>
                <w:rFonts w:ascii="Arial" w:cs="Arial" w:eastAsia="Arial" w:hAnsi="Arial"/>
                <w:sz w:val="16"/>
                <w:szCs w:val="16"/>
                <w:color w:val="auto"/>
              </w:rPr>
              <w:t>RSUs</w:t>
            </w:r>
          </w:p>
        </w:tc>
        <w:tc>
          <w:tcPr>
            <w:tcW w:w="900" w:type="dxa"/>
            <w:vAlign w:val="bottom"/>
            <w:tcBorders>
              <w:bottom w:val="single" w:sz="8" w:color="026DCE"/>
            </w:tcBorders>
          </w:tcPr>
          <w:p>
            <w:pPr>
              <w:jc w:val="center"/>
              <w:spacing w:after="0"/>
              <w:rPr>
                <w:sz w:val="20"/>
                <w:szCs w:val="20"/>
                <w:color w:val="auto"/>
              </w:rPr>
            </w:pPr>
            <w:r>
              <w:rPr>
                <w:rFonts w:ascii="Arial" w:cs="Arial" w:eastAsia="Arial" w:hAnsi="Arial"/>
                <w:sz w:val="16"/>
                <w:szCs w:val="16"/>
                <w:color w:val="auto"/>
                <w:w w:val="97"/>
              </w:rPr>
              <w:t>N/A</w:t>
            </w:r>
          </w:p>
        </w:tc>
        <w:tc>
          <w:tcPr>
            <w:tcW w:w="80" w:type="dxa"/>
            <w:vAlign w:val="bottom"/>
            <w:tcBorders>
              <w:bottom w:val="single" w:sz="8" w:color="026DCE"/>
            </w:tcBorders>
          </w:tcPr>
          <w:p>
            <w:pPr>
              <w:spacing w:after="0"/>
              <w:rPr>
                <w:sz w:val="18"/>
                <w:szCs w:val="18"/>
                <w:color w:val="auto"/>
              </w:rPr>
            </w:pPr>
          </w:p>
        </w:tc>
        <w:tc>
          <w:tcPr>
            <w:tcW w:w="920" w:type="dxa"/>
            <w:vAlign w:val="bottom"/>
            <w:tcBorders>
              <w:bottom w:val="single" w:sz="8" w:color="026DCE"/>
            </w:tcBorders>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bottom w:val="single" w:sz="8" w:color="026DCE"/>
            </w:tcBorders>
          </w:tcPr>
          <w:p>
            <w:pPr>
              <w:spacing w:after="0"/>
              <w:rPr>
                <w:sz w:val="18"/>
                <w:szCs w:val="18"/>
                <w:color w:val="auto"/>
              </w:rPr>
            </w:pPr>
          </w:p>
        </w:tc>
        <w:tc>
          <w:tcPr>
            <w:tcW w:w="1440" w:type="dxa"/>
            <w:vAlign w:val="bottom"/>
            <w:tcBorders>
              <w:bottom w:val="single" w:sz="8" w:color="026DCE"/>
            </w:tcBorders>
          </w:tcPr>
          <w:p>
            <w:pPr>
              <w:ind w:left="11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026DCE"/>
            </w:tcBorders>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26DCE"/>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-2759710</wp:posOffset>
            </wp:positionV>
            <wp:extent cx="71062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-3025140</wp:posOffset>
            </wp:positionV>
            <wp:extent cx="21602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2"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NEOs in fiscal 2025. Actual payments were made in fiscal 2026 and the amounts are reported in the Summary</w:t>
      </w:r>
    </w:p>
    <w:p>
      <w:pPr>
        <w:spacing w:after="0" w:line="68" w:lineRule="exact"/>
        <w:rPr>
          <w:rFonts w:ascii="Arial" w:cs="Arial" w:eastAsia="Arial" w:hAnsi="Arial"/>
          <w:sz w:val="14"/>
          <w:szCs w:val="14"/>
          <w:color w:val="auto"/>
        </w:rPr>
      </w:pPr>
    </w:p>
    <w:p>
      <w:pPr>
        <w:ind w:left="420" w:right="160"/>
        <w:spacing w:after="0" w:line="272" w:lineRule="auto"/>
        <w:rPr>
          <w:rFonts w:ascii="Arial" w:cs="Arial" w:eastAsia="Arial" w:hAnsi="Arial"/>
          <w:sz w:val="14"/>
          <w:szCs w:val="14"/>
          <w:color w:val="auto"/>
        </w:rPr>
      </w:pPr>
      <w:r>
        <w:rPr>
          <w:rFonts w:ascii="Arial" w:cs="Arial" w:eastAsia="Arial" w:hAnsi="Arial"/>
          <w:sz w:val="14"/>
          <w:szCs w:val="14"/>
          <w:color w:val="auto"/>
        </w:rPr>
        <w:t>Compensation Table above. There are no thresholds or maximum levels applicable under our annual cash incentive awards except with respect to Dr. Anzalone, whose target opportunity is capped at 200%.</w:t>
      </w:r>
    </w:p>
    <w:p>
      <w:pPr>
        <w:ind w:left="400" w:hanging="392"/>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These PRSUs are described above in the “Compensation Discussion and Analysis” under the heading “Equity Compensation”.</w:t>
      </w:r>
    </w:p>
    <w:p>
      <w:pPr>
        <w:spacing w:after="0" w:line="14" w:lineRule="exact"/>
        <w:rPr>
          <w:rFonts w:ascii="Arial" w:cs="Arial" w:eastAsia="Arial" w:hAnsi="Arial"/>
          <w:sz w:val="14"/>
          <w:szCs w:val="14"/>
          <w:color w:val="auto"/>
        </w:rPr>
      </w:pPr>
    </w:p>
    <w:p>
      <w:pPr>
        <w:ind w:left="400" w:hanging="392"/>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RSUs granted in fiscal 2025 vest in four equal annual installments beginning 1 year from the grant date.</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 and did not receive any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511810</wp:posOffset>
            </wp:positionV>
            <wp:extent cx="98615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2025 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The following table provides information, with respect to the NEOs, concerning the outstanding equity awards covering shares of the Company’s common stock as of September 30, 2025.</w:t>
      </w:r>
    </w:p>
    <w:tbl>
      <w:tblPr>
        <w:tblLayout w:type="fixed"/>
        <w:tblInd w:w="0" w:type="dxa"/>
        <w:tblCellMar>
          <w:top w:w="0" w:type="dxa"/>
          <w:left w:w="0" w:type="dxa"/>
          <w:bottom w:w="0" w:type="dxa"/>
          <w:right w:w="0" w:type="dxa"/>
        </w:tblCellMar>
      </w:tblPr>
      <w:tr>
        <w:trPr>
          <w:trHeight w:val="223"/>
        </w:trPr>
        <w:tc>
          <w:tcPr>
            <w:tcW w:w="1620" w:type="dxa"/>
            <w:vAlign w:val="bottom"/>
            <w:shd w:val="clear" w:color="auto" w:fill="0071CE"/>
          </w:tcPr>
          <w:p>
            <w:pPr>
              <w:spacing w:after="0"/>
              <w:rPr>
                <w:sz w:val="19"/>
                <w:szCs w:val="19"/>
                <w:color w:val="auto"/>
              </w:rPr>
            </w:pPr>
          </w:p>
        </w:tc>
        <w:tc>
          <w:tcPr>
            <w:tcW w:w="840" w:type="dxa"/>
            <w:vAlign w:val="bottom"/>
            <w:shd w:val="clear" w:color="auto" w:fill="0071CE"/>
          </w:tcPr>
          <w:p>
            <w:pPr>
              <w:spacing w:after="0"/>
              <w:rPr>
                <w:sz w:val="19"/>
                <w:szCs w:val="19"/>
                <w:color w:val="auto"/>
              </w:rPr>
            </w:pPr>
          </w:p>
        </w:tc>
        <w:tc>
          <w:tcPr>
            <w:tcW w:w="1000" w:type="dxa"/>
            <w:vAlign w:val="bottom"/>
            <w:shd w:val="clear" w:color="auto" w:fill="0071CE"/>
          </w:tcPr>
          <w:p>
            <w:pPr>
              <w:spacing w:after="0"/>
              <w:rPr>
                <w:sz w:val="19"/>
                <w:szCs w:val="19"/>
                <w:color w:val="auto"/>
              </w:rPr>
            </w:pPr>
          </w:p>
        </w:tc>
        <w:tc>
          <w:tcPr>
            <w:tcW w:w="120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Option Awards</w:t>
            </w:r>
          </w:p>
        </w:tc>
        <w:tc>
          <w:tcPr>
            <w:tcW w:w="960" w:type="dxa"/>
            <w:vAlign w:val="bottom"/>
            <w:shd w:val="clear" w:color="auto" w:fill="0071CE"/>
          </w:tcPr>
          <w:p>
            <w:pPr>
              <w:spacing w:after="0"/>
              <w:rPr>
                <w:sz w:val="19"/>
                <w:szCs w:val="19"/>
                <w:color w:val="auto"/>
              </w:rPr>
            </w:pPr>
          </w:p>
        </w:tc>
        <w:tc>
          <w:tcPr>
            <w:tcW w:w="1060" w:type="dxa"/>
            <w:vAlign w:val="bottom"/>
            <w:shd w:val="clear" w:color="auto" w:fill="0071CE"/>
          </w:tcPr>
          <w:p>
            <w:pPr>
              <w:spacing w:after="0"/>
              <w:rPr>
                <w:sz w:val="19"/>
                <w:szCs w:val="19"/>
                <w:color w:val="auto"/>
              </w:rPr>
            </w:pPr>
          </w:p>
        </w:tc>
        <w:tc>
          <w:tcPr>
            <w:tcW w:w="2260" w:type="dxa"/>
            <w:vAlign w:val="bottom"/>
            <w:gridSpan w:val="2"/>
            <w:shd w:val="clear" w:color="auto" w:fill="0071CE"/>
          </w:tcPr>
          <w:p>
            <w:pPr>
              <w:ind w:left="740"/>
              <w:spacing w:after="0"/>
              <w:rPr>
                <w:sz w:val="20"/>
                <w:szCs w:val="20"/>
                <w:color w:val="auto"/>
              </w:rPr>
            </w:pPr>
            <w:r>
              <w:rPr>
                <w:rFonts w:ascii="Arial" w:cs="Arial" w:eastAsia="Arial" w:hAnsi="Arial"/>
                <w:sz w:val="14"/>
                <w:szCs w:val="14"/>
                <w:b w:val="1"/>
                <w:bCs w:val="1"/>
                <w:color w:val="FFFFFF"/>
              </w:rPr>
              <w:t>Stock Awards</w:t>
            </w:r>
          </w:p>
        </w:tc>
        <w:tc>
          <w:tcPr>
            <w:tcW w:w="116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620" w:type="dxa"/>
            <w:vAlign w:val="bottom"/>
            <w:shd w:val="clear" w:color="auto" w:fill="0071CE"/>
          </w:tcPr>
          <w:p>
            <w:pPr>
              <w:spacing w:after="0"/>
              <w:rPr>
                <w:sz w:val="15"/>
                <w:szCs w:val="15"/>
                <w:color w:val="auto"/>
              </w:rPr>
            </w:pPr>
          </w:p>
        </w:tc>
        <w:tc>
          <w:tcPr>
            <w:tcW w:w="840" w:type="dxa"/>
            <w:vAlign w:val="bottom"/>
            <w:shd w:val="clear" w:color="auto" w:fill="0071CE"/>
          </w:tcPr>
          <w:p>
            <w:pPr>
              <w:spacing w:after="0"/>
              <w:rPr>
                <w:sz w:val="15"/>
                <w:szCs w:val="15"/>
                <w:color w:val="auto"/>
              </w:rPr>
            </w:pPr>
          </w:p>
        </w:tc>
        <w:tc>
          <w:tcPr>
            <w:tcW w:w="1000" w:type="dxa"/>
            <w:vAlign w:val="bottom"/>
            <w:shd w:val="clear" w:color="auto" w:fill="0071CE"/>
          </w:tcPr>
          <w:p>
            <w:pPr>
              <w:spacing w:after="0"/>
              <w:rPr>
                <w:sz w:val="15"/>
                <w:szCs w:val="15"/>
                <w:color w:val="auto"/>
              </w:rPr>
            </w:pPr>
          </w:p>
        </w:tc>
        <w:tc>
          <w:tcPr>
            <w:tcW w:w="1200" w:type="dxa"/>
            <w:vAlign w:val="bottom"/>
            <w:shd w:val="clear" w:color="auto" w:fill="0071CE"/>
          </w:tcPr>
          <w:p>
            <w:pPr>
              <w:spacing w:after="0"/>
              <w:rPr>
                <w:sz w:val="15"/>
                <w:szCs w:val="15"/>
                <w:color w:val="auto"/>
              </w:rPr>
            </w:pPr>
          </w:p>
        </w:tc>
        <w:tc>
          <w:tcPr>
            <w:tcW w:w="960" w:type="dxa"/>
            <w:vAlign w:val="bottom"/>
            <w:shd w:val="clear" w:color="auto" w:fill="0071CE"/>
          </w:tcPr>
          <w:p>
            <w:pPr>
              <w:spacing w:after="0"/>
              <w:rPr>
                <w:sz w:val="15"/>
                <w:szCs w:val="15"/>
                <w:color w:val="auto"/>
              </w:rPr>
            </w:pPr>
          </w:p>
        </w:tc>
        <w:tc>
          <w:tcPr>
            <w:tcW w:w="1060" w:type="dxa"/>
            <w:vAlign w:val="bottom"/>
            <w:shd w:val="clear" w:color="auto" w:fill="0071CE"/>
          </w:tcPr>
          <w:p>
            <w:pPr>
              <w:spacing w:after="0"/>
              <w:rPr>
                <w:sz w:val="15"/>
                <w:szCs w:val="15"/>
                <w:color w:val="auto"/>
              </w:rPr>
            </w:pPr>
          </w:p>
        </w:tc>
        <w:tc>
          <w:tcPr>
            <w:tcW w:w="1040" w:type="dxa"/>
            <w:vAlign w:val="bottom"/>
            <w:shd w:val="clear" w:color="auto" w:fill="0071CE"/>
          </w:tcPr>
          <w:p>
            <w:pPr>
              <w:spacing w:after="0"/>
              <w:rPr>
                <w:sz w:val="15"/>
                <w:szCs w:val="15"/>
                <w:color w:val="auto"/>
              </w:rPr>
            </w:pPr>
          </w:p>
        </w:tc>
        <w:tc>
          <w:tcPr>
            <w:tcW w:w="1220" w:type="dxa"/>
            <w:vAlign w:val="bottom"/>
            <w:shd w:val="clear" w:color="auto" w:fill="0071CE"/>
          </w:tcPr>
          <w:p>
            <w:pPr>
              <w:spacing w:after="0"/>
              <w:rPr>
                <w:sz w:val="15"/>
                <w:szCs w:val="15"/>
                <w:color w:val="auto"/>
              </w:rPr>
            </w:pPr>
          </w:p>
        </w:tc>
        <w:tc>
          <w:tcPr>
            <w:tcW w:w="1160" w:type="dxa"/>
            <w:vAlign w:val="bottom"/>
            <w:shd w:val="clear" w:color="auto" w:fill="0071CE"/>
          </w:tcPr>
          <w:p>
            <w:pPr>
              <w:jc w:val="center"/>
              <w:spacing w:after="0" w:line="178" w:lineRule="exact"/>
              <w:rPr>
                <w:sz w:val="20"/>
                <w:szCs w:val="20"/>
                <w:color w:val="auto"/>
              </w:rPr>
            </w:pPr>
            <w:r>
              <w:rPr>
                <w:rFonts w:ascii="Arial" w:cs="Arial" w:eastAsia="Arial" w:hAnsi="Arial"/>
                <w:sz w:val="16"/>
                <w:szCs w:val="16"/>
                <w:b w:val="1"/>
                <w:bCs w:val="1"/>
                <w:color w:val="FFFFFF"/>
                <w:w w:val="98"/>
              </w:rPr>
              <w:t>Equity</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2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rPr>
              <w:t>Equity</w:t>
            </w: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20" w:type="dxa"/>
            <w:vAlign w:val="bottom"/>
            <w:vMerge w:val="continue"/>
            <w:shd w:val="clear" w:color="auto" w:fill="0071CE"/>
          </w:tcPr>
          <w:p>
            <w:pPr>
              <w:spacing w:after="0"/>
              <w:rPr>
                <w:sz w:val="14"/>
                <w:szCs w:val="14"/>
                <w:color w:val="auto"/>
              </w:rPr>
            </w:pP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Plan</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Incentive</w:t>
            </w: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Plan</w:t>
            </w: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Awards:</w:t>
            </w: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Value</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2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w w:val="99"/>
              </w:rPr>
              <w:t>Number of</w:t>
            </w: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of</w:t>
            </w:r>
          </w:p>
        </w:tc>
        <w:tc>
          <w:tcPr>
            <w:tcW w:w="0" w:type="dxa"/>
            <w:vAlign w:val="bottom"/>
          </w:tcPr>
          <w:p>
            <w:pPr>
              <w:spacing w:after="0"/>
              <w:rPr>
                <w:sz w:val="1"/>
                <w:szCs w:val="1"/>
                <w:color w:val="auto"/>
              </w:rPr>
            </w:pPr>
          </w:p>
        </w:tc>
      </w:tr>
      <w:tr>
        <w:trPr>
          <w:trHeight w:val="175"/>
        </w:trPr>
        <w:tc>
          <w:tcPr>
            <w:tcW w:w="1620" w:type="dxa"/>
            <w:vAlign w:val="bottom"/>
            <w:shd w:val="clear" w:color="auto" w:fill="0071CE"/>
          </w:tcPr>
          <w:p>
            <w:pPr>
              <w:spacing w:after="0"/>
              <w:rPr>
                <w:sz w:val="15"/>
                <w:szCs w:val="15"/>
                <w:color w:val="auto"/>
              </w:rPr>
            </w:pPr>
          </w:p>
        </w:tc>
        <w:tc>
          <w:tcPr>
            <w:tcW w:w="840" w:type="dxa"/>
            <w:vAlign w:val="bottom"/>
            <w:shd w:val="clear" w:color="auto" w:fill="0071CE"/>
          </w:tcPr>
          <w:p>
            <w:pPr>
              <w:spacing w:after="0"/>
              <w:rPr>
                <w:sz w:val="15"/>
                <w:szCs w:val="15"/>
                <w:color w:val="auto"/>
              </w:rPr>
            </w:pPr>
          </w:p>
        </w:tc>
        <w:tc>
          <w:tcPr>
            <w:tcW w:w="1000" w:type="dxa"/>
            <w:vAlign w:val="bottom"/>
            <w:shd w:val="clear" w:color="auto" w:fill="0071CE"/>
          </w:tcPr>
          <w:p>
            <w:pPr>
              <w:spacing w:after="0"/>
              <w:rPr>
                <w:sz w:val="15"/>
                <w:szCs w:val="15"/>
                <w:color w:val="auto"/>
              </w:rPr>
            </w:pPr>
          </w:p>
        </w:tc>
        <w:tc>
          <w:tcPr>
            <w:tcW w:w="1200" w:type="dxa"/>
            <w:vAlign w:val="bottom"/>
            <w:shd w:val="clear" w:color="auto" w:fill="0071CE"/>
          </w:tcPr>
          <w:p>
            <w:pPr>
              <w:spacing w:after="0"/>
              <w:rPr>
                <w:sz w:val="15"/>
                <w:szCs w:val="15"/>
                <w:color w:val="auto"/>
              </w:rPr>
            </w:pPr>
          </w:p>
        </w:tc>
        <w:tc>
          <w:tcPr>
            <w:tcW w:w="960" w:type="dxa"/>
            <w:vAlign w:val="bottom"/>
            <w:shd w:val="clear" w:color="auto" w:fill="0071CE"/>
          </w:tcPr>
          <w:p>
            <w:pPr>
              <w:spacing w:after="0"/>
              <w:rPr>
                <w:sz w:val="15"/>
                <w:szCs w:val="15"/>
                <w:color w:val="auto"/>
              </w:rPr>
            </w:pPr>
          </w:p>
        </w:tc>
        <w:tc>
          <w:tcPr>
            <w:tcW w:w="1060" w:type="dxa"/>
            <w:vAlign w:val="bottom"/>
            <w:shd w:val="clear" w:color="auto" w:fill="0071CE"/>
          </w:tcPr>
          <w:p>
            <w:pPr>
              <w:spacing w:after="0"/>
              <w:rPr>
                <w:sz w:val="15"/>
                <w:szCs w:val="15"/>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c>
          <w:tcPr>
            <w:tcW w:w="1220" w:type="dxa"/>
            <w:vAlign w:val="bottom"/>
            <w:shd w:val="clear" w:color="auto" w:fill="0071CE"/>
          </w:tcPr>
          <w:p>
            <w:pPr>
              <w:jc w:val="center"/>
              <w:spacing w:after="0" w:line="175" w:lineRule="exact"/>
              <w:rPr>
                <w:sz w:val="20"/>
                <w:szCs w:val="20"/>
                <w:color w:val="auto"/>
              </w:rPr>
            </w:pPr>
            <w:r>
              <w:rPr>
                <w:rFonts w:ascii="Arial" w:cs="Arial" w:eastAsia="Arial" w:hAnsi="Arial"/>
                <w:sz w:val="16"/>
                <w:szCs w:val="16"/>
                <w:b w:val="1"/>
                <w:bCs w:val="1"/>
                <w:color w:val="FFFFFF"/>
              </w:rPr>
              <w:t>Unearned</w:t>
            </w:r>
          </w:p>
        </w:tc>
        <w:tc>
          <w:tcPr>
            <w:tcW w:w="1160" w:type="dxa"/>
            <w:vAlign w:val="bottom"/>
            <w:shd w:val="clear" w:color="auto" w:fill="0071CE"/>
          </w:tcPr>
          <w:p>
            <w:pPr>
              <w:jc w:val="center"/>
              <w:spacing w:after="0" w:line="175" w:lineRule="exact"/>
              <w:rPr>
                <w:sz w:val="20"/>
                <w:szCs w:val="20"/>
                <w:color w:val="auto"/>
              </w:rPr>
            </w:pPr>
            <w:r>
              <w:rPr>
                <w:rFonts w:ascii="Arial" w:cs="Arial" w:eastAsia="Arial" w:hAnsi="Arial"/>
                <w:sz w:val="16"/>
                <w:szCs w:val="16"/>
                <w:b w:val="1"/>
                <w:bCs w:val="1"/>
                <w:color w:val="FFFFFF"/>
              </w:rPr>
              <w:t>Unearned</w:t>
            </w:r>
          </w:p>
        </w:tc>
        <w:tc>
          <w:tcPr>
            <w:tcW w:w="0" w:type="dxa"/>
            <w:vAlign w:val="bottom"/>
          </w:tcPr>
          <w:p>
            <w:pPr>
              <w:spacing w:after="0"/>
              <w:rPr>
                <w:sz w:val="1"/>
                <w:szCs w:val="1"/>
                <w:color w:val="auto"/>
              </w:rPr>
            </w:pPr>
          </w:p>
        </w:tc>
      </w:tr>
      <w:tr>
        <w:trPr>
          <w:trHeight w:val="148"/>
        </w:trPr>
        <w:tc>
          <w:tcPr>
            <w:tcW w:w="1620" w:type="dxa"/>
            <w:vAlign w:val="bottom"/>
            <w:shd w:val="clear" w:color="auto" w:fill="0071CE"/>
          </w:tcPr>
          <w:p>
            <w:pPr>
              <w:spacing w:after="0"/>
              <w:rPr>
                <w:sz w:val="12"/>
                <w:szCs w:val="12"/>
                <w:color w:val="auto"/>
              </w:rPr>
            </w:pPr>
          </w:p>
        </w:tc>
        <w:tc>
          <w:tcPr>
            <w:tcW w:w="840" w:type="dxa"/>
            <w:vAlign w:val="bottom"/>
            <w:shd w:val="clear" w:color="auto" w:fill="0071CE"/>
          </w:tcPr>
          <w:p>
            <w:pPr>
              <w:spacing w:after="0"/>
              <w:rPr>
                <w:sz w:val="12"/>
                <w:szCs w:val="12"/>
                <w:color w:val="auto"/>
              </w:rPr>
            </w:pPr>
          </w:p>
        </w:tc>
        <w:tc>
          <w:tcPr>
            <w:tcW w:w="1000" w:type="dxa"/>
            <w:vAlign w:val="bottom"/>
            <w:shd w:val="clear" w:color="auto" w:fill="0071CE"/>
          </w:tcPr>
          <w:p>
            <w:pPr>
              <w:spacing w:after="0"/>
              <w:rPr>
                <w:sz w:val="12"/>
                <w:szCs w:val="12"/>
                <w:color w:val="auto"/>
              </w:rPr>
            </w:pPr>
          </w:p>
        </w:tc>
        <w:tc>
          <w:tcPr>
            <w:tcW w:w="120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10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10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w w:val="99"/>
              </w:rPr>
              <w:t>Value of</w:t>
            </w:r>
          </w:p>
        </w:tc>
        <w:tc>
          <w:tcPr>
            <w:tcW w:w="122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rPr>
              <w:t>Shares or</w:t>
            </w:r>
          </w:p>
        </w:tc>
        <w:tc>
          <w:tcPr>
            <w:tcW w:w="116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rPr>
              <w:t>Shares or</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vMerge w:val="continue"/>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12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Units of</w:t>
            </w: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Units of</w:t>
            </w:r>
          </w:p>
        </w:tc>
        <w:tc>
          <w:tcPr>
            <w:tcW w:w="0" w:type="dxa"/>
            <w:vAlign w:val="bottom"/>
          </w:tcPr>
          <w:p>
            <w:pPr>
              <w:spacing w:after="0"/>
              <w:rPr>
                <w:sz w:val="1"/>
                <w:szCs w:val="1"/>
                <w:color w:val="auto"/>
              </w:rPr>
            </w:pPr>
          </w:p>
        </w:tc>
      </w:tr>
      <w:tr>
        <w:trPr>
          <w:trHeight w:val="162"/>
        </w:trPr>
        <w:tc>
          <w:tcPr>
            <w:tcW w:w="16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120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10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12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Stock</w:t>
            </w:r>
          </w:p>
        </w:tc>
        <w:tc>
          <w:tcPr>
            <w:tcW w:w="116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Stock</w:t>
            </w:r>
          </w:p>
        </w:tc>
        <w:tc>
          <w:tcPr>
            <w:tcW w:w="0" w:type="dxa"/>
            <w:vAlign w:val="bottom"/>
          </w:tcPr>
          <w:p>
            <w:pPr>
              <w:spacing w:after="0"/>
              <w:rPr>
                <w:sz w:val="1"/>
                <w:szCs w:val="1"/>
                <w:color w:val="auto"/>
              </w:rPr>
            </w:pPr>
          </w:p>
        </w:tc>
      </w:tr>
      <w:tr>
        <w:trPr>
          <w:trHeight w:val="122"/>
        </w:trPr>
        <w:tc>
          <w:tcPr>
            <w:tcW w:w="1620" w:type="dxa"/>
            <w:vAlign w:val="bottom"/>
            <w:shd w:val="clear" w:color="auto" w:fill="0071CE"/>
          </w:tcPr>
          <w:p>
            <w:pPr>
              <w:spacing w:after="0"/>
              <w:rPr>
                <w:sz w:val="10"/>
                <w:szCs w:val="10"/>
                <w:color w:val="auto"/>
              </w:rPr>
            </w:pPr>
          </w:p>
        </w:tc>
        <w:tc>
          <w:tcPr>
            <w:tcW w:w="840" w:type="dxa"/>
            <w:vAlign w:val="bottom"/>
            <w:shd w:val="clear" w:color="auto" w:fill="0071CE"/>
          </w:tcPr>
          <w:p>
            <w:pPr>
              <w:spacing w:after="0"/>
              <w:rPr>
                <w:sz w:val="10"/>
                <w:szCs w:val="10"/>
                <w:color w:val="auto"/>
              </w:rPr>
            </w:pPr>
          </w:p>
        </w:tc>
        <w:tc>
          <w:tcPr>
            <w:tcW w:w="100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Securities</w:t>
            </w:r>
          </w:p>
        </w:tc>
        <w:tc>
          <w:tcPr>
            <w:tcW w:w="1200" w:type="dxa"/>
            <w:vAlign w:val="bottom"/>
            <w:shd w:val="clear" w:color="auto" w:fill="0071CE"/>
          </w:tcPr>
          <w:p>
            <w:pPr>
              <w:spacing w:after="0"/>
              <w:rPr>
                <w:sz w:val="10"/>
                <w:szCs w:val="10"/>
                <w:color w:val="auto"/>
              </w:rPr>
            </w:pPr>
          </w:p>
        </w:tc>
        <w:tc>
          <w:tcPr>
            <w:tcW w:w="960" w:type="dxa"/>
            <w:vAlign w:val="bottom"/>
            <w:shd w:val="clear" w:color="auto" w:fill="0071CE"/>
          </w:tcPr>
          <w:p>
            <w:pPr>
              <w:spacing w:after="0"/>
              <w:rPr>
                <w:sz w:val="10"/>
                <w:szCs w:val="10"/>
                <w:color w:val="auto"/>
              </w:rPr>
            </w:pPr>
          </w:p>
        </w:tc>
        <w:tc>
          <w:tcPr>
            <w:tcW w:w="106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Units of</w:t>
            </w:r>
          </w:p>
        </w:tc>
        <w:tc>
          <w:tcPr>
            <w:tcW w:w="104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w w:val="99"/>
              </w:rPr>
              <w:t>Stock</w:t>
            </w:r>
          </w:p>
        </w:tc>
        <w:tc>
          <w:tcPr>
            <w:tcW w:w="122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That</w:t>
            </w:r>
          </w:p>
        </w:tc>
        <w:tc>
          <w:tcPr>
            <w:tcW w:w="1160" w:type="dxa"/>
            <w:vAlign w:val="bottom"/>
            <w:shd w:val="clear" w:color="auto" w:fill="0071CE"/>
          </w:tcPr>
          <w:p>
            <w:pPr>
              <w:jc w:val="center"/>
              <w:spacing w:after="0" w:line="122" w:lineRule="exact"/>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48"/>
        </w:trPr>
        <w:tc>
          <w:tcPr>
            <w:tcW w:w="1620" w:type="dxa"/>
            <w:vAlign w:val="bottom"/>
            <w:shd w:val="clear" w:color="auto" w:fill="0071CE"/>
          </w:tcPr>
          <w:p>
            <w:pPr>
              <w:spacing w:after="0"/>
              <w:rPr>
                <w:sz w:val="12"/>
                <w:szCs w:val="12"/>
                <w:color w:val="auto"/>
              </w:rPr>
            </w:pPr>
          </w:p>
        </w:tc>
        <w:tc>
          <w:tcPr>
            <w:tcW w:w="840" w:type="dxa"/>
            <w:vAlign w:val="bottom"/>
            <w:shd w:val="clear" w:color="auto" w:fill="0071CE"/>
          </w:tcPr>
          <w:p>
            <w:pPr>
              <w:spacing w:after="0"/>
              <w:rPr>
                <w:sz w:val="12"/>
                <w:szCs w:val="12"/>
                <w:color w:val="auto"/>
              </w:rPr>
            </w:pPr>
          </w:p>
        </w:tc>
        <w:tc>
          <w:tcPr>
            <w:tcW w:w="10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Underlying</w:t>
            </w:r>
          </w:p>
        </w:tc>
        <w:tc>
          <w:tcPr>
            <w:tcW w:w="1200" w:type="dxa"/>
            <w:vAlign w:val="bottom"/>
            <w:shd w:val="clear" w:color="auto" w:fill="0071CE"/>
          </w:tcPr>
          <w:p>
            <w:pPr>
              <w:spacing w:after="0"/>
              <w:rPr>
                <w:sz w:val="12"/>
                <w:szCs w:val="12"/>
                <w:color w:val="auto"/>
              </w:rPr>
            </w:pPr>
          </w:p>
        </w:tc>
        <w:tc>
          <w:tcPr>
            <w:tcW w:w="960" w:type="dxa"/>
            <w:vAlign w:val="bottom"/>
            <w:shd w:val="clear" w:color="auto" w:fill="0071CE"/>
          </w:tcPr>
          <w:p>
            <w:pPr>
              <w:spacing w:after="0"/>
              <w:rPr>
                <w:sz w:val="12"/>
                <w:szCs w:val="12"/>
                <w:color w:val="auto"/>
              </w:rPr>
            </w:pPr>
          </w:p>
        </w:tc>
        <w:tc>
          <w:tcPr>
            <w:tcW w:w="106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Stock</w:t>
            </w:r>
          </w:p>
        </w:tc>
        <w:tc>
          <w:tcPr>
            <w:tcW w:w="10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122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rPr>
              <w:t>Have</w:t>
            </w:r>
          </w:p>
        </w:tc>
        <w:tc>
          <w:tcPr>
            <w:tcW w:w="116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rPr>
              <w:t>Have</w:t>
            </w:r>
          </w:p>
        </w:tc>
        <w:tc>
          <w:tcPr>
            <w:tcW w:w="0" w:type="dxa"/>
            <w:vAlign w:val="bottom"/>
          </w:tcPr>
          <w:p>
            <w:pPr>
              <w:spacing w:after="0"/>
              <w:rPr>
                <w:sz w:val="1"/>
                <w:szCs w:val="1"/>
                <w:color w:val="auto"/>
              </w:rPr>
            </w:pPr>
          </w:p>
        </w:tc>
      </w:tr>
      <w:tr>
        <w:trPr>
          <w:trHeight w:val="135"/>
        </w:trPr>
        <w:tc>
          <w:tcPr>
            <w:tcW w:w="1620" w:type="dxa"/>
            <w:vAlign w:val="bottom"/>
            <w:shd w:val="clear" w:color="auto" w:fill="0071CE"/>
          </w:tcPr>
          <w:p>
            <w:pPr>
              <w:spacing w:after="0"/>
              <w:rPr>
                <w:sz w:val="11"/>
                <w:szCs w:val="11"/>
                <w:color w:val="auto"/>
              </w:rPr>
            </w:pPr>
          </w:p>
        </w:tc>
        <w:tc>
          <w:tcPr>
            <w:tcW w:w="840" w:type="dxa"/>
            <w:vAlign w:val="bottom"/>
            <w:shd w:val="clear" w:color="auto" w:fill="0071CE"/>
          </w:tcPr>
          <w:p>
            <w:pPr>
              <w:spacing w:after="0"/>
              <w:rPr>
                <w:sz w:val="11"/>
                <w:szCs w:val="11"/>
                <w:color w:val="auto"/>
              </w:rPr>
            </w:pPr>
          </w:p>
        </w:tc>
        <w:tc>
          <w:tcPr>
            <w:tcW w:w="100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Unexercised</w:t>
            </w:r>
          </w:p>
        </w:tc>
        <w:tc>
          <w:tcPr>
            <w:tcW w:w="12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96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That</w:t>
            </w:r>
          </w:p>
        </w:tc>
        <w:tc>
          <w:tcPr>
            <w:tcW w:w="1040" w:type="dxa"/>
            <w:vAlign w:val="bottom"/>
            <w:shd w:val="clear" w:color="auto" w:fill="0071CE"/>
          </w:tcPr>
          <w:p>
            <w:pPr>
              <w:jc w:val="center"/>
              <w:spacing w:after="0" w:line="135" w:lineRule="exact"/>
              <w:rPr>
                <w:sz w:val="20"/>
                <w:szCs w:val="20"/>
                <w:color w:val="auto"/>
              </w:rPr>
            </w:pPr>
            <w:r>
              <w:rPr>
                <w:rFonts w:ascii="Arial" w:cs="Arial" w:eastAsia="Arial" w:hAnsi="Arial"/>
                <w:sz w:val="14"/>
                <w:szCs w:val="14"/>
                <w:b w:val="1"/>
                <w:bCs w:val="1"/>
                <w:color w:val="FFFFFF"/>
              </w:rPr>
              <w:t>Have</w:t>
            </w:r>
          </w:p>
        </w:tc>
        <w:tc>
          <w:tcPr>
            <w:tcW w:w="122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rPr>
              <w:t>Not</w:t>
            </w:r>
          </w:p>
        </w:tc>
        <w:tc>
          <w:tcPr>
            <w:tcW w:w="116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rPr>
              <w:t>Not</w:t>
            </w:r>
          </w:p>
        </w:tc>
        <w:tc>
          <w:tcPr>
            <w:tcW w:w="0" w:type="dxa"/>
            <w:vAlign w:val="bottom"/>
          </w:tcPr>
          <w:p>
            <w:pPr>
              <w:spacing w:after="0"/>
              <w:rPr>
                <w:sz w:val="1"/>
                <w:szCs w:val="1"/>
                <w:color w:val="auto"/>
              </w:rPr>
            </w:pPr>
          </w:p>
        </w:tc>
      </w:tr>
      <w:tr>
        <w:trPr>
          <w:trHeight w:val="148"/>
        </w:trPr>
        <w:tc>
          <w:tcPr>
            <w:tcW w:w="1620" w:type="dxa"/>
            <w:vAlign w:val="bottom"/>
            <w:shd w:val="clear" w:color="auto" w:fill="0071CE"/>
          </w:tcPr>
          <w:p>
            <w:pPr>
              <w:spacing w:after="0"/>
              <w:rPr>
                <w:sz w:val="12"/>
                <w:szCs w:val="12"/>
                <w:color w:val="auto"/>
              </w:rPr>
            </w:pPr>
          </w:p>
        </w:tc>
        <w:tc>
          <w:tcPr>
            <w:tcW w:w="840" w:type="dxa"/>
            <w:vAlign w:val="bottom"/>
            <w:vMerge w:val="restart"/>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rPr>
              <w:t>Grant</w:t>
            </w:r>
          </w:p>
        </w:tc>
        <w:tc>
          <w:tcPr>
            <w:tcW w:w="10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Options (#</w:t>
            </w:r>
          </w:p>
        </w:tc>
        <w:tc>
          <w:tcPr>
            <w:tcW w:w="1200" w:type="dxa"/>
            <w:vAlign w:val="bottom"/>
            <w:vMerge w:val="continue"/>
            <w:shd w:val="clear" w:color="auto" w:fill="0071CE"/>
          </w:tcPr>
          <w:p>
            <w:pPr>
              <w:spacing w:after="0"/>
              <w:rPr>
                <w:sz w:val="12"/>
                <w:szCs w:val="12"/>
                <w:color w:val="auto"/>
              </w:rPr>
            </w:pPr>
          </w:p>
        </w:tc>
        <w:tc>
          <w:tcPr>
            <w:tcW w:w="960" w:type="dxa"/>
            <w:vAlign w:val="bottom"/>
            <w:vMerge w:val="continue"/>
            <w:shd w:val="clear" w:color="auto" w:fill="0071CE"/>
          </w:tcPr>
          <w:p>
            <w:pPr>
              <w:spacing w:after="0"/>
              <w:rPr>
                <w:sz w:val="12"/>
                <w:szCs w:val="12"/>
                <w:color w:val="auto"/>
              </w:rPr>
            </w:pPr>
          </w:p>
        </w:tc>
        <w:tc>
          <w:tcPr>
            <w:tcW w:w="106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Have Not</w:t>
            </w:r>
          </w:p>
        </w:tc>
        <w:tc>
          <w:tcPr>
            <w:tcW w:w="10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w w:val="94"/>
              </w:rPr>
              <w:t>Not</w:t>
            </w:r>
          </w:p>
        </w:tc>
        <w:tc>
          <w:tcPr>
            <w:tcW w:w="1220" w:type="dxa"/>
            <w:vAlign w:val="bottom"/>
            <w:vMerge w:val="continue"/>
            <w:shd w:val="clear" w:color="auto" w:fill="0071CE"/>
          </w:tcPr>
          <w:p>
            <w:pPr>
              <w:spacing w:after="0"/>
              <w:rPr>
                <w:sz w:val="12"/>
                <w:szCs w:val="12"/>
                <w:color w:val="auto"/>
              </w:rPr>
            </w:pPr>
          </w:p>
        </w:tc>
        <w:tc>
          <w:tcPr>
            <w:tcW w:w="1160" w:type="dxa"/>
            <w:vAlign w:val="bottom"/>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shd w:val="clear" w:color="auto" w:fill="0071CE"/>
          </w:tcPr>
          <w:p>
            <w:pPr>
              <w:ind w:left="120"/>
              <w:spacing w:after="0"/>
              <w:rPr>
                <w:sz w:val="20"/>
                <w:szCs w:val="20"/>
                <w:color w:val="auto"/>
              </w:rPr>
            </w:pPr>
            <w:r>
              <w:rPr>
                <w:rFonts w:ascii="Arial" w:cs="Arial" w:eastAsia="Arial" w:hAnsi="Arial"/>
                <w:sz w:val="14"/>
                <w:szCs w:val="14"/>
                <w:b w:val="1"/>
                <w:bCs w:val="1"/>
                <w:color w:val="FFFFFF"/>
              </w:rPr>
              <w:t>Name</w:t>
            </w:r>
          </w:p>
        </w:tc>
        <w:tc>
          <w:tcPr>
            <w:tcW w:w="840" w:type="dxa"/>
            <w:vAlign w:val="bottom"/>
            <w:vMerge w:val="continue"/>
            <w:shd w:val="clear" w:color="auto" w:fill="0071CE"/>
          </w:tcPr>
          <w:p>
            <w:pPr>
              <w:spacing w:after="0"/>
              <w:rPr>
                <w:sz w:val="12"/>
                <w:szCs w:val="12"/>
                <w:color w:val="auto"/>
              </w:rPr>
            </w:pPr>
          </w:p>
        </w:tc>
        <w:tc>
          <w:tcPr>
            <w:tcW w:w="10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Exercisable)</w:t>
            </w:r>
          </w:p>
        </w:tc>
        <w:tc>
          <w:tcPr>
            <w:tcW w:w="120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Expiration</w:t>
            </w:r>
          </w:p>
        </w:tc>
        <w:tc>
          <w:tcPr>
            <w:tcW w:w="106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0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22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w w:val="99"/>
              </w:rPr>
              <w:t>Vested</w:t>
            </w:r>
          </w:p>
        </w:tc>
        <w:tc>
          <w:tcPr>
            <w:tcW w:w="1160" w:type="dxa"/>
            <w:vAlign w:val="bottom"/>
            <w:shd w:val="clear" w:color="auto" w:fill="0071CE"/>
          </w:tcPr>
          <w:p>
            <w:pPr>
              <w:jc w:val="center"/>
              <w:spacing w:after="0" w:line="148" w:lineRule="exact"/>
              <w:rPr>
                <w:sz w:val="20"/>
                <w:szCs w:val="20"/>
                <w:color w:val="auto"/>
              </w:rPr>
            </w:pPr>
            <w:r>
              <w:rPr>
                <w:rFonts w:ascii="Arial" w:cs="Arial" w:eastAsia="Arial" w:hAnsi="Arial"/>
                <w:sz w:val="16"/>
                <w:szCs w:val="16"/>
                <w:b w:val="1"/>
                <w:bCs w:val="1"/>
                <w:color w:val="FFFFFF"/>
                <w:w w:val="99"/>
              </w:rPr>
              <w:t>Vested</w:t>
            </w:r>
          </w:p>
        </w:tc>
        <w:tc>
          <w:tcPr>
            <w:tcW w:w="0" w:type="dxa"/>
            <w:vAlign w:val="bottom"/>
          </w:tcPr>
          <w:p>
            <w:pPr>
              <w:spacing w:after="0"/>
              <w:rPr>
                <w:sz w:val="1"/>
                <w:szCs w:val="1"/>
                <w:color w:val="auto"/>
              </w:rPr>
            </w:pPr>
          </w:p>
        </w:tc>
      </w:tr>
      <w:tr>
        <w:trPr>
          <w:trHeight w:val="189"/>
        </w:trPr>
        <w:tc>
          <w:tcPr>
            <w:tcW w:w="1620" w:type="dxa"/>
            <w:vAlign w:val="bottom"/>
            <w:vMerge w:val="continue"/>
            <w:shd w:val="clear" w:color="auto" w:fill="0071CE"/>
          </w:tcPr>
          <w:p>
            <w:pPr>
              <w:spacing w:after="0"/>
              <w:rPr>
                <w:sz w:val="16"/>
                <w:szCs w:val="16"/>
                <w:color w:val="auto"/>
              </w:rPr>
            </w:pPr>
          </w:p>
        </w:tc>
        <w:tc>
          <w:tcPr>
            <w:tcW w:w="840" w:type="dxa"/>
            <w:vAlign w:val="bottom"/>
            <w:shd w:val="clear" w:color="auto" w:fill="0071CE"/>
          </w:tcPr>
          <w:p>
            <w:pPr>
              <w:jc w:val="center"/>
              <w:ind w:right="28"/>
              <w:spacing w:after="0"/>
              <w:rPr>
                <w:sz w:val="20"/>
                <w:szCs w:val="20"/>
                <w:color w:val="auto"/>
              </w:rPr>
            </w:pPr>
            <w:r>
              <w:rPr>
                <w:rFonts w:ascii="Arial" w:cs="Arial" w:eastAsia="Arial" w:hAnsi="Arial"/>
                <w:sz w:val="14"/>
                <w:szCs w:val="14"/>
                <w:b w:val="1"/>
                <w:bCs w:val="1"/>
                <w:color w:val="FFFFFF"/>
                <w:w w:val="98"/>
              </w:rPr>
              <w:t>Date</w:t>
            </w:r>
          </w:p>
        </w:tc>
        <w:tc>
          <w:tcPr>
            <w:tcW w:w="10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(1)</w:t>
            </w:r>
          </w:p>
        </w:tc>
        <w:tc>
          <w:tcPr>
            <w:tcW w:w="12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Price ($)</w:t>
            </w:r>
          </w:p>
        </w:tc>
        <w:tc>
          <w:tcPr>
            <w:tcW w:w="9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Date</w:t>
            </w:r>
          </w:p>
        </w:tc>
        <w:tc>
          <w:tcPr>
            <w:tcW w:w="10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 (2)</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(3)</w:t>
            </w:r>
          </w:p>
        </w:tc>
        <w:tc>
          <w:tcPr>
            <w:tcW w:w="122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 (4)</w:t>
            </w:r>
          </w:p>
        </w:tc>
        <w:tc>
          <w:tcPr>
            <w:tcW w:w="11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rPr>
              <w:t>($)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-1704975</wp:posOffset>
            </wp:positionV>
            <wp:extent cx="48431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2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0071CE"/>
                <w:shd w:val="clear" w:color="auto" w:fill="E5E5E5"/>
              </w:rPr>
              <w:t>Christopher Anzalone</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01/01/2016</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51,726</w:t>
            </w:r>
          </w:p>
        </w:tc>
        <w:tc>
          <w:tcPr>
            <w:tcW w:w="12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6.15</w:t>
            </w:r>
          </w:p>
        </w:tc>
        <w:tc>
          <w:tcPr>
            <w:tcW w:w="106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1/1/2026</w:t>
            </w: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21"/>
        </w:trPr>
        <w:tc>
          <w:tcPr>
            <w:tcW w:w="162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01/01/2020</w:t>
            </w:r>
          </w:p>
        </w:tc>
        <w:tc>
          <w:tcPr>
            <w:tcW w:w="110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06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700,000</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24,143,000</w:t>
            </w:r>
          </w:p>
        </w:tc>
      </w:tr>
      <w:tr>
        <w:trPr>
          <w:trHeight w:val="203"/>
        </w:trPr>
        <w:tc>
          <w:tcPr>
            <w:tcW w:w="16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01/01/2021</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800,000</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27,592,000</w:t>
            </w:r>
          </w:p>
        </w:tc>
      </w:tr>
      <w:tr>
        <w:trPr>
          <w:trHeight w:val="203"/>
        </w:trPr>
        <w:tc>
          <w:tcPr>
            <w:tcW w:w="16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07/08/2022</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24,881</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858,146</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49,761</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1,716,257</w:t>
            </w:r>
          </w:p>
        </w:tc>
      </w:tr>
      <w:tr>
        <w:trPr>
          <w:trHeight w:val="203"/>
        </w:trPr>
        <w:tc>
          <w:tcPr>
            <w:tcW w:w="16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12/20/2022</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46,805</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1,614,304</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93,610</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3,228,609</w:t>
            </w:r>
          </w:p>
        </w:tc>
      </w:tr>
      <w:tr>
        <w:trPr>
          <w:trHeight w:val="211"/>
        </w:trPr>
        <w:tc>
          <w:tcPr>
            <w:tcW w:w="16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12/18/2024</w:t>
            </w:r>
          </w:p>
        </w:tc>
        <w:tc>
          <w:tcPr>
            <w:tcW w:w="11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100,000</w:t>
            </w:r>
          </w:p>
        </w:tc>
        <w:tc>
          <w:tcPr>
            <w:tcW w:w="122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3,449,000</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225,000</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7,760,250</w:t>
            </w:r>
          </w:p>
        </w:tc>
      </w:tr>
      <w:tr>
        <w:trPr>
          <w:trHeight w:val="202"/>
        </w:trPr>
        <w:tc>
          <w:tcPr>
            <w:tcW w:w="1620" w:type="dxa"/>
            <w:vAlign w:val="bottom"/>
          </w:tcPr>
          <w:p>
            <w:pPr>
              <w:ind w:left="100"/>
              <w:spacing w:after="0"/>
              <w:rPr>
                <w:sz w:val="20"/>
                <w:szCs w:val="20"/>
                <w:color w:val="auto"/>
              </w:rPr>
            </w:pPr>
            <w:r>
              <w:rPr>
                <w:rFonts w:ascii="Arial" w:cs="Arial" w:eastAsia="Arial" w:hAnsi="Arial"/>
                <w:sz w:val="14"/>
                <w:szCs w:val="14"/>
                <w:b w:val="1"/>
                <w:bCs w:val="1"/>
                <w:color w:val="0071CE"/>
              </w:rPr>
              <w:t>Daniel Apel</w:t>
            </w:r>
          </w:p>
        </w:tc>
        <w:tc>
          <w:tcPr>
            <w:tcW w:w="760" w:type="dxa"/>
            <w:vAlign w:val="bottom"/>
          </w:tcPr>
          <w:p>
            <w:pPr>
              <w:jc w:val="right"/>
              <w:spacing w:after="0"/>
              <w:rPr>
                <w:sz w:val="20"/>
                <w:szCs w:val="20"/>
                <w:color w:val="auto"/>
              </w:rPr>
            </w:pPr>
            <w:r>
              <w:rPr>
                <w:rFonts w:ascii="Arial" w:cs="Arial" w:eastAsia="Arial" w:hAnsi="Arial"/>
                <w:sz w:val="14"/>
                <w:szCs w:val="14"/>
                <w:color w:val="auto"/>
              </w:rPr>
              <w:t>04/15/2025</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100,000</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3,449,000</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2"/>
        </w:trPr>
        <w:tc>
          <w:tcPr>
            <w:tcW w:w="162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0071CE"/>
              </w:rPr>
              <w:t>Patrick O’Brien</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01/01/2022</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15,000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517,350</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16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01/04/2023</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32,500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1,120,925</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6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01/04/2024</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63,750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2,198,738</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10"/>
        </w:trPr>
        <w:tc>
          <w:tcPr>
            <w:tcW w:w="16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01/04/2025</w:t>
            </w:r>
          </w:p>
        </w:tc>
        <w:tc>
          <w:tcPr>
            <w:tcW w:w="11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100,000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3,449,000</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01"/>
        </w:trPr>
        <w:tc>
          <w:tcPr>
            <w:tcW w:w="1620" w:type="dxa"/>
            <w:vAlign w:val="bottom"/>
          </w:tcPr>
          <w:p>
            <w:pPr>
              <w:ind w:left="100"/>
              <w:spacing w:after="0"/>
              <w:rPr>
                <w:sz w:val="20"/>
                <w:szCs w:val="20"/>
                <w:color w:val="auto"/>
              </w:rPr>
            </w:pPr>
            <w:r>
              <w:rPr>
                <w:rFonts w:ascii="Arial" w:cs="Arial" w:eastAsia="Arial" w:hAnsi="Arial"/>
                <w:sz w:val="14"/>
                <w:szCs w:val="14"/>
                <w:b w:val="1"/>
                <w:bCs w:val="1"/>
                <w:color w:val="0071CE"/>
              </w:rPr>
              <w:t>James Hamilton</w:t>
            </w:r>
          </w:p>
        </w:tc>
        <w:tc>
          <w:tcPr>
            <w:tcW w:w="760" w:type="dxa"/>
            <w:vAlign w:val="bottom"/>
          </w:tcPr>
          <w:p>
            <w:pPr>
              <w:jc w:val="right"/>
              <w:spacing w:after="0"/>
              <w:rPr>
                <w:sz w:val="20"/>
                <w:szCs w:val="20"/>
                <w:color w:val="auto"/>
              </w:rPr>
            </w:pPr>
            <w:r>
              <w:rPr>
                <w:rFonts w:ascii="Arial" w:cs="Arial" w:eastAsia="Arial" w:hAnsi="Arial"/>
                <w:sz w:val="14"/>
                <w:szCs w:val="14"/>
                <w:color w:val="auto"/>
              </w:rPr>
              <w:t>01/01/2022</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13,750</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474,238</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1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01/04/2023</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30,000</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1,034,700</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01/04/2024</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56,250</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1,940,063</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6"/>
        </w:trPr>
        <w:tc>
          <w:tcPr>
            <w:tcW w:w="1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01/04/2025</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100,000</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3,449,000</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5"/>
        </w:trPr>
        <w:tc>
          <w:tcPr>
            <w:tcW w:w="1620" w:type="dxa"/>
            <w:vAlign w:val="bottom"/>
            <w:shd w:val="clear" w:color="auto" w:fill="E5E5E5"/>
          </w:tcPr>
          <w:p>
            <w:pPr>
              <w:ind w:left="100"/>
              <w:spacing w:after="0"/>
              <w:rPr>
                <w:sz w:val="20"/>
                <w:szCs w:val="20"/>
                <w:color w:val="auto"/>
              </w:rPr>
            </w:pPr>
            <w:r>
              <w:rPr>
                <w:rFonts w:ascii="Arial" w:cs="Arial" w:eastAsia="Arial" w:hAnsi="Arial"/>
                <w:sz w:val="14"/>
                <w:szCs w:val="14"/>
                <w:b w:val="1"/>
                <w:bCs w:val="1"/>
                <w:color w:val="0071CE"/>
              </w:rPr>
              <w:t>Kenneth Myszkowski</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01/01/2022</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15,000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517,350</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16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01/04/2023</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30,000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1,034,700</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16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01/04/2024</w:t>
            </w:r>
          </w:p>
        </w:tc>
        <w:tc>
          <w:tcPr>
            <w:tcW w:w="110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56,250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1,940,063</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162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01/04/2025</w:t>
            </w:r>
          </w:p>
        </w:tc>
        <w:tc>
          <w:tcPr>
            <w:tcW w:w="11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100,000</w:t>
            </w:r>
          </w:p>
        </w:tc>
        <w:tc>
          <w:tcPr>
            <w:tcW w:w="12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3,449,000</w:t>
            </w:r>
          </w:p>
        </w:tc>
        <w:tc>
          <w:tcPr>
            <w:tcW w:w="11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1620" w:type="dxa"/>
            <w:vAlign w:val="bottom"/>
          </w:tcPr>
          <w:p>
            <w:pPr>
              <w:ind w:left="140"/>
              <w:spacing w:after="0"/>
              <w:rPr>
                <w:sz w:val="20"/>
                <w:szCs w:val="20"/>
                <w:color w:val="auto"/>
              </w:rPr>
            </w:pPr>
            <w:r>
              <w:rPr>
                <w:rFonts w:ascii="Arial" w:cs="Arial" w:eastAsia="Arial" w:hAnsi="Arial"/>
                <w:sz w:val="14"/>
                <w:szCs w:val="14"/>
                <w:b w:val="1"/>
                <w:bCs w:val="1"/>
                <w:color w:val="0071CE"/>
              </w:rPr>
              <w:t>Tracie Oliver</w:t>
            </w: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87" w:lineRule="exact"/>
        <w:rPr>
          <w:sz w:val="20"/>
          <w:szCs w:val="20"/>
          <w:color w:val="auto"/>
        </w:rPr>
      </w:pPr>
    </w:p>
    <w:p>
      <w:pPr>
        <w:ind w:left="420" w:right="580" w:hanging="412"/>
        <w:spacing w:after="0" w:line="305" w:lineRule="auto"/>
        <w:tabs>
          <w:tab w:leader="none" w:pos="407" w:val="left"/>
        </w:tabs>
        <w:numPr>
          <w:ilvl w:val="0"/>
          <w:numId w:val="46"/>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over 48 months after the award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466090</wp:posOffset>
            </wp:positionV>
            <wp:extent cx="98615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RSUs have various vesting parameters but generally vest in four equal annual installments beginning one year from the grant date.</w:t>
      </w:r>
    </w:p>
    <w:p>
      <w:pPr>
        <w:spacing w:after="0" w:line="28" w:lineRule="exact"/>
        <w:rPr>
          <w:rFonts w:ascii="Arial" w:cs="Arial" w:eastAsia="Arial" w:hAnsi="Arial"/>
          <w:sz w:val="14"/>
          <w:szCs w:val="14"/>
          <w:color w:val="auto"/>
        </w:rPr>
      </w:pPr>
    </w:p>
    <w:p>
      <w:pPr>
        <w:ind w:left="400" w:hanging="392"/>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Value is based on our Company’s Common Stock closing price of $34.49 on September 30, 2025.</w:t>
      </w:r>
    </w:p>
    <w:p>
      <w:pPr>
        <w:spacing w:after="0" w:line="1" w:lineRule="exact"/>
        <w:rPr>
          <w:rFonts w:ascii="Arial" w:cs="Arial" w:eastAsia="Arial" w:hAnsi="Arial"/>
          <w:sz w:val="14"/>
          <w:szCs w:val="14"/>
          <w:color w:val="auto"/>
        </w:rPr>
      </w:pPr>
    </w:p>
    <w:p>
      <w:pPr>
        <w:ind w:left="420" w:right="80" w:hanging="412"/>
        <w:spacing w:after="0" w:line="272" w:lineRule="auto"/>
        <w:tabs>
          <w:tab w:leader="none" w:pos="407"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2020, January 2021, July 2022, December 2022, and December 2024 awards that contain performance-based vesting conditions. These awards and their vesting conditions are described above in the “Compensation Discussion and Analysis” under the heading “Equity Compensation" in this year’s proxy statement and in prior proxy statements,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480695</wp:posOffset>
            </wp:positionV>
            <wp:extent cx="98615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2025 Options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the NEOs, concerning options exercised or RSUs or PRSUs vested during fiscal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shd w:val="clear" w:color="auto" w:fill="0071CE"/>
          </w:tcPr>
          <w:p>
            <w:pPr>
              <w:spacing w:after="0"/>
              <w:rPr>
                <w:sz w:val="17"/>
                <w:szCs w:val="17"/>
                <w:color w:val="auto"/>
              </w:rPr>
            </w:pPr>
          </w:p>
        </w:tc>
        <w:tc>
          <w:tcPr>
            <w:tcW w:w="3160" w:type="dxa"/>
            <w:vAlign w:val="bottom"/>
            <w:gridSpan w:val="3"/>
            <w:shd w:val="clear" w:color="auto" w:fill="0071CE"/>
          </w:tcPr>
          <w:p>
            <w:pPr>
              <w:ind w:left="1040"/>
              <w:spacing w:after="0"/>
              <w:rPr>
                <w:sz w:val="20"/>
                <w:szCs w:val="20"/>
                <w:color w:val="auto"/>
              </w:rPr>
            </w:pPr>
            <w:r>
              <w:rPr>
                <w:rFonts w:ascii="Arial" w:cs="Arial" w:eastAsia="Arial" w:hAnsi="Arial"/>
                <w:sz w:val="14"/>
                <w:szCs w:val="14"/>
                <w:b w:val="1"/>
                <w:bCs w:val="1"/>
                <w:color w:val="FFFFFF"/>
              </w:rPr>
              <w:t>Option Awards</w:t>
            </w:r>
          </w:p>
        </w:tc>
        <w:tc>
          <w:tcPr>
            <w:tcW w:w="3040" w:type="dxa"/>
            <w:vAlign w:val="bottom"/>
            <w:gridSpan w:val="3"/>
            <w:shd w:val="clear" w:color="auto" w:fill="0071CE"/>
          </w:tcPr>
          <w:p>
            <w:pPr>
              <w:jc w:val="right"/>
              <w:ind w:right="96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57"/>
        </w:trPr>
        <w:tc>
          <w:tcPr>
            <w:tcW w:w="5020" w:type="dxa"/>
            <w:vAlign w:val="bottom"/>
            <w:shd w:val="clear" w:color="auto" w:fill="0071CE"/>
          </w:tcPr>
          <w:p>
            <w:pPr>
              <w:spacing w:after="0"/>
              <w:rPr>
                <w:sz w:val="22"/>
                <w:szCs w:val="22"/>
                <w:color w:val="auto"/>
              </w:rPr>
            </w:pPr>
          </w:p>
        </w:tc>
        <w:tc>
          <w:tcPr>
            <w:tcW w:w="15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60" w:type="dxa"/>
            <w:vAlign w:val="bottom"/>
            <w:shd w:val="clear" w:color="auto" w:fill="0071CE"/>
          </w:tcPr>
          <w:p>
            <w:pPr>
              <w:spacing w:after="0"/>
              <w:rPr>
                <w:sz w:val="22"/>
                <w:szCs w:val="22"/>
                <w:color w:val="auto"/>
              </w:rPr>
            </w:pPr>
          </w:p>
        </w:tc>
        <w:tc>
          <w:tcPr>
            <w:tcW w:w="1460" w:type="dxa"/>
            <w:vAlign w:val="bottom"/>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Value Realized on</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520" w:type="dxa"/>
            <w:vAlign w:val="bottom"/>
            <w:gridSpan w:val="2"/>
            <w:vMerge w:val="restart"/>
            <w:shd w:val="clear" w:color="auto" w:fill="0071CE"/>
          </w:tcPr>
          <w:p>
            <w:pPr>
              <w:jc w:val="right"/>
              <w:ind w:right="80"/>
              <w:spacing w:after="0"/>
              <w:rPr>
                <w:sz w:val="20"/>
                <w:szCs w:val="20"/>
                <w:color w:val="auto"/>
              </w:rPr>
            </w:pPr>
            <w:r>
              <w:rPr>
                <w:rFonts w:ascii="Arial" w:cs="Arial" w:eastAsia="Arial" w:hAnsi="Arial"/>
                <w:sz w:val="14"/>
                <w:szCs w:val="14"/>
                <w:b w:val="1"/>
                <w:bCs w:val="1"/>
                <w:color w:val="FFFFFF"/>
              </w:rPr>
              <w:t>Value Realized on</w:t>
            </w:r>
          </w:p>
        </w:tc>
        <w:tc>
          <w:tcPr>
            <w:tcW w:w="0" w:type="dxa"/>
            <w:vAlign w:val="bottom"/>
          </w:tcPr>
          <w:p>
            <w:pPr>
              <w:spacing w:after="0"/>
              <w:rPr>
                <w:sz w:val="1"/>
                <w:szCs w:val="1"/>
                <w:color w:val="auto"/>
              </w:rPr>
            </w:pPr>
          </w:p>
        </w:tc>
      </w:tr>
      <w:tr>
        <w:trPr>
          <w:trHeight w:val="148"/>
        </w:trPr>
        <w:tc>
          <w:tcPr>
            <w:tcW w:w="50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Acquired on</w:t>
            </w:r>
          </w:p>
        </w:tc>
        <w:tc>
          <w:tcPr>
            <w:tcW w:w="160" w:type="dxa"/>
            <w:vAlign w:val="bottom"/>
            <w:shd w:val="clear" w:color="auto" w:fill="0071CE"/>
          </w:tcPr>
          <w:p>
            <w:pPr>
              <w:spacing w:after="0"/>
              <w:rPr>
                <w:sz w:val="12"/>
                <w:szCs w:val="12"/>
                <w:color w:val="auto"/>
              </w:rPr>
            </w:pPr>
          </w:p>
        </w:tc>
        <w:tc>
          <w:tcPr>
            <w:tcW w:w="1460" w:type="dxa"/>
            <w:vAlign w:val="bottom"/>
            <w:vMerge w:val="continue"/>
            <w:shd w:val="clear" w:color="auto" w:fill="0071CE"/>
          </w:tcPr>
          <w:p>
            <w:pPr>
              <w:spacing w:after="0"/>
              <w:rPr>
                <w:sz w:val="12"/>
                <w:szCs w:val="12"/>
                <w:color w:val="auto"/>
              </w:rPr>
            </w:pPr>
          </w:p>
        </w:tc>
        <w:tc>
          <w:tcPr>
            <w:tcW w:w="15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Acquired on</w:t>
            </w:r>
          </w:p>
        </w:tc>
        <w:tc>
          <w:tcPr>
            <w:tcW w:w="1520" w:type="dxa"/>
            <w:vAlign w:val="bottom"/>
            <w:gridSpan w:val="2"/>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vMerge w:val="continue"/>
            <w:shd w:val="clear" w:color="auto" w:fill="0071CE"/>
          </w:tcPr>
          <w:p>
            <w:pPr>
              <w:spacing w:after="0"/>
              <w:rPr>
                <w:sz w:val="16"/>
                <w:szCs w:val="16"/>
                <w:color w:val="auto"/>
              </w:rPr>
            </w:pPr>
          </w:p>
        </w:tc>
        <w:tc>
          <w:tcPr>
            <w:tcW w:w="15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Exercise</w:t>
            </w:r>
          </w:p>
        </w:tc>
        <w:tc>
          <w:tcPr>
            <w:tcW w:w="160" w:type="dxa"/>
            <w:vAlign w:val="bottom"/>
            <w:shd w:val="clear" w:color="auto" w:fill="0071CE"/>
          </w:tcPr>
          <w:p>
            <w:pPr>
              <w:spacing w:after="0"/>
              <w:rPr>
                <w:sz w:val="16"/>
                <w:szCs w:val="16"/>
                <w:color w:val="auto"/>
              </w:rPr>
            </w:pPr>
          </w:p>
        </w:tc>
        <w:tc>
          <w:tcPr>
            <w:tcW w:w="1460" w:type="dxa"/>
            <w:vAlign w:val="bottom"/>
            <w:shd w:val="clear" w:color="auto" w:fill="0071CE"/>
          </w:tcPr>
          <w:p>
            <w:pPr>
              <w:ind w:left="220"/>
              <w:spacing w:after="0"/>
              <w:rPr>
                <w:sz w:val="20"/>
                <w:szCs w:val="20"/>
                <w:color w:val="auto"/>
              </w:rPr>
            </w:pPr>
            <w:r>
              <w:rPr>
                <w:rFonts w:ascii="Arial" w:cs="Arial" w:eastAsia="Arial" w:hAnsi="Arial"/>
                <w:sz w:val="14"/>
                <w:szCs w:val="14"/>
                <w:b w:val="1"/>
                <w:bCs w:val="1"/>
                <w:color w:val="FFFFFF"/>
              </w:rPr>
              <w:t>Exercise (1)</w:t>
            </w:r>
          </w:p>
        </w:tc>
        <w:tc>
          <w:tcPr>
            <w:tcW w:w="15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Vesting</w:t>
            </w:r>
          </w:p>
        </w:tc>
        <w:tc>
          <w:tcPr>
            <w:tcW w:w="280" w:type="dxa"/>
            <w:vAlign w:val="bottom"/>
            <w:shd w:val="clear" w:color="auto" w:fill="0071CE"/>
          </w:tcPr>
          <w:p>
            <w:pPr>
              <w:spacing w:after="0"/>
              <w:rPr>
                <w:sz w:val="16"/>
                <w:szCs w:val="16"/>
                <w:color w:val="auto"/>
              </w:rPr>
            </w:pPr>
          </w:p>
        </w:tc>
        <w:tc>
          <w:tcPr>
            <w:tcW w:w="1240" w:type="dxa"/>
            <w:vAlign w:val="bottom"/>
            <w:shd w:val="clear" w:color="auto" w:fill="0071CE"/>
          </w:tcPr>
          <w:p>
            <w:pPr>
              <w:jc w:val="right"/>
              <w:ind w:right="280"/>
              <w:spacing w:after="0"/>
              <w:rPr>
                <w:sz w:val="20"/>
                <w:szCs w:val="20"/>
                <w:color w:val="auto"/>
              </w:rPr>
            </w:pPr>
            <w:r>
              <w:rPr>
                <w:rFonts w:ascii="Arial" w:cs="Arial" w:eastAsia="Arial" w:hAnsi="Arial"/>
                <w:sz w:val="14"/>
                <w:szCs w:val="14"/>
                <w:b w:val="1"/>
                <w:bCs w:val="1"/>
                <w:color w:val="FFFFFF"/>
              </w:rPr>
              <w:t>Vesting (2)</w:t>
            </w:r>
          </w:p>
        </w:tc>
        <w:tc>
          <w:tcPr>
            <w:tcW w:w="0" w:type="dxa"/>
            <w:vAlign w:val="bottom"/>
          </w:tcPr>
          <w:p>
            <w:pPr>
              <w:spacing w:after="0"/>
              <w:rPr>
                <w:sz w:val="1"/>
                <w:szCs w:val="1"/>
                <w:color w:val="auto"/>
              </w:rPr>
            </w:pPr>
          </w:p>
        </w:tc>
      </w:tr>
      <w:tr>
        <w:trPr>
          <w:trHeight w:val="216"/>
        </w:trPr>
        <w:tc>
          <w:tcPr>
            <w:tcW w:w="50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Christopher Anzalone</w:t>
            </w:r>
          </w:p>
        </w:tc>
        <w:tc>
          <w:tcPr>
            <w:tcW w:w="154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300,000</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ind w:left="580"/>
              <w:spacing w:after="0"/>
              <w:rPr>
                <w:sz w:val="20"/>
                <w:szCs w:val="20"/>
                <w:color w:val="auto"/>
              </w:rPr>
            </w:pPr>
            <w:r>
              <w:rPr>
                <w:rFonts w:ascii="Arial" w:cs="Arial" w:eastAsia="Arial" w:hAnsi="Arial"/>
                <w:sz w:val="16"/>
                <w:szCs w:val="16"/>
                <w:color w:val="auto"/>
              </w:rPr>
              <w:t>2,948,360</w:t>
            </w:r>
          </w:p>
        </w:tc>
        <w:tc>
          <w:tcPr>
            <w:tcW w:w="15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497,354</w:t>
            </w:r>
          </w:p>
        </w:tc>
        <w:tc>
          <w:tcPr>
            <w:tcW w:w="2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8,091,313</w:t>
            </w:r>
          </w:p>
        </w:tc>
        <w:tc>
          <w:tcPr>
            <w:tcW w:w="0" w:type="dxa"/>
            <w:vAlign w:val="bottom"/>
          </w:tcPr>
          <w:p>
            <w:pPr>
              <w:spacing w:after="0"/>
              <w:rPr>
                <w:sz w:val="1"/>
                <w:szCs w:val="1"/>
                <w:color w:val="auto"/>
              </w:rPr>
            </w:pPr>
          </w:p>
        </w:tc>
      </w:tr>
      <w:tr>
        <w:trPr>
          <w:trHeight w:val="215"/>
        </w:trPr>
        <w:tc>
          <w:tcPr>
            <w:tcW w:w="5020" w:type="dxa"/>
            <w:vAlign w:val="bottom"/>
          </w:tcPr>
          <w:p>
            <w:pPr>
              <w:ind w:left="120"/>
              <w:spacing w:after="0"/>
              <w:rPr>
                <w:sz w:val="20"/>
                <w:szCs w:val="20"/>
                <w:color w:val="auto"/>
              </w:rPr>
            </w:pPr>
            <w:r>
              <w:rPr>
                <w:rFonts w:ascii="Arial" w:cs="Arial" w:eastAsia="Arial" w:hAnsi="Arial"/>
                <w:sz w:val="16"/>
                <w:szCs w:val="16"/>
                <w:color w:val="auto"/>
              </w:rPr>
              <w:t>Daniel Apel</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Patrick O’Brien</w:t>
            </w:r>
          </w:p>
        </w:tc>
        <w:tc>
          <w:tcPr>
            <w:tcW w:w="154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8"/>
                <w:szCs w:val="18"/>
                <w:color w:val="auto"/>
              </w:rPr>
            </w:pPr>
          </w:p>
        </w:tc>
        <w:tc>
          <w:tcPr>
            <w:tcW w:w="14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67,500</w:t>
            </w:r>
          </w:p>
        </w:tc>
        <w:tc>
          <w:tcPr>
            <w:tcW w:w="2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1,335,825</w:t>
            </w:r>
          </w:p>
        </w:tc>
        <w:tc>
          <w:tcPr>
            <w:tcW w:w="0" w:type="dxa"/>
            <w:vAlign w:val="bottom"/>
          </w:tcPr>
          <w:p>
            <w:pPr>
              <w:spacing w:after="0"/>
              <w:rPr>
                <w:sz w:val="1"/>
                <w:szCs w:val="1"/>
                <w:color w:val="auto"/>
              </w:rPr>
            </w:pPr>
          </w:p>
        </w:tc>
      </w:tr>
      <w:tr>
        <w:trPr>
          <w:trHeight w:val="215"/>
        </w:trPr>
        <w:tc>
          <w:tcPr>
            <w:tcW w:w="5020" w:type="dxa"/>
            <w:vAlign w:val="bottom"/>
          </w:tcPr>
          <w:p>
            <w:pPr>
              <w:ind w:left="120"/>
              <w:spacing w:after="0"/>
              <w:rPr>
                <w:sz w:val="20"/>
                <w:szCs w:val="20"/>
                <w:color w:val="auto"/>
              </w:rPr>
            </w:pPr>
            <w:r>
              <w:rPr>
                <w:rFonts w:ascii="Arial" w:cs="Arial" w:eastAsia="Arial" w:hAnsi="Arial"/>
                <w:sz w:val="16"/>
                <w:szCs w:val="16"/>
                <w:color w:val="auto"/>
              </w:rPr>
              <w:t>James Hamilton</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60,000</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1,187,400</w:t>
            </w:r>
          </w:p>
        </w:tc>
        <w:tc>
          <w:tcPr>
            <w:tcW w:w="0" w:type="dxa"/>
            <w:vAlign w:val="bottom"/>
          </w:tcPr>
          <w:p>
            <w:pPr>
              <w:spacing w:after="0"/>
              <w:rPr>
                <w:sz w:val="1"/>
                <w:szCs w:val="1"/>
                <w:color w:val="auto"/>
              </w:rPr>
            </w:pPr>
          </w:p>
        </w:tc>
      </w:tr>
      <w:tr>
        <w:trPr>
          <w:trHeight w:val="217"/>
        </w:trPr>
        <w:tc>
          <w:tcPr>
            <w:tcW w:w="50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Kenneth Myszkowski</w:t>
            </w:r>
          </w:p>
        </w:tc>
        <w:tc>
          <w:tcPr>
            <w:tcW w:w="154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8"/>
                <w:szCs w:val="18"/>
                <w:color w:val="auto"/>
              </w:rPr>
            </w:pPr>
          </w:p>
        </w:tc>
        <w:tc>
          <w:tcPr>
            <w:tcW w:w="14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63,750</w:t>
            </w:r>
          </w:p>
        </w:tc>
        <w:tc>
          <w:tcPr>
            <w:tcW w:w="2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1,261,613</w:t>
            </w:r>
          </w:p>
        </w:tc>
        <w:tc>
          <w:tcPr>
            <w:tcW w:w="0" w:type="dxa"/>
            <w:vAlign w:val="bottom"/>
          </w:tcPr>
          <w:p>
            <w:pPr>
              <w:spacing w:after="0"/>
              <w:rPr>
                <w:sz w:val="1"/>
                <w:szCs w:val="1"/>
                <w:color w:val="auto"/>
              </w:rPr>
            </w:pPr>
          </w:p>
        </w:tc>
      </w:tr>
      <w:tr>
        <w:trPr>
          <w:trHeight w:val="215"/>
        </w:trPr>
        <w:tc>
          <w:tcPr>
            <w:tcW w:w="5020" w:type="dxa"/>
            <w:vAlign w:val="bottom"/>
          </w:tcPr>
          <w:p>
            <w:pPr>
              <w:ind w:left="120"/>
              <w:spacing w:after="0"/>
              <w:rPr>
                <w:sz w:val="20"/>
                <w:szCs w:val="20"/>
                <w:color w:val="auto"/>
              </w:rPr>
            </w:pPr>
            <w:r>
              <w:rPr>
                <w:rFonts w:ascii="Arial" w:cs="Arial" w:eastAsia="Arial" w:hAnsi="Arial"/>
                <w:sz w:val="16"/>
                <w:szCs w:val="16"/>
                <w:color w:val="auto"/>
              </w:rPr>
              <w:t>Tracie Oliver</w:t>
            </w: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-1198880</wp:posOffset>
            </wp:positionV>
            <wp:extent cx="39344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48"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exercise, less the exercise price, multiplied by the number of shares exercised.</w:t>
      </w:r>
    </w:p>
    <w:p>
      <w:pPr>
        <w:spacing w:after="0" w:line="109" w:lineRule="exact"/>
        <w:rPr>
          <w:rFonts w:ascii="Arial" w:cs="Arial" w:eastAsia="Arial" w:hAnsi="Arial"/>
          <w:sz w:val="14"/>
          <w:szCs w:val="14"/>
          <w:color w:val="auto"/>
        </w:rPr>
      </w:pPr>
    </w:p>
    <w:p>
      <w:pPr>
        <w:ind w:left="400" w:hanging="392"/>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vesting, multiplied by the number of shares vested.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has entered into Severance and Change of Control Agreements with each of Christopher Anzalone, Daniel Apel, Patrick O’Brien and James Hamilton (the “</w:t>
      </w:r>
      <w:r>
        <w:rPr>
          <w:rFonts w:ascii="Arial" w:cs="Arial" w:eastAsia="Arial" w:hAnsi="Arial"/>
          <w:sz w:val="16"/>
          <w:szCs w:val="16"/>
          <w:b w:val="1"/>
          <w:bCs w:val="1"/>
          <w:color w:val="auto"/>
        </w:rPr>
        <w:t>Severance Agreements</w:t>
      </w:r>
      <w:r>
        <w:rPr>
          <w:rFonts w:ascii="Arial" w:cs="Arial" w:eastAsia="Arial" w:hAnsi="Arial"/>
          <w:sz w:val="16"/>
          <w:szCs w:val="16"/>
          <w:color w:val="auto"/>
        </w:rPr>
        <w:t>”). Under the Severance Agreements, upon a termination of the executive’s employment by the Company without “</w:t>
      </w:r>
      <w:r>
        <w:rPr>
          <w:rFonts w:ascii="Arial" w:cs="Arial" w:eastAsia="Arial" w:hAnsi="Arial"/>
          <w:sz w:val="16"/>
          <w:szCs w:val="16"/>
          <w:b w:val="1"/>
          <w:bCs w:val="1"/>
          <w:color w:val="auto"/>
        </w:rPr>
        <w:t>Cause</w:t>
      </w:r>
      <w:r>
        <w:rPr>
          <w:rFonts w:ascii="Arial" w:cs="Arial" w:eastAsia="Arial" w:hAnsi="Arial"/>
          <w:sz w:val="16"/>
          <w:szCs w:val="16"/>
          <w:color w:val="auto"/>
        </w:rPr>
        <w:t>” (and not as a result of the executive’s death or disability) or due to the executive’s “</w:t>
      </w:r>
      <w:r>
        <w:rPr>
          <w:rFonts w:ascii="Arial" w:cs="Arial" w:eastAsia="Arial" w:hAnsi="Arial"/>
          <w:sz w:val="16"/>
          <w:szCs w:val="16"/>
          <w:b w:val="1"/>
          <w:bCs w:val="1"/>
          <w:color w:val="auto"/>
        </w:rPr>
        <w:t>Resignation for Good Reason</w:t>
      </w:r>
      <w:r>
        <w:rPr>
          <w:rFonts w:ascii="Arial" w:cs="Arial" w:eastAsia="Arial" w:hAnsi="Arial"/>
          <w:sz w:val="16"/>
          <w:szCs w:val="16"/>
          <w:color w:val="auto"/>
        </w:rPr>
        <w:t>” (each quoted term as defined in each Severance Agreement) (such a termination, an “</w:t>
      </w:r>
      <w:r>
        <w:rPr>
          <w:rFonts w:ascii="Arial" w:cs="Arial" w:eastAsia="Arial" w:hAnsi="Arial"/>
          <w:sz w:val="16"/>
          <w:szCs w:val="16"/>
          <w:b w:val="1"/>
          <w:bCs w:val="1"/>
          <w:color w:val="auto"/>
        </w:rPr>
        <w:t>Involuntary Termination</w:t>
      </w:r>
      <w:r>
        <w:rPr>
          <w:rFonts w:ascii="Arial" w:cs="Arial" w:eastAsia="Arial" w:hAnsi="Arial"/>
          <w:sz w:val="16"/>
          <w:szCs w:val="16"/>
          <w:color w:val="auto"/>
        </w:rPr>
        <w:t>”), the Company will provide the following severance benefits: (i) payment of accrued but unpaid base salary, accrued but unused vacation, and any annual cash bonus earned but unpaid for the preceding fiscal year; (ii) a lump sum severance payment equal to six months’ worth of the executive’s base salary (or, for Dr. Anzalone, 12 months’ worth of his base salary, plus a pro-rated portion of his target annual cash bonus for the year in which the termination occurs) (the “</w:t>
      </w:r>
      <w:r>
        <w:rPr>
          <w:rFonts w:ascii="Arial" w:cs="Arial" w:eastAsia="Arial" w:hAnsi="Arial"/>
          <w:sz w:val="16"/>
          <w:szCs w:val="16"/>
          <w:b w:val="1"/>
          <w:bCs w:val="1"/>
          <w:color w:val="auto"/>
        </w:rPr>
        <w:t>Severance Payment</w:t>
      </w:r>
      <w:r>
        <w:rPr>
          <w:rFonts w:ascii="Arial" w:cs="Arial" w:eastAsia="Arial" w:hAnsi="Arial"/>
          <w:sz w:val="16"/>
          <w:szCs w:val="16"/>
          <w:color w:val="auto"/>
        </w:rPr>
        <w:t>”); and (iii) reimbursement of health care continuation premiums for the 12-month period (or, for Dr. Anzalone, the 18-month period) following the termination date.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the termination of employment described above occurs within the period beginning three months prior to the signing of a definitive agreement that would result in a “</w:t>
      </w:r>
      <w:r>
        <w:rPr>
          <w:rFonts w:ascii="Arial" w:cs="Arial" w:eastAsia="Arial" w:hAnsi="Arial"/>
          <w:sz w:val="16"/>
          <w:szCs w:val="16"/>
          <w:b w:val="1"/>
          <w:bCs w:val="1"/>
          <w:color w:val="auto"/>
        </w:rPr>
        <w:t>Change of Control</w:t>
      </w:r>
      <w:r>
        <w:rPr>
          <w:rFonts w:ascii="Arial" w:cs="Arial" w:eastAsia="Arial" w:hAnsi="Arial"/>
          <w:sz w:val="16"/>
          <w:szCs w:val="16"/>
          <w:color w:val="auto"/>
        </w:rPr>
        <w:t>” (as defined in each Severance Agreement) through the first anniversary of such Change of Control (the “</w:t>
      </w:r>
      <w:r>
        <w:rPr>
          <w:rFonts w:ascii="Arial" w:cs="Arial" w:eastAsia="Arial" w:hAnsi="Arial"/>
          <w:sz w:val="16"/>
          <w:szCs w:val="16"/>
          <w:b w:val="1"/>
          <w:bCs w:val="1"/>
          <w:color w:val="auto"/>
        </w:rPr>
        <w:t>CIC Period</w:t>
      </w:r>
      <w:r>
        <w:rPr>
          <w:rFonts w:ascii="Arial" w:cs="Arial" w:eastAsia="Arial" w:hAnsi="Arial"/>
          <w:sz w:val="16"/>
          <w:szCs w:val="16"/>
          <w:color w:val="auto"/>
        </w:rPr>
        <w:t>”), the Company will provide the following severance benefits in lieu of the benefits described above: (i) payment of accrued but unpaid base salary, accrued but unused vacation, and any annual cash bonus earned but unpaid for the preceding fiscal year; (ii) a lump sum severance payment equal to (a) 12 months’ worth (or, for Dr. Anzalone, 24 months’ worth) of the executive’s base salary, plus (b) one and one-half times (or, for Dr. Anzalone, two times) the executive’s target annual cash bonus for the year in which the termination occurs (the “</w:t>
      </w:r>
      <w:r>
        <w:rPr>
          <w:rFonts w:ascii="Arial" w:cs="Arial" w:eastAsia="Arial" w:hAnsi="Arial"/>
          <w:sz w:val="16"/>
          <w:szCs w:val="16"/>
          <w:b w:val="1"/>
          <w:bCs w:val="1"/>
          <w:color w:val="auto"/>
        </w:rPr>
        <w:t>COC Severance Payment</w:t>
      </w:r>
      <w:r>
        <w:rPr>
          <w:rFonts w:ascii="Arial" w:cs="Arial" w:eastAsia="Arial" w:hAnsi="Arial"/>
          <w:sz w:val="16"/>
          <w:szCs w:val="16"/>
          <w:color w:val="auto"/>
        </w:rPr>
        <w:t>”); provided, however, that if the executive has received a Severance Payment, the COC Severance Payment shall be reduced by the amount of such Severance Payment; (iii) reimbursement of health care continuation premiums for the 18-month period following the termination date; and (iv) accelerated vesting of all outstanding equity awards, with any performance-based vesting criteria deemed achieved at the target level of performance (and, if the termination occurs within the permitted period prior to the Change of Control, a lump sum cash payment equal to the value of any equity awards that would have vested had the executive remained employed through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492760</wp:posOffset>
            </wp:positionV>
            <wp:extent cx="98615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severance benefits provided under the Severance Agreements are subject to each executive’s execution and non-revocation of a release of claims in favor of the Company and its affiliates. Further, in the event that any payments or benefits provided under the Severance Agreements or otherwise constitute “</w:t>
      </w:r>
      <w:r>
        <w:rPr>
          <w:rFonts w:ascii="Arial" w:cs="Arial" w:eastAsia="Arial" w:hAnsi="Arial"/>
          <w:sz w:val="16"/>
          <w:szCs w:val="16"/>
          <w:b w:val="1"/>
          <w:bCs w:val="1"/>
          <w:color w:val="auto"/>
        </w:rPr>
        <w:t>parachute payments</w:t>
      </w:r>
      <w:r>
        <w:rPr>
          <w:rFonts w:ascii="Arial" w:cs="Arial" w:eastAsia="Arial" w:hAnsi="Arial"/>
          <w:sz w:val="16"/>
          <w:szCs w:val="16"/>
          <w:color w:val="auto"/>
        </w:rPr>
        <w:t>” within the meaning of Section 280G of the Internal Revenue Code of 1986, as amended (the “Code”), the executive will receive the portion of such payments and benefits that results in the greatest after-tax benefit to the executive (including after payment of any excise tax under Section 4999 of the Code).</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executed a Retirement Letter with Mr. Ken Myszkowski, dated May 9, 2025, stating that after May 13, 2025, and through January 31, 2026, Mr. Myszkowski will remain an Arrowhead employee, assuming the position of Assistant to the Chief Financial Officer. In that role, Mr. Myszkowski is expected to be reasonably available for consultation at the CFO’s request, and to assist the CFO with certain regulatory filings. As Assistant to the CFO, Mr. Myszkowski will be considered a full-time employee and will draw a salary at the annualized rate of $200,000. Pursuant to the Retirement Letter, if Arrowhead were to terminate Mr. Myszkowski's employment without cause prior to January 31, 2026, Mr. Myszkowski would be entitled to a lump sum payment equal to three months of his salary and an amount equal to the cost of three months of healthcare insurance under his post-employment COBRA rights.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Ms. Oliver passed away in November 2024.</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pursuant to the Inducement Plan, 2013 Incentive Plan and the 2021 Incentive Plan, any unvested awards held by plan participants, including the NEOs, become fully vested upon a change of control of the Company, except as otherwise determined by the Board and except with respect to the outstanding awards held by the CEO whose awards will only become fully vested if he experiences a qualifying termination of employment following a change of control.</w:t>
      </w:r>
    </w:p>
    <w:p>
      <w:pPr>
        <w:spacing w:after="0" w:line="17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NEOs (other than Ms. Oliver) had their employment been terminated or a change in control of the Company taken place on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818515</wp:posOffset>
            </wp:positionV>
            <wp:extent cx="98615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shd w:val="clear" w:color="auto" w:fill="0071CE"/>
          </w:tcPr>
          <w:p>
            <w:pPr>
              <w:spacing w:after="0"/>
              <w:rPr>
                <w:sz w:val="15"/>
                <w:szCs w:val="15"/>
                <w:color w:val="auto"/>
              </w:rPr>
            </w:pPr>
          </w:p>
        </w:tc>
        <w:tc>
          <w:tcPr>
            <w:tcW w:w="1320" w:type="dxa"/>
            <w:vAlign w:val="bottom"/>
            <w:vMerge w:val="restart"/>
            <w:shd w:val="clear" w:color="auto" w:fill="0071CE"/>
          </w:tcPr>
          <w:p>
            <w:pPr>
              <w:jc w:val="right"/>
              <w:ind w:right="460"/>
              <w:spacing w:after="0"/>
              <w:rPr>
                <w:sz w:val="20"/>
                <w:szCs w:val="20"/>
                <w:color w:val="auto"/>
              </w:rPr>
            </w:pPr>
            <w:r>
              <w:rPr>
                <w:rFonts w:ascii="Arial" w:cs="Arial" w:eastAsia="Arial" w:hAnsi="Arial"/>
                <w:sz w:val="14"/>
                <w:szCs w:val="14"/>
                <w:b w:val="1"/>
                <w:bCs w:val="1"/>
                <w:color w:val="FFFFFF"/>
              </w:rPr>
              <w:t>Salary</w:t>
            </w:r>
          </w:p>
        </w:tc>
        <w:tc>
          <w:tcPr>
            <w:tcW w:w="1200" w:type="dxa"/>
            <w:vAlign w:val="bottom"/>
            <w:vMerge w:val="restart"/>
            <w:shd w:val="clear" w:color="auto" w:fill="0071CE"/>
          </w:tcPr>
          <w:p>
            <w:pPr>
              <w:jc w:val="right"/>
              <w:ind w:right="420"/>
              <w:spacing w:after="0"/>
              <w:rPr>
                <w:sz w:val="20"/>
                <w:szCs w:val="20"/>
                <w:color w:val="auto"/>
              </w:rPr>
            </w:pPr>
            <w:r>
              <w:rPr>
                <w:rFonts w:ascii="Arial" w:cs="Arial" w:eastAsia="Arial" w:hAnsi="Arial"/>
                <w:sz w:val="14"/>
                <w:szCs w:val="14"/>
                <w:b w:val="1"/>
                <w:bCs w:val="1"/>
                <w:color w:val="FFFFFF"/>
              </w:rPr>
              <w:t>Bonus</w:t>
            </w:r>
          </w:p>
        </w:tc>
        <w:tc>
          <w:tcPr>
            <w:tcW w:w="1220" w:type="dxa"/>
            <w:vAlign w:val="bottom"/>
            <w:vMerge w:val="restart"/>
            <w:shd w:val="clear" w:color="auto" w:fill="0071CE"/>
          </w:tcPr>
          <w:p>
            <w:pPr>
              <w:jc w:val="right"/>
              <w:ind w:right="340"/>
              <w:spacing w:after="0"/>
              <w:rPr>
                <w:sz w:val="20"/>
                <w:szCs w:val="20"/>
                <w:color w:val="auto"/>
              </w:rPr>
            </w:pPr>
            <w:r>
              <w:rPr>
                <w:rFonts w:ascii="Arial" w:cs="Arial" w:eastAsia="Arial" w:hAnsi="Arial"/>
                <w:sz w:val="14"/>
                <w:szCs w:val="14"/>
                <w:b w:val="1"/>
                <w:bCs w:val="1"/>
                <w:color w:val="FFFFFF"/>
              </w:rPr>
              <w:t>Benefits</w:t>
            </w:r>
          </w:p>
        </w:tc>
        <w:tc>
          <w:tcPr>
            <w:tcW w:w="1220" w:type="dxa"/>
            <w:vAlign w:val="bottom"/>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Stock</w:t>
            </w:r>
          </w:p>
        </w:tc>
        <w:tc>
          <w:tcPr>
            <w:tcW w:w="108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18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Triggering Event</w:t>
            </w:r>
          </w:p>
        </w:tc>
        <w:tc>
          <w:tcPr>
            <w:tcW w:w="1320" w:type="dxa"/>
            <w:vAlign w:val="bottom"/>
            <w:vMerge w:val="continue"/>
            <w:shd w:val="clear" w:color="auto" w:fill="0071CE"/>
          </w:tcPr>
          <w:p>
            <w:pPr>
              <w:spacing w:after="0"/>
              <w:rPr>
                <w:sz w:val="12"/>
                <w:szCs w:val="12"/>
                <w:color w:val="auto"/>
              </w:rPr>
            </w:pPr>
          </w:p>
        </w:tc>
        <w:tc>
          <w:tcPr>
            <w:tcW w:w="1200" w:type="dxa"/>
            <w:vAlign w:val="bottom"/>
            <w:vMerge w:val="continue"/>
            <w:shd w:val="clear" w:color="auto" w:fill="0071CE"/>
          </w:tcPr>
          <w:p>
            <w:pPr>
              <w:spacing w:after="0"/>
              <w:rPr>
                <w:sz w:val="12"/>
                <w:szCs w:val="12"/>
                <w:color w:val="auto"/>
              </w:rPr>
            </w:pPr>
          </w:p>
        </w:tc>
        <w:tc>
          <w:tcPr>
            <w:tcW w:w="1220" w:type="dxa"/>
            <w:vAlign w:val="bottom"/>
            <w:vMerge w:val="continue"/>
            <w:shd w:val="clear" w:color="auto" w:fill="0071CE"/>
          </w:tcPr>
          <w:p>
            <w:pPr>
              <w:spacing w:after="0"/>
              <w:rPr>
                <w:sz w:val="12"/>
                <w:szCs w:val="12"/>
                <w:color w:val="auto"/>
              </w:rPr>
            </w:pPr>
          </w:p>
        </w:tc>
        <w:tc>
          <w:tcPr>
            <w:tcW w:w="1220" w:type="dxa"/>
            <w:vAlign w:val="bottom"/>
            <w:shd w:val="clear" w:color="auto" w:fill="0071CE"/>
          </w:tcPr>
          <w:p>
            <w:pPr>
              <w:jc w:val="center"/>
              <w:ind w:right="101"/>
              <w:spacing w:after="0" w:line="149" w:lineRule="exact"/>
              <w:rPr>
                <w:sz w:val="20"/>
                <w:szCs w:val="20"/>
                <w:color w:val="auto"/>
              </w:rPr>
            </w:pPr>
            <w:r>
              <w:rPr>
                <w:rFonts w:ascii="Arial" w:cs="Arial" w:eastAsia="Arial" w:hAnsi="Arial"/>
                <w:sz w:val="14"/>
                <w:szCs w:val="14"/>
                <w:b w:val="1"/>
                <w:bCs w:val="1"/>
                <w:color w:val="FFFFFF"/>
              </w:rPr>
              <w:t>Awards</w:t>
            </w:r>
          </w:p>
        </w:tc>
        <w:tc>
          <w:tcPr>
            <w:tcW w:w="1080" w:type="dxa"/>
            <w:vAlign w:val="bottom"/>
            <w:vMerge w:val="restart"/>
            <w:shd w:val="clear" w:color="auto" w:fill="0071CE"/>
          </w:tcPr>
          <w:p>
            <w:pPr>
              <w:jc w:val="right"/>
              <w:ind w:right="3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71CE"/>
            </w:tcBorders>
            <w:vMerge w:val="continue"/>
            <w:shd w:val="clear" w:color="auto" w:fill="0071CE"/>
          </w:tcPr>
          <w:p>
            <w:pPr>
              <w:spacing w:after="0"/>
              <w:rPr>
                <w:sz w:val="17"/>
                <w:szCs w:val="17"/>
                <w:color w:val="auto"/>
              </w:rPr>
            </w:pPr>
          </w:p>
        </w:tc>
        <w:tc>
          <w:tcPr>
            <w:tcW w:w="1320" w:type="dxa"/>
            <w:vAlign w:val="bottom"/>
            <w:tcBorders>
              <w:bottom w:val="single" w:sz="8" w:color="0071CE"/>
            </w:tcBorders>
            <w:shd w:val="clear" w:color="auto" w:fill="0071CE"/>
          </w:tcPr>
          <w:p>
            <w:pPr>
              <w:jc w:val="right"/>
              <w:ind w:right="580"/>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71CE"/>
            </w:tcBorders>
            <w:shd w:val="clear" w:color="auto" w:fill="0071CE"/>
          </w:tcPr>
          <w:p>
            <w:pPr>
              <w:jc w:val="right"/>
              <w:ind w:right="560"/>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71CE"/>
            </w:tcBorders>
            <w:shd w:val="clear" w:color="auto" w:fill="0071CE"/>
          </w:tcPr>
          <w:p>
            <w:pPr>
              <w:jc w:val="right"/>
              <w:ind w:right="540"/>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71CE"/>
            </w:tcBorders>
            <w:shd w:val="clear" w:color="auto" w:fill="0071CE"/>
          </w:tcPr>
          <w:p>
            <w:pPr>
              <w:jc w:val="center"/>
              <w:ind w:right="101"/>
              <w:spacing w:after="0"/>
              <w:rPr>
                <w:sz w:val="20"/>
                <w:szCs w:val="20"/>
                <w:color w:val="auto"/>
              </w:rPr>
            </w:pPr>
            <w:r>
              <w:rPr>
                <w:rFonts w:ascii="Arial" w:cs="Arial" w:eastAsia="Arial" w:hAnsi="Arial"/>
                <w:sz w:val="14"/>
                <w:szCs w:val="14"/>
                <w:b w:val="1"/>
                <w:bCs w:val="1"/>
                <w:color w:val="FFFFFF"/>
              </w:rPr>
              <w:t>(1)($)</w:t>
            </w:r>
          </w:p>
        </w:tc>
        <w:tc>
          <w:tcPr>
            <w:tcW w:w="1080" w:type="dxa"/>
            <w:vAlign w:val="bottom"/>
            <w:tcBorders>
              <w:bottom w:val="single" w:sz="8" w:color="0071CE"/>
            </w:tcBorders>
            <w:vMerge w:val="continue"/>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Involuntary Termination Outside of the CIC Period</w:t>
            </w:r>
          </w:p>
        </w:tc>
        <w:tc>
          <w:tcPr>
            <w:tcW w:w="132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Christopher Anzalone</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988,800</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988,800</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66,286</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2,043,886</w:t>
            </w:r>
          </w:p>
        </w:tc>
        <w:tc>
          <w:tcPr>
            <w:tcW w:w="0" w:type="dxa"/>
            <w:vAlign w:val="bottom"/>
          </w:tcPr>
          <w:p>
            <w:pPr>
              <w:spacing w:after="0"/>
              <w:rPr>
                <w:sz w:val="1"/>
                <w:szCs w:val="1"/>
                <w:color w:val="auto"/>
              </w:rPr>
            </w:pPr>
          </w:p>
        </w:tc>
      </w:tr>
      <w:tr>
        <w:trPr>
          <w:trHeight w:val="217"/>
        </w:trPr>
        <w:tc>
          <w:tcPr>
            <w:tcW w:w="5180" w:type="dxa"/>
            <w:vAlign w:val="bottom"/>
            <w:shd w:val="clear" w:color="auto" w:fill="E5E5E5"/>
          </w:tcPr>
          <w:p>
            <w:pPr>
              <w:ind w:left="440"/>
              <w:spacing w:after="0"/>
              <w:rPr>
                <w:sz w:val="20"/>
                <w:szCs w:val="20"/>
                <w:color w:val="auto"/>
              </w:rPr>
            </w:pPr>
            <w:r>
              <w:rPr>
                <w:rFonts w:ascii="Arial" w:cs="Arial" w:eastAsia="Arial" w:hAnsi="Arial"/>
                <w:sz w:val="16"/>
                <w:szCs w:val="16"/>
                <w:color w:val="auto"/>
              </w:rPr>
              <w:t>Daniel Apel</w:t>
            </w:r>
          </w:p>
        </w:tc>
        <w:tc>
          <w:tcPr>
            <w:tcW w:w="13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287,500</w:t>
            </w:r>
          </w:p>
        </w:tc>
        <w:tc>
          <w:tcPr>
            <w:tcW w:w="12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47,383</w:t>
            </w:r>
          </w:p>
        </w:tc>
        <w:tc>
          <w:tcPr>
            <w:tcW w:w="12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334,883</w:t>
            </w: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Patrick O’Brien</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325,000</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49,069</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374,069</w:t>
            </w:r>
          </w:p>
        </w:tc>
        <w:tc>
          <w:tcPr>
            <w:tcW w:w="0" w:type="dxa"/>
            <w:vAlign w:val="bottom"/>
          </w:tcPr>
          <w:p>
            <w:pPr>
              <w:spacing w:after="0"/>
              <w:rPr>
                <w:sz w:val="1"/>
                <w:szCs w:val="1"/>
                <w:color w:val="auto"/>
              </w:rPr>
            </w:pPr>
          </w:p>
        </w:tc>
      </w:tr>
      <w:tr>
        <w:trPr>
          <w:trHeight w:val="217"/>
        </w:trPr>
        <w:tc>
          <w:tcPr>
            <w:tcW w:w="518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James Hamilton</w:t>
            </w:r>
          </w:p>
        </w:tc>
        <w:tc>
          <w:tcPr>
            <w:tcW w:w="13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315,000</w:t>
            </w:r>
          </w:p>
        </w:tc>
        <w:tc>
          <w:tcPr>
            <w:tcW w:w="12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32,114</w:t>
            </w:r>
          </w:p>
        </w:tc>
        <w:tc>
          <w:tcPr>
            <w:tcW w:w="12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347,114</w:t>
            </w: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Kenneth Myszkowski</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50,000</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12,107</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62,107</w:t>
            </w:r>
          </w:p>
        </w:tc>
        <w:tc>
          <w:tcPr>
            <w:tcW w:w="0" w:type="dxa"/>
            <w:vAlign w:val="bottom"/>
          </w:tcPr>
          <w:p>
            <w:pPr>
              <w:spacing w:after="0"/>
              <w:rPr>
                <w:sz w:val="1"/>
                <w:szCs w:val="1"/>
                <w:color w:val="auto"/>
              </w:rPr>
            </w:pPr>
          </w:p>
        </w:tc>
      </w:tr>
      <w:tr>
        <w:trPr>
          <w:trHeight w:val="244"/>
        </w:trPr>
        <w:tc>
          <w:tcPr>
            <w:tcW w:w="51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Change in Control</w:t>
            </w:r>
          </w:p>
        </w:tc>
        <w:tc>
          <w:tcPr>
            <w:tcW w:w="132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c>
          <w:tcPr>
            <w:tcW w:w="108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Christopher Anzalone</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80" w:type="dxa"/>
            <w:vAlign w:val="bottom"/>
            <w:shd w:val="clear" w:color="auto" w:fill="E5E5E5"/>
          </w:tcPr>
          <w:p>
            <w:pPr>
              <w:ind w:left="440"/>
              <w:spacing w:after="0"/>
              <w:rPr>
                <w:sz w:val="20"/>
                <w:szCs w:val="20"/>
                <w:color w:val="auto"/>
              </w:rPr>
            </w:pPr>
            <w:r>
              <w:rPr>
                <w:rFonts w:ascii="Arial" w:cs="Arial" w:eastAsia="Arial" w:hAnsi="Arial"/>
                <w:sz w:val="16"/>
                <w:szCs w:val="16"/>
                <w:color w:val="auto"/>
              </w:rPr>
              <w:t>Daniel Apel</w:t>
            </w:r>
          </w:p>
        </w:tc>
        <w:tc>
          <w:tcPr>
            <w:tcW w:w="13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3,449,000</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3,449,000</w:t>
            </w: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Patrick O’Brien</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7,286,013</w:t>
            </w:r>
          </w:p>
        </w:tc>
        <w:tc>
          <w:tcPr>
            <w:tcW w:w="1080" w:type="dxa"/>
            <w:vAlign w:val="bottom"/>
          </w:tcPr>
          <w:p>
            <w:pPr>
              <w:jc w:val="right"/>
              <w:spacing w:after="0"/>
              <w:rPr>
                <w:sz w:val="20"/>
                <w:szCs w:val="20"/>
                <w:color w:val="auto"/>
              </w:rPr>
            </w:pPr>
            <w:r>
              <w:rPr>
                <w:rFonts w:ascii="Arial" w:cs="Arial" w:eastAsia="Arial" w:hAnsi="Arial"/>
                <w:sz w:val="16"/>
                <w:szCs w:val="16"/>
                <w:color w:val="auto"/>
              </w:rPr>
              <w:t>7,286,013</w:t>
            </w:r>
          </w:p>
        </w:tc>
        <w:tc>
          <w:tcPr>
            <w:tcW w:w="0" w:type="dxa"/>
            <w:vAlign w:val="bottom"/>
          </w:tcPr>
          <w:p>
            <w:pPr>
              <w:spacing w:after="0"/>
              <w:rPr>
                <w:sz w:val="1"/>
                <w:szCs w:val="1"/>
                <w:color w:val="auto"/>
              </w:rPr>
            </w:pPr>
          </w:p>
        </w:tc>
      </w:tr>
      <w:tr>
        <w:trPr>
          <w:trHeight w:val="217"/>
        </w:trPr>
        <w:tc>
          <w:tcPr>
            <w:tcW w:w="518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James Hamilton</w:t>
            </w:r>
          </w:p>
        </w:tc>
        <w:tc>
          <w:tcPr>
            <w:tcW w:w="13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6,898,000</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6,898,000</w:t>
            </w: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Kenneth Myszkowski</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6,941,113</w:t>
            </w:r>
          </w:p>
        </w:tc>
        <w:tc>
          <w:tcPr>
            <w:tcW w:w="1080" w:type="dxa"/>
            <w:vAlign w:val="bottom"/>
          </w:tcPr>
          <w:p>
            <w:pPr>
              <w:jc w:val="right"/>
              <w:spacing w:after="0"/>
              <w:rPr>
                <w:sz w:val="20"/>
                <w:szCs w:val="20"/>
                <w:color w:val="auto"/>
              </w:rPr>
            </w:pPr>
            <w:r>
              <w:rPr>
                <w:rFonts w:ascii="Arial" w:cs="Arial" w:eastAsia="Arial" w:hAnsi="Arial"/>
                <w:sz w:val="16"/>
                <w:szCs w:val="16"/>
                <w:color w:val="auto"/>
              </w:rPr>
              <w:t>6,941,113</w:t>
            </w:r>
          </w:p>
        </w:tc>
        <w:tc>
          <w:tcPr>
            <w:tcW w:w="0" w:type="dxa"/>
            <w:vAlign w:val="bottom"/>
          </w:tcPr>
          <w:p>
            <w:pPr>
              <w:spacing w:after="0"/>
              <w:rPr>
                <w:sz w:val="1"/>
                <w:szCs w:val="1"/>
                <w:color w:val="auto"/>
              </w:rPr>
            </w:pPr>
          </w:p>
        </w:tc>
      </w:tr>
      <w:tr>
        <w:trPr>
          <w:trHeight w:val="217"/>
        </w:trPr>
        <w:tc>
          <w:tcPr>
            <w:tcW w:w="51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Involuntary Termination During the CIC Period</w:t>
            </w:r>
          </w:p>
        </w:tc>
        <w:tc>
          <w:tcPr>
            <w:tcW w:w="132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Christopher Anzalone</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1,977,600</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1,977,600</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66,286</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71,827,481</w:t>
            </w:r>
          </w:p>
        </w:tc>
        <w:tc>
          <w:tcPr>
            <w:tcW w:w="1080" w:type="dxa"/>
            <w:vAlign w:val="bottom"/>
          </w:tcPr>
          <w:p>
            <w:pPr>
              <w:jc w:val="right"/>
              <w:spacing w:after="0"/>
              <w:rPr>
                <w:sz w:val="20"/>
                <w:szCs w:val="20"/>
                <w:color w:val="auto"/>
              </w:rPr>
            </w:pPr>
            <w:r>
              <w:rPr>
                <w:rFonts w:ascii="Arial" w:cs="Arial" w:eastAsia="Arial" w:hAnsi="Arial"/>
                <w:sz w:val="16"/>
                <w:szCs w:val="16"/>
                <w:color w:val="auto"/>
              </w:rPr>
              <w:t>75,848,967</w:t>
            </w:r>
          </w:p>
        </w:tc>
        <w:tc>
          <w:tcPr>
            <w:tcW w:w="0" w:type="dxa"/>
            <w:vAlign w:val="bottom"/>
          </w:tcPr>
          <w:p>
            <w:pPr>
              <w:spacing w:after="0"/>
              <w:rPr>
                <w:sz w:val="1"/>
                <w:szCs w:val="1"/>
                <w:color w:val="auto"/>
              </w:rPr>
            </w:pPr>
          </w:p>
        </w:tc>
      </w:tr>
      <w:tr>
        <w:trPr>
          <w:trHeight w:val="217"/>
        </w:trPr>
        <w:tc>
          <w:tcPr>
            <w:tcW w:w="5180" w:type="dxa"/>
            <w:vAlign w:val="bottom"/>
            <w:shd w:val="clear" w:color="auto" w:fill="E5E5E5"/>
          </w:tcPr>
          <w:p>
            <w:pPr>
              <w:ind w:left="440"/>
              <w:spacing w:after="0"/>
              <w:rPr>
                <w:sz w:val="20"/>
                <w:szCs w:val="20"/>
                <w:color w:val="auto"/>
              </w:rPr>
            </w:pPr>
            <w:r>
              <w:rPr>
                <w:rFonts w:ascii="Arial" w:cs="Arial" w:eastAsia="Arial" w:hAnsi="Arial"/>
                <w:sz w:val="16"/>
                <w:szCs w:val="16"/>
                <w:color w:val="auto"/>
              </w:rPr>
              <w:t>Daniel Apel</w:t>
            </w:r>
          </w:p>
        </w:tc>
        <w:tc>
          <w:tcPr>
            <w:tcW w:w="13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575,000</w:t>
            </w:r>
          </w:p>
        </w:tc>
        <w:tc>
          <w:tcPr>
            <w:tcW w:w="12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388,125</w:t>
            </w:r>
          </w:p>
        </w:tc>
        <w:tc>
          <w:tcPr>
            <w:tcW w:w="12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71,075</w:t>
            </w:r>
          </w:p>
        </w:tc>
        <w:tc>
          <w:tcPr>
            <w:tcW w:w="12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3,449,000</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4,483,200</w:t>
            </w: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Patrick O’Brien</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650,000</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438,750</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73,604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7,286,013</w:t>
            </w:r>
          </w:p>
        </w:tc>
        <w:tc>
          <w:tcPr>
            <w:tcW w:w="1080" w:type="dxa"/>
            <w:vAlign w:val="bottom"/>
          </w:tcPr>
          <w:p>
            <w:pPr>
              <w:jc w:val="right"/>
              <w:spacing w:after="0"/>
              <w:rPr>
                <w:sz w:val="20"/>
                <w:szCs w:val="20"/>
                <w:color w:val="auto"/>
              </w:rPr>
            </w:pPr>
            <w:r>
              <w:rPr>
                <w:rFonts w:ascii="Arial" w:cs="Arial" w:eastAsia="Arial" w:hAnsi="Arial"/>
                <w:sz w:val="16"/>
                <w:szCs w:val="16"/>
                <w:color w:val="auto"/>
              </w:rPr>
              <w:t>8,448,367</w:t>
            </w:r>
          </w:p>
        </w:tc>
        <w:tc>
          <w:tcPr>
            <w:tcW w:w="0" w:type="dxa"/>
            <w:vAlign w:val="bottom"/>
          </w:tcPr>
          <w:p>
            <w:pPr>
              <w:spacing w:after="0"/>
              <w:rPr>
                <w:sz w:val="1"/>
                <w:szCs w:val="1"/>
                <w:color w:val="auto"/>
              </w:rPr>
            </w:pPr>
          </w:p>
        </w:tc>
      </w:tr>
      <w:tr>
        <w:trPr>
          <w:trHeight w:val="217"/>
        </w:trPr>
        <w:tc>
          <w:tcPr>
            <w:tcW w:w="518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James Hamilton</w:t>
            </w:r>
          </w:p>
        </w:tc>
        <w:tc>
          <w:tcPr>
            <w:tcW w:w="132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630,000</w:t>
            </w:r>
          </w:p>
        </w:tc>
        <w:tc>
          <w:tcPr>
            <w:tcW w:w="120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425,250</w:t>
            </w:r>
          </w:p>
        </w:tc>
        <w:tc>
          <w:tcPr>
            <w:tcW w:w="12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48,170</w:t>
            </w:r>
          </w:p>
        </w:tc>
        <w:tc>
          <w:tcPr>
            <w:tcW w:w="122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6,898,000</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8,001,420</w:t>
            </w: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Kenneth Myszkowski</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50,000</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72,643</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6,941,113</w:t>
            </w:r>
          </w:p>
        </w:tc>
        <w:tc>
          <w:tcPr>
            <w:tcW w:w="1080" w:type="dxa"/>
            <w:vAlign w:val="bottom"/>
          </w:tcPr>
          <w:p>
            <w:pPr>
              <w:jc w:val="right"/>
              <w:spacing w:after="0"/>
              <w:rPr>
                <w:sz w:val="20"/>
                <w:szCs w:val="20"/>
                <w:color w:val="auto"/>
              </w:rPr>
            </w:pPr>
            <w:r>
              <w:rPr>
                <w:rFonts w:ascii="Arial" w:cs="Arial" w:eastAsia="Arial" w:hAnsi="Arial"/>
                <w:sz w:val="16"/>
                <w:szCs w:val="16"/>
                <w:color w:val="auto"/>
              </w:rPr>
              <w:t>7,063,756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and unearned shares multiplied by the Company’s closing stock price at September 30, 2025 of</w:t>
      </w:r>
    </w:p>
    <w:p>
      <w:pPr>
        <w:spacing w:after="0" w:line="28" w:lineRule="exact"/>
        <w:rPr>
          <w:rFonts w:ascii="Arial" w:cs="Arial" w:eastAsia="Arial" w:hAnsi="Arial"/>
          <w:sz w:val="14"/>
          <w:szCs w:val="14"/>
          <w:color w:val="auto"/>
        </w:rPr>
      </w:pPr>
    </w:p>
    <w:p>
      <w:pPr>
        <w:ind w:left="340" w:right="60"/>
        <w:spacing w:after="0" w:line="284" w:lineRule="auto"/>
        <w:rPr>
          <w:rFonts w:ascii="Arial" w:cs="Arial" w:eastAsia="Arial" w:hAnsi="Arial"/>
          <w:sz w:val="14"/>
          <w:szCs w:val="14"/>
          <w:color w:val="auto"/>
        </w:rPr>
      </w:pPr>
      <w:r>
        <w:rPr>
          <w:rFonts w:ascii="Arial" w:cs="Arial" w:eastAsia="Arial" w:hAnsi="Arial"/>
          <w:sz w:val="14"/>
          <w:szCs w:val="14"/>
          <w:color w:val="auto"/>
        </w:rPr>
        <w:t>$34.49, plus any exercisable options exercised at the Company's closing stock price at September 30, 2025 of $34.49. Ms. Oliver did not receive any payments or benefits in connection with her departure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1229360</wp:posOffset>
            </wp:positionV>
            <wp:extent cx="986155" cy="205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Pursuant to Item 402(u) of Regulation S-K, we are required to calculate and disclose the median of the annual total compensation of all of our employees (excluding our CEO, Dr. Anzalone), the annual total compensation of Dr. Anzalone, and the ratio of these two amounts.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fact that we had a significant number of new hires during fiscal 2025, we did not elect to use the same median employee as the prior year. Our median employee was identified using the entire population of our employees as of September 30, 2025 based on a consistently applied compensation measure, or CACM, that reasonably reflects the annual compensation of our employees. The CACM selected by us for our disclosure included annual base salary, the cash bonus amount for fiscal 2025, the grant-date fair value for stock-based awards (calculated in accordance with requirements for the Summary Compensation Table), and welfare and health benefits for fiscal 2025.</w:t>
      </w:r>
    </w:p>
    <w:p>
      <w:pPr>
        <w:spacing w:after="0" w:line="18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fiscal 2025 compensation for this selected employee in the same manner we determine the annual total compensation of our NEOs for purposes of the Summary Compensation Table. The median of the annual total compensation of all our employees was $163,062. Dr. Anzalone’s fiscal 2025 annual total compensation as disclosed in the Fiscal 2025 Summary Compensation Table was $9,029,861. As a result, our CEO to median employee pay ratio for fiscal 2025 is 55:1.</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This information has been prepared in accordance with Item 402(v) and does not necessarily reflect the actual amount of compensation earned by or paid to our named executive officers ("NEOs") for the applicable year. Please refer to the Compensation Discussion and Analysis section of this proxy statement for a discussion of our executive compensation program objectives and the ways in which we align executive compensation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652145</wp:posOffset>
            </wp:positionV>
            <wp:extent cx="98615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shd w:val="clear" w:color="auto" w:fill="026DCE"/>
          </w:tcPr>
          <w:p>
            <w:pPr>
              <w:spacing w:after="0"/>
              <w:rPr>
                <w:sz w:val="14"/>
                <w:szCs w:val="14"/>
                <w:color w:val="auto"/>
              </w:rPr>
            </w:pPr>
          </w:p>
        </w:tc>
        <w:tc>
          <w:tcPr>
            <w:tcW w:w="1340" w:type="dxa"/>
            <w:vAlign w:val="bottom"/>
            <w:shd w:val="clear" w:color="auto" w:fill="0071CE"/>
          </w:tcPr>
          <w:p>
            <w:pPr>
              <w:spacing w:after="0"/>
              <w:rPr>
                <w:sz w:val="14"/>
                <w:szCs w:val="14"/>
                <w:color w:val="auto"/>
              </w:rPr>
            </w:pPr>
          </w:p>
        </w:tc>
        <w:tc>
          <w:tcPr>
            <w:tcW w:w="1300" w:type="dxa"/>
            <w:vAlign w:val="bottom"/>
            <w:shd w:val="clear" w:color="auto" w:fill="0071CE"/>
          </w:tcPr>
          <w:p>
            <w:pPr>
              <w:spacing w:after="0"/>
              <w:rPr>
                <w:sz w:val="14"/>
                <w:szCs w:val="14"/>
                <w:color w:val="auto"/>
              </w:rPr>
            </w:pPr>
          </w:p>
        </w:tc>
        <w:tc>
          <w:tcPr>
            <w:tcW w:w="1420" w:type="dxa"/>
            <w:vAlign w:val="bottom"/>
            <w:shd w:val="clear" w:color="auto" w:fill="0071CE"/>
          </w:tcPr>
          <w:p>
            <w:pPr>
              <w:spacing w:after="0"/>
              <w:rPr>
                <w:sz w:val="14"/>
                <w:szCs w:val="14"/>
                <w:color w:val="auto"/>
              </w:rPr>
            </w:pPr>
          </w:p>
        </w:tc>
        <w:tc>
          <w:tcPr>
            <w:tcW w:w="1320" w:type="dxa"/>
            <w:vAlign w:val="bottom"/>
            <w:shd w:val="clear" w:color="auto" w:fill="0071CE"/>
          </w:tcPr>
          <w:p>
            <w:pPr>
              <w:spacing w:after="0"/>
              <w:rPr>
                <w:sz w:val="14"/>
                <w:szCs w:val="14"/>
                <w:color w:val="auto"/>
              </w:rPr>
            </w:pPr>
          </w:p>
        </w:tc>
        <w:tc>
          <w:tcPr>
            <w:tcW w:w="2660" w:type="dxa"/>
            <w:vAlign w:val="bottom"/>
            <w:gridSpan w:val="2"/>
            <w:shd w:val="clear" w:color="auto" w:fill="0071CE"/>
          </w:tcPr>
          <w:p>
            <w:pPr>
              <w:ind w:left="20"/>
              <w:spacing w:after="0"/>
              <w:rPr>
                <w:sz w:val="20"/>
                <w:szCs w:val="20"/>
                <w:color w:val="auto"/>
              </w:rPr>
            </w:pPr>
            <w:r>
              <w:rPr>
                <w:rFonts w:ascii="Arial" w:cs="Arial" w:eastAsia="Arial" w:hAnsi="Arial"/>
                <w:sz w:val="14"/>
                <w:szCs w:val="14"/>
                <w:b w:val="1"/>
                <w:bCs w:val="1"/>
                <w:color w:val="FFFFFF"/>
              </w:rPr>
              <w:t>Value of Initial Fixed $100 Investment</w:t>
            </w:r>
          </w:p>
        </w:tc>
        <w:tc>
          <w:tcPr>
            <w:tcW w:w="2260" w:type="dxa"/>
            <w:vAlign w:val="bottom"/>
            <w:gridSpan w:val="2"/>
            <w:vMerge w:val="restart"/>
            <w:shd w:val="clear" w:color="auto" w:fill="0071CE"/>
          </w:tcPr>
          <w:p>
            <w:pPr>
              <w:ind w:left="740"/>
              <w:spacing w:after="0"/>
              <w:rPr>
                <w:sz w:val="20"/>
                <w:szCs w:val="20"/>
                <w:color w:val="auto"/>
              </w:rPr>
            </w:pPr>
            <w:r>
              <w:rPr>
                <w:rFonts w:ascii="Arial" w:cs="Arial" w:eastAsia="Arial" w:hAnsi="Arial"/>
                <w:sz w:val="14"/>
                <w:szCs w:val="14"/>
                <w:b w:val="1"/>
                <w:bCs w:val="1"/>
                <w:color w:val="FFFFFF"/>
              </w:rPr>
              <w:t>(in thousands)</w:t>
            </w:r>
          </w:p>
        </w:tc>
        <w:tc>
          <w:tcPr>
            <w:tcW w:w="28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shd w:val="clear" w:color="auto" w:fill="026DCE"/>
          </w:tcPr>
          <w:p>
            <w:pPr>
              <w:spacing w:after="0"/>
              <w:rPr>
                <w:sz w:val="10"/>
                <w:szCs w:val="10"/>
                <w:color w:val="auto"/>
              </w:rPr>
            </w:pPr>
          </w:p>
        </w:tc>
        <w:tc>
          <w:tcPr>
            <w:tcW w:w="1340" w:type="dxa"/>
            <w:vAlign w:val="bottom"/>
            <w:shd w:val="clear" w:color="auto" w:fill="0071CE"/>
          </w:tcPr>
          <w:p>
            <w:pPr>
              <w:spacing w:after="0"/>
              <w:rPr>
                <w:sz w:val="10"/>
                <w:szCs w:val="10"/>
                <w:color w:val="auto"/>
              </w:rPr>
            </w:pPr>
          </w:p>
        </w:tc>
        <w:tc>
          <w:tcPr>
            <w:tcW w:w="1300" w:type="dxa"/>
            <w:vAlign w:val="bottom"/>
            <w:shd w:val="clear" w:color="auto" w:fill="0071CE"/>
          </w:tcPr>
          <w:p>
            <w:pPr>
              <w:spacing w:after="0"/>
              <w:rPr>
                <w:sz w:val="10"/>
                <w:szCs w:val="10"/>
                <w:color w:val="auto"/>
              </w:rPr>
            </w:pPr>
          </w:p>
        </w:tc>
        <w:tc>
          <w:tcPr>
            <w:tcW w:w="1420" w:type="dxa"/>
            <w:vAlign w:val="bottom"/>
            <w:shd w:val="clear" w:color="auto" w:fill="0071CE"/>
          </w:tcPr>
          <w:p>
            <w:pPr>
              <w:spacing w:after="0"/>
              <w:rPr>
                <w:sz w:val="10"/>
                <w:szCs w:val="10"/>
                <w:color w:val="auto"/>
              </w:rPr>
            </w:pPr>
          </w:p>
        </w:tc>
        <w:tc>
          <w:tcPr>
            <w:tcW w:w="1320" w:type="dxa"/>
            <w:vAlign w:val="bottom"/>
            <w:shd w:val="clear" w:color="auto" w:fill="0071CE"/>
          </w:tcPr>
          <w:p>
            <w:pPr>
              <w:spacing w:after="0"/>
              <w:rPr>
                <w:sz w:val="10"/>
                <w:szCs w:val="10"/>
                <w:color w:val="auto"/>
              </w:rPr>
            </w:pPr>
          </w:p>
        </w:tc>
        <w:tc>
          <w:tcPr>
            <w:tcW w:w="2660" w:type="dxa"/>
            <w:vAlign w:val="bottom"/>
            <w:gridSpan w:val="2"/>
            <w:vMerge w:val="restart"/>
            <w:shd w:val="clear" w:color="auto" w:fill="0071CE"/>
          </w:tcPr>
          <w:p>
            <w:pPr>
              <w:ind w:left="940"/>
              <w:spacing w:after="0"/>
              <w:rPr>
                <w:sz w:val="20"/>
                <w:szCs w:val="20"/>
                <w:color w:val="auto"/>
              </w:rPr>
            </w:pPr>
            <w:r>
              <w:rPr>
                <w:rFonts w:ascii="Arial" w:cs="Arial" w:eastAsia="Arial" w:hAnsi="Arial"/>
                <w:sz w:val="14"/>
                <w:szCs w:val="14"/>
                <w:b w:val="1"/>
                <w:bCs w:val="1"/>
                <w:color w:val="FFFFFF"/>
              </w:rPr>
              <w:t>Based On:</w:t>
            </w:r>
          </w:p>
        </w:tc>
        <w:tc>
          <w:tcPr>
            <w:tcW w:w="2260" w:type="dxa"/>
            <w:vAlign w:val="bottom"/>
            <w:gridSpan w:val="2"/>
            <w:vMerge w:val="continue"/>
            <w:shd w:val="clear" w:color="auto" w:fill="0071CE"/>
          </w:tcPr>
          <w:p>
            <w:pPr>
              <w:spacing w:after="0"/>
              <w:rPr>
                <w:sz w:val="10"/>
                <w:szCs w:val="10"/>
                <w:color w:val="auto"/>
              </w:rPr>
            </w:pPr>
          </w:p>
        </w:tc>
        <w:tc>
          <w:tcPr>
            <w:tcW w:w="280" w:type="dxa"/>
            <w:vAlign w:val="bottom"/>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shd w:val="clear" w:color="auto" w:fill="026D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300" w:type="dxa"/>
            <w:vAlign w:val="bottom"/>
            <w:shd w:val="clear" w:color="auto" w:fill="0071CE"/>
          </w:tcPr>
          <w:p>
            <w:pPr>
              <w:spacing w:after="0"/>
              <w:rPr>
                <w:sz w:val="6"/>
                <w:szCs w:val="6"/>
                <w:color w:val="auto"/>
              </w:rPr>
            </w:pPr>
          </w:p>
        </w:tc>
        <w:tc>
          <w:tcPr>
            <w:tcW w:w="1420" w:type="dxa"/>
            <w:vAlign w:val="bottom"/>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2660" w:type="dxa"/>
            <w:vAlign w:val="bottom"/>
            <w:gridSpan w:val="2"/>
            <w:vMerge w:val="continue"/>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60" w:type="dxa"/>
            <w:vAlign w:val="bottom"/>
            <w:shd w:val="clear" w:color="auto" w:fill="0071CE"/>
          </w:tcPr>
          <w:p>
            <w:pPr>
              <w:spacing w:after="0"/>
              <w:rPr>
                <w:sz w:val="12"/>
                <w:szCs w:val="12"/>
                <w:color w:val="auto"/>
              </w:rPr>
            </w:pP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Summary</w:t>
            </w:r>
          </w:p>
        </w:tc>
        <w:tc>
          <w:tcPr>
            <w:tcW w:w="1300" w:type="dxa"/>
            <w:vAlign w:val="bottom"/>
            <w:shd w:val="clear" w:color="auto" w:fill="0071CE"/>
          </w:tcPr>
          <w:p>
            <w:pPr>
              <w:spacing w:after="0"/>
              <w:rPr>
                <w:sz w:val="12"/>
                <w:szCs w:val="12"/>
                <w:color w:val="auto"/>
              </w:rPr>
            </w:pPr>
          </w:p>
        </w:tc>
        <w:tc>
          <w:tcPr>
            <w:tcW w:w="14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Average Summary</w:t>
            </w:r>
          </w:p>
        </w:tc>
        <w:tc>
          <w:tcPr>
            <w:tcW w:w="13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Average</w:t>
            </w:r>
          </w:p>
        </w:tc>
        <w:tc>
          <w:tcPr>
            <w:tcW w:w="132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140" w:type="dxa"/>
            <w:vAlign w:val="bottom"/>
            <w:shd w:val="clear" w:color="auto" w:fill="0071CE"/>
          </w:tcPr>
          <w:p>
            <w:pPr>
              <w:spacing w:after="0"/>
              <w:rPr>
                <w:sz w:val="12"/>
                <w:szCs w:val="12"/>
                <w:color w:val="auto"/>
              </w:rPr>
            </w:pPr>
          </w:p>
        </w:tc>
        <w:tc>
          <w:tcPr>
            <w:tcW w:w="2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60" w:type="dxa"/>
            <w:vAlign w:val="bottom"/>
            <w:shd w:val="clear" w:color="auto" w:fill="0071CE"/>
          </w:tcPr>
          <w:p>
            <w:pPr>
              <w:spacing w:after="0"/>
              <w:rPr>
                <w:sz w:val="5"/>
                <w:szCs w:val="5"/>
                <w:color w:val="auto"/>
              </w:rPr>
            </w:pPr>
          </w:p>
        </w:tc>
        <w:tc>
          <w:tcPr>
            <w:tcW w:w="1340" w:type="dxa"/>
            <w:vAlign w:val="bottom"/>
            <w:vMerge w:val="continue"/>
            <w:shd w:val="clear" w:color="auto" w:fill="0071CE"/>
          </w:tcPr>
          <w:p>
            <w:pPr>
              <w:spacing w:after="0"/>
              <w:rPr>
                <w:sz w:val="5"/>
                <w:szCs w:val="5"/>
                <w:color w:val="auto"/>
              </w:rPr>
            </w:pPr>
          </w:p>
        </w:tc>
        <w:tc>
          <w:tcPr>
            <w:tcW w:w="13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4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vMerge w:val="restart"/>
            <w:shd w:val="clear" w:color="auto" w:fill="0071CE"/>
          </w:tcPr>
          <w:p>
            <w:pPr>
              <w:ind w:left="40"/>
              <w:spacing w:after="0"/>
              <w:rPr>
                <w:sz w:val="20"/>
                <w:szCs w:val="20"/>
                <w:color w:val="auto"/>
              </w:rPr>
            </w:pPr>
            <w:r>
              <w:rPr>
                <w:rFonts w:ascii="Arial" w:cs="Arial" w:eastAsia="Arial" w:hAnsi="Arial"/>
                <w:sz w:val="14"/>
                <w:szCs w:val="14"/>
                <w:b w:val="1"/>
                <w:bCs w:val="1"/>
                <w:color w:val="FFFFFF"/>
              </w:rPr>
              <w:t>Total Shareholder</w:t>
            </w: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Peer Group Total</w:t>
            </w:r>
          </w:p>
        </w:tc>
        <w:tc>
          <w:tcPr>
            <w:tcW w:w="1120" w:type="dxa"/>
            <w:vAlign w:val="bottom"/>
            <w:shd w:val="clear" w:color="auto" w:fill="0071CE"/>
          </w:tcPr>
          <w:p>
            <w:pPr>
              <w:spacing w:after="0"/>
              <w:rPr>
                <w:sz w:val="5"/>
                <w:szCs w:val="5"/>
                <w:color w:val="auto"/>
              </w:rPr>
            </w:pPr>
          </w:p>
        </w:tc>
        <w:tc>
          <w:tcPr>
            <w:tcW w:w="1140" w:type="dxa"/>
            <w:vAlign w:val="bottom"/>
            <w:vMerge w:val="restart"/>
            <w:shd w:val="clear" w:color="auto" w:fill="0071CE"/>
          </w:tcPr>
          <w:p>
            <w:pPr>
              <w:jc w:val="center"/>
              <w:ind w:left="322"/>
              <w:spacing w:after="0"/>
              <w:rPr>
                <w:sz w:val="20"/>
                <w:szCs w:val="20"/>
                <w:color w:val="auto"/>
              </w:rPr>
            </w:pPr>
            <w:r>
              <w:rPr>
                <w:rFonts w:ascii="Arial" w:cs="Arial" w:eastAsia="Arial" w:hAnsi="Arial"/>
                <w:sz w:val="14"/>
                <w:szCs w:val="14"/>
                <w:b w:val="1"/>
                <w:bCs w:val="1"/>
                <w:color w:val="FFFFFF"/>
              </w:rPr>
              <w:t>Company</w:t>
            </w:r>
          </w:p>
        </w:tc>
        <w:tc>
          <w:tcPr>
            <w:tcW w:w="28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60" w:type="dxa"/>
            <w:vAlign w:val="bottom"/>
            <w:vMerge w:val="restart"/>
            <w:shd w:val="clear" w:color="auto" w:fill="0071CE"/>
          </w:tcPr>
          <w:p>
            <w:pPr>
              <w:jc w:val="right"/>
              <w:spacing w:after="0"/>
              <w:rPr>
                <w:sz w:val="20"/>
                <w:szCs w:val="20"/>
                <w:color w:val="auto"/>
              </w:rPr>
            </w:pPr>
            <w:r>
              <w:rPr>
                <w:rFonts w:ascii="Arial" w:cs="Arial" w:eastAsia="Arial" w:hAnsi="Arial"/>
                <w:sz w:val="14"/>
                <w:szCs w:val="14"/>
                <w:b w:val="1"/>
                <w:bCs w:val="1"/>
                <w:color w:val="FFFFFF"/>
              </w:rPr>
              <w:t>Year (a)</w:t>
            </w:r>
          </w:p>
        </w:tc>
        <w:tc>
          <w:tcPr>
            <w:tcW w:w="13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300" w:type="dxa"/>
            <w:vAlign w:val="bottom"/>
            <w:vMerge w:val="continue"/>
            <w:shd w:val="clear" w:color="auto" w:fill="0071CE"/>
          </w:tcPr>
          <w:p>
            <w:pPr>
              <w:spacing w:after="0"/>
              <w:rPr>
                <w:sz w:val="12"/>
                <w:szCs w:val="12"/>
                <w:color w:val="auto"/>
              </w:rPr>
            </w:pPr>
          </w:p>
        </w:tc>
        <w:tc>
          <w:tcPr>
            <w:tcW w:w="1420" w:type="dxa"/>
            <w:vAlign w:val="bottom"/>
            <w:vMerge w:val="continue"/>
            <w:shd w:val="clear" w:color="auto" w:fill="0071CE"/>
          </w:tcPr>
          <w:p>
            <w:pPr>
              <w:spacing w:after="0"/>
              <w:rPr>
                <w:sz w:val="12"/>
                <w:szCs w:val="12"/>
                <w:color w:val="auto"/>
              </w:rPr>
            </w:pPr>
          </w:p>
        </w:tc>
        <w:tc>
          <w:tcPr>
            <w:tcW w:w="1320" w:type="dxa"/>
            <w:vAlign w:val="bottom"/>
            <w:vMerge w:val="continue"/>
            <w:shd w:val="clear" w:color="auto" w:fill="0071CE"/>
          </w:tcPr>
          <w:p>
            <w:pPr>
              <w:spacing w:after="0"/>
              <w:rPr>
                <w:sz w:val="12"/>
                <w:szCs w:val="12"/>
                <w:color w:val="auto"/>
              </w:rPr>
            </w:pPr>
          </w:p>
        </w:tc>
        <w:tc>
          <w:tcPr>
            <w:tcW w:w="1320" w:type="dxa"/>
            <w:vAlign w:val="bottom"/>
            <w:vMerge w:val="continue"/>
            <w:shd w:val="clear" w:color="auto" w:fill="0071CE"/>
          </w:tcPr>
          <w:p>
            <w:pPr>
              <w:spacing w:after="0"/>
              <w:rPr>
                <w:sz w:val="12"/>
                <w:szCs w:val="12"/>
                <w:color w:val="auto"/>
              </w:rPr>
            </w:pPr>
          </w:p>
        </w:tc>
        <w:tc>
          <w:tcPr>
            <w:tcW w:w="1340" w:type="dxa"/>
            <w:vAlign w:val="bottom"/>
            <w:vMerge w:val="continue"/>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140" w:type="dxa"/>
            <w:vAlign w:val="bottom"/>
            <w:vMerge w:val="continue"/>
            <w:shd w:val="clear" w:color="auto" w:fill="0071CE"/>
          </w:tcPr>
          <w:p>
            <w:pPr>
              <w:spacing w:after="0"/>
              <w:rPr>
                <w:sz w:val="12"/>
                <w:szCs w:val="12"/>
                <w:color w:val="auto"/>
              </w:rPr>
            </w:pPr>
          </w:p>
        </w:tc>
        <w:tc>
          <w:tcPr>
            <w:tcW w:w="2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shd w:val="clear" w:color="auto" w:fill="0071CE"/>
          </w:tcPr>
          <w:p>
            <w:pPr>
              <w:spacing w:after="0"/>
              <w:rPr>
                <w:sz w:val="5"/>
                <w:szCs w:val="5"/>
                <w:color w:val="auto"/>
              </w:rPr>
            </w:pPr>
          </w:p>
        </w:tc>
        <w:tc>
          <w:tcPr>
            <w:tcW w:w="134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w w:val="99"/>
              </w:rPr>
              <w:t>Table Total for</w:t>
            </w:r>
          </w:p>
        </w:tc>
        <w:tc>
          <w:tcPr>
            <w:tcW w:w="130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Actually Paid to</w:t>
            </w:r>
          </w:p>
        </w:tc>
        <w:tc>
          <w:tcPr>
            <w:tcW w:w="142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Table Total for</w:t>
            </w:r>
          </w:p>
        </w:tc>
        <w:tc>
          <w:tcPr>
            <w:tcW w:w="132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Actually Paid to</w:t>
            </w:r>
          </w:p>
        </w:tc>
        <w:tc>
          <w:tcPr>
            <w:tcW w:w="1320" w:type="dxa"/>
            <w:vAlign w:val="bottom"/>
            <w:vMerge w:val="restart"/>
            <w:shd w:val="clear" w:color="auto" w:fill="0071CE"/>
          </w:tcPr>
          <w:p>
            <w:pPr>
              <w:ind w:left="240"/>
              <w:spacing w:after="0" w:line="139" w:lineRule="exact"/>
              <w:rPr>
                <w:sz w:val="20"/>
                <w:szCs w:val="20"/>
                <w:color w:val="auto"/>
              </w:rPr>
            </w:pPr>
            <w:r>
              <w:rPr>
                <w:rFonts w:ascii="Arial" w:cs="Arial" w:eastAsia="Arial" w:hAnsi="Arial"/>
                <w:sz w:val="14"/>
                <w:szCs w:val="14"/>
                <w:b w:val="1"/>
                <w:bCs w:val="1"/>
                <w:color w:val="FFFFFF"/>
              </w:rPr>
              <w:t>Return (3)(f)</w:t>
            </w:r>
          </w:p>
        </w:tc>
        <w:tc>
          <w:tcPr>
            <w:tcW w:w="134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Shareholder</w:t>
            </w:r>
          </w:p>
        </w:tc>
        <w:tc>
          <w:tcPr>
            <w:tcW w:w="2540" w:type="dxa"/>
            <w:vAlign w:val="bottom"/>
            <w:gridSpan w:val="3"/>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Net Loss (4) (h)  Selected Measure</w:t>
            </w:r>
          </w:p>
        </w:tc>
        <w:tc>
          <w:tcPr>
            <w:tcW w:w="0" w:type="dxa"/>
            <w:vAlign w:val="bottom"/>
          </w:tcPr>
          <w:p>
            <w:pPr>
              <w:spacing w:after="0"/>
              <w:rPr>
                <w:sz w:val="1"/>
                <w:szCs w:val="1"/>
                <w:color w:val="auto"/>
              </w:rPr>
            </w:pPr>
          </w:p>
        </w:tc>
      </w:tr>
      <w:tr>
        <w:trPr>
          <w:trHeight w:val="72"/>
        </w:trPr>
        <w:tc>
          <w:tcPr>
            <w:tcW w:w="660" w:type="dxa"/>
            <w:vAlign w:val="bottom"/>
            <w:shd w:val="clear" w:color="auto" w:fill="0071CE"/>
          </w:tcPr>
          <w:p>
            <w:pPr>
              <w:spacing w:after="0"/>
              <w:rPr>
                <w:sz w:val="6"/>
                <w:szCs w:val="6"/>
                <w:color w:val="auto"/>
              </w:rPr>
            </w:pPr>
          </w:p>
        </w:tc>
        <w:tc>
          <w:tcPr>
            <w:tcW w:w="1340" w:type="dxa"/>
            <w:vAlign w:val="bottom"/>
            <w:vMerge w:val="continue"/>
            <w:shd w:val="clear" w:color="auto" w:fill="0071CE"/>
          </w:tcPr>
          <w:p>
            <w:pPr>
              <w:spacing w:after="0"/>
              <w:rPr>
                <w:sz w:val="6"/>
                <w:szCs w:val="6"/>
                <w:color w:val="auto"/>
              </w:rPr>
            </w:pPr>
          </w:p>
        </w:tc>
        <w:tc>
          <w:tcPr>
            <w:tcW w:w="130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PEO (2)(c)</w:t>
            </w:r>
          </w:p>
        </w:tc>
        <w:tc>
          <w:tcPr>
            <w:tcW w:w="2740" w:type="dxa"/>
            <w:vAlign w:val="bottom"/>
            <w:gridSpan w:val="2"/>
            <w:vMerge w:val="restart"/>
            <w:shd w:val="clear" w:color="auto" w:fill="0071CE"/>
          </w:tcPr>
          <w:p>
            <w:pPr>
              <w:ind w:left="80"/>
              <w:spacing w:after="0" w:line="149" w:lineRule="exact"/>
              <w:rPr>
                <w:sz w:val="20"/>
                <w:szCs w:val="20"/>
                <w:color w:val="auto"/>
              </w:rPr>
            </w:pPr>
            <w:r>
              <w:rPr>
                <w:rFonts w:ascii="Arial" w:cs="Arial" w:eastAsia="Arial" w:hAnsi="Arial"/>
                <w:sz w:val="14"/>
                <w:szCs w:val="14"/>
                <w:b w:val="1"/>
                <w:bCs w:val="1"/>
                <w:color w:val="FFFFFF"/>
              </w:rPr>
              <w:t>Non-PEO NEOs (1) Non-PEO NEOs (2)</w:t>
            </w:r>
          </w:p>
        </w:tc>
        <w:tc>
          <w:tcPr>
            <w:tcW w:w="1320" w:type="dxa"/>
            <w:vAlign w:val="bottom"/>
            <w:vMerge w:val="continue"/>
            <w:shd w:val="clear" w:color="auto" w:fill="0071CE"/>
          </w:tcPr>
          <w:p>
            <w:pPr>
              <w:spacing w:after="0"/>
              <w:rPr>
                <w:sz w:val="6"/>
                <w:szCs w:val="6"/>
                <w:color w:val="auto"/>
              </w:rPr>
            </w:pPr>
          </w:p>
        </w:tc>
        <w:tc>
          <w:tcPr>
            <w:tcW w:w="134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Return (g)</w:t>
            </w:r>
          </w:p>
        </w:tc>
        <w:tc>
          <w:tcPr>
            <w:tcW w:w="1120" w:type="dxa"/>
            <w:vAlign w:val="bottom"/>
            <w:shd w:val="clear" w:color="auto" w:fill="0071CE"/>
          </w:tcPr>
          <w:p>
            <w:pPr>
              <w:spacing w:after="0"/>
              <w:rPr>
                <w:sz w:val="6"/>
                <w:szCs w:val="6"/>
                <w:color w:val="auto"/>
              </w:rPr>
            </w:pPr>
          </w:p>
        </w:tc>
        <w:tc>
          <w:tcPr>
            <w:tcW w:w="1140" w:type="dxa"/>
            <w:vAlign w:val="bottom"/>
            <w:vMerge w:val="restart"/>
            <w:shd w:val="clear" w:color="auto" w:fill="0071CE"/>
          </w:tcPr>
          <w:p>
            <w:pPr>
              <w:jc w:val="center"/>
              <w:ind w:left="322"/>
              <w:spacing w:after="0" w:line="149" w:lineRule="exact"/>
              <w:rPr>
                <w:sz w:val="20"/>
                <w:szCs w:val="20"/>
                <w:color w:val="auto"/>
              </w:rPr>
            </w:pPr>
            <w:r>
              <w:rPr>
                <w:rFonts w:ascii="Arial" w:cs="Arial" w:eastAsia="Arial" w:hAnsi="Arial"/>
                <w:sz w:val="14"/>
                <w:szCs w:val="14"/>
                <w:b w:val="1"/>
                <w:bCs w:val="1"/>
                <w:color w:val="FFFFFF"/>
                <w:w w:val="98"/>
              </w:rPr>
              <w:t>(5)(i)</w:t>
            </w: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660" w:type="dxa"/>
            <w:vAlign w:val="bottom"/>
            <w:shd w:val="clear" w:color="auto" w:fill="0071CE"/>
          </w:tcPr>
          <w:p>
            <w:pPr>
              <w:spacing w:after="0"/>
              <w:rPr>
                <w:sz w:val="6"/>
                <w:szCs w:val="6"/>
                <w:color w:val="auto"/>
              </w:rPr>
            </w:pP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PEO (1)(b)</w:t>
            </w:r>
          </w:p>
        </w:tc>
        <w:tc>
          <w:tcPr>
            <w:tcW w:w="1300" w:type="dxa"/>
            <w:vAlign w:val="bottom"/>
            <w:vMerge w:val="continue"/>
            <w:shd w:val="clear" w:color="auto" w:fill="0071CE"/>
          </w:tcPr>
          <w:p>
            <w:pPr>
              <w:spacing w:after="0"/>
              <w:rPr>
                <w:sz w:val="6"/>
                <w:szCs w:val="6"/>
                <w:color w:val="auto"/>
              </w:rPr>
            </w:pPr>
          </w:p>
        </w:tc>
        <w:tc>
          <w:tcPr>
            <w:tcW w:w="2740" w:type="dxa"/>
            <w:vAlign w:val="bottom"/>
            <w:gridSpan w:val="2"/>
            <w:vMerge w:val="continue"/>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1340" w:type="dxa"/>
            <w:vAlign w:val="bottom"/>
            <w:vMerge w:val="continue"/>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vMerge w:val="continue"/>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660" w:type="dxa"/>
            <w:vAlign w:val="bottom"/>
            <w:shd w:val="clear" w:color="auto" w:fill="0071CE"/>
          </w:tcPr>
          <w:p>
            <w:pPr>
              <w:spacing w:after="0"/>
              <w:rPr>
                <w:sz w:val="10"/>
                <w:szCs w:val="10"/>
                <w:color w:val="auto"/>
              </w:rPr>
            </w:pPr>
          </w:p>
        </w:tc>
        <w:tc>
          <w:tcPr>
            <w:tcW w:w="1340" w:type="dxa"/>
            <w:vAlign w:val="bottom"/>
            <w:vMerge w:val="continue"/>
            <w:shd w:val="clear" w:color="auto" w:fill="0071CE"/>
          </w:tcPr>
          <w:p>
            <w:pPr>
              <w:spacing w:after="0"/>
              <w:rPr>
                <w:sz w:val="10"/>
                <w:szCs w:val="10"/>
                <w:color w:val="auto"/>
              </w:rPr>
            </w:pPr>
          </w:p>
        </w:tc>
        <w:tc>
          <w:tcPr>
            <w:tcW w:w="1300" w:type="dxa"/>
            <w:vAlign w:val="bottom"/>
            <w:shd w:val="clear" w:color="auto" w:fill="0071CE"/>
          </w:tcPr>
          <w:p>
            <w:pPr>
              <w:spacing w:after="0"/>
              <w:rPr>
                <w:sz w:val="10"/>
                <w:szCs w:val="10"/>
                <w:color w:val="auto"/>
              </w:rPr>
            </w:pPr>
          </w:p>
        </w:tc>
        <w:tc>
          <w:tcPr>
            <w:tcW w:w="14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(d)</w:t>
            </w:r>
          </w:p>
        </w:tc>
        <w:tc>
          <w:tcPr>
            <w:tcW w:w="13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w:t>
            </w:r>
          </w:p>
        </w:tc>
        <w:tc>
          <w:tcPr>
            <w:tcW w:w="1320" w:type="dxa"/>
            <w:vAlign w:val="bottom"/>
            <w:shd w:val="clear" w:color="auto" w:fill="0071CE"/>
          </w:tcPr>
          <w:p>
            <w:pPr>
              <w:spacing w:after="0"/>
              <w:rPr>
                <w:sz w:val="10"/>
                <w:szCs w:val="10"/>
                <w:color w:val="auto"/>
              </w:rPr>
            </w:pPr>
          </w:p>
        </w:tc>
        <w:tc>
          <w:tcPr>
            <w:tcW w:w="1340" w:type="dxa"/>
            <w:vAlign w:val="bottom"/>
            <w:shd w:val="clear" w:color="auto" w:fill="0071CE"/>
          </w:tcPr>
          <w:p>
            <w:pPr>
              <w:spacing w:after="0"/>
              <w:rPr>
                <w:sz w:val="10"/>
                <w:szCs w:val="10"/>
                <w:color w:val="auto"/>
              </w:rPr>
            </w:pPr>
          </w:p>
        </w:tc>
        <w:tc>
          <w:tcPr>
            <w:tcW w:w="1120" w:type="dxa"/>
            <w:vAlign w:val="bottom"/>
            <w:shd w:val="clear" w:color="auto" w:fill="0071CE"/>
          </w:tcPr>
          <w:p>
            <w:pPr>
              <w:spacing w:after="0"/>
              <w:rPr>
                <w:sz w:val="10"/>
                <w:szCs w:val="10"/>
                <w:color w:val="auto"/>
              </w:rPr>
            </w:pPr>
          </w:p>
        </w:tc>
        <w:tc>
          <w:tcPr>
            <w:tcW w:w="1140" w:type="dxa"/>
            <w:vAlign w:val="bottom"/>
            <w:shd w:val="clear" w:color="auto" w:fill="0071CE"/>
          </w:tcPr>
          <w:p>
            <w:pPr>
              <w:spacing w:after="0"/>
              <w:rPr>
                <w:sz w:val="10"/>
                <w:szCs w:val="10"/>
                <w:color w:val="auto"/>
              </w:rPr>
            </w:pPr>
          </w:p>
        </w:tc>
        <w:tc>
          <w:tcPr>
            <w:tcW w:w="280" w:type="dxa"/>
            <w:vAlign w:val="bottom"/>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shd w:val="clear" w:color="auto" w:fill="0071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300" w:type="dxa"/>
            <w:vAlign w:val="bottom"/>
            <w:shd w:val="clear" w:color="auto" w:fill="0071CE"/>
          </w:tcPr>
          <w:p>
            <w:pPr>
              <w:spacing w:after="0"/>
              <w:rPr>
                <w:sz w:val="6"/>
                <w:szCs w:val="6"/>
                <w:color w:val="auto"/>
              </w:rPr>
            </w:pPr>
          </w:p>
        </w:tc>
        <w:tc>
          <w:tcPr>
            <w:tcW w:w="1420" w:type="dxa"/>
            <w:vAlign w:val="bottom"/>
            <w:vMerge w:val="continue"/>
            <w:shd w:val="clear" w:color="auto" w:fill="0071CE"/>
          </w:tcPr>
          <w:p>
            <w:pPr>
              <w:spacing w:after="0"/>
              <w:rPr>
                <w:sz w:val="6"/>
                <w:szCs w:val="6"/>
                <w:color w:val="auto"/>
              </w:rPr>
            </w:pPr>
          </w:p>
        </w:tc>
        <w:tc>
          <w:tcPr>
            <w:tcW w:w="1320" w:type="dxa"/>
            <w:vAlign w:val="bottom"/>
            <w:vMerge w:val="continue"/>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2025</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$9,029,861</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$42,599,705</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$2,090,935</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$4,674,785</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$80</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$146</w:t>
            </w:r>
          </w:p>
        </w:tc>
        <w:tc>
          <w:tcPr>
            <w:tcW w:w="1120" w:type="dxa"/>
            <w:vAlign w:val="bottom"/>
            <w:shd w:val="clear" w:color="auto" w:fill="E5E5E5"/>
          </w:tcPr>
          <w:p>
            <w:pPr>
              <w:jc w:val="center"/>
              <w:ind w:left="7"/>
              <w:spacing w:after="0"/>
              <w:rPr>
                <w:sz w:val="20"/>
                <w:szCs w:val="20"/>
                <w:color w:val="auto"/>
              </w:rPr>
            </w:pPr>
            <w:r>
              <w:rPr>
                <w:rFonts w:ascii="Arial" w:cs="Arial" w:eastAsia="Arial" w:hAnsi="Arial"/>
                <w:sz w:val="16"/>
                <w:szCs w:val="16"/>
                <w:color w:val="auto"/>
              </w:rPr>
              <w:t>($1,631)</w:t>
            </w:r>
          </w:p>
        </w:tc>
        <w:tc>
          <w:tcPr>
            <w:tcW w:w="1140" w:type="dxa"/>
            <w:vAlign w:val="bottom"/>
            <w:shd w:val="clear" w:color="auto" w:fill="E5E5E5"/>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0" w:type="dxa"/>
            <w:vAlign w:val="bottom"/>
          </w:tcPr>
          <w:p>
            <w:pPr>
              <w:jc w:val="right"/>
              <w:ind w:right="201"/>
              <w:spacing w:after="0"/>
              <w:rPr>
                <w:sz w:val="20"/>
                <w:szCs w:val="20"/>
                <w:color w:val="auto"/>
              </w:rPr>
            </w:pPr>
            <w:r>
              <w:rPr>
                <w:rFonts w:ascii="Arial" w:cs="Arial" w:eastAsia="Arial" w:hAnsi="Arial"/>
                <w:sz w:val="16"/>
                <w:szCs w:val="16"/>
                <w:color w:val="auto"/>
              </w:rPr>
              <w:t>2024</w:t>
            </w:r>
          </w:p>
        </w:tc>
        <w:tc>
          <w:tcPr>
            <w:tcW w:w="1340" w:type="dxa"/>
            <w:vAlign w:val="bottom"/>
          </w:tcPr>
          <w:p>
            <w:pPr>
              <w:jc w:val="center"/>
              <w:spacing w:after="0"/>
              <w:rPr>
                <w:sz w:val="20"/>
                <w:szCs w:val="20"/>
                <w:color w:val="auto"/>
              </w:rPr>
            </w:pPr>
            <w:r>
              <w:rPr>
                <w:rFonts w:ascii="Arial" w:cs="Arial" w:eastAsia="Arial" w:hAnsi="Arial"/>
                <w:sz w:val="16"/>
                <w:szCs w:val="16"/>
                <w:color w:val="auto"/>
              </w:rPr>
              <w:t>$12,424,418</w:t>
            </w:r>
          </w:p>
        </w:tc>
        <w:tc>
          <w:tcPr>
            <w:tcW w:w="1300" w:type="dxa"/>
            <w:vAlign w:val="bottom"/>
          </w:tcPr>
          <w:p>
            <w:pPr>
              <w:jc w:val="center"/>
              <w:spacing w:after="0"/>
              <w:rPr>
                <w:sz w:val="20"/>
                <w:szCs w:val="20"/>
                <w:color w:val="auto"/>
              </w:rPr>
            </w:pPr>
            <w:r>
              <w:rPr>
                <w:rFonts w:ascii="Arial" w:cs="Arial" w:eastAsia="Arial" w:hAnsi="Arial"/>
                <w:sz w:val="16"/>
                <w:szCs w:val="16"/>
                <w:color w:val="auto"/>
              </w:rPr>
              <w:t>($5,357,049)</w:t>
            </w:r>
          </w:p>
        </w:tc>
        <w:tc>
          <w:tcPr>
            <w:tcW w:w="1420" w:type="dxa"/>
            <w:vAlign w:val="bottom"/>
          </w:tcPr>
          <w:p>
            <w:pPr>
              <w:jc w:val="center"/>
              <w:spacing w:after="0"/>
              <w:rPr>
                <w:sz w:val="20"/>
                <w:szCs w:val="20"/>
                <w:color w:val="auto"/>
              </w:rPr>
            </w:pPr>
            <w:r>
              <w:rPr>
                <w:rFonts w:ascii="Arial" w:cs="Arial" w:eastAsia="Arial" w:hAnsi="Arial"/>
                <w:sz w:val="16"/>
                <w:szCs w:val="16"/>
                <w:color w:val="auto"/>
              </w:rPr>
              <w:t>$3,499,747</w:t>
            </w:r>
          </w:p>
        </w:tc>
        <w:tc>
          <w:tcPr>
            <w:tcW w:w="1320" w:type="dxa"/>
            <w:vAlign w:val="bottom"/>
          </w:tcPr>
          <w:p>
            <w:pPr>
              <w:jc w:val="center"/>
              <w:spacing w:after="0"/>
              <w:rPr>
                <w:sz w:val="20"/>
                <w:szCs w:val="20"/>
                <w:color w:val="auto"/>
              </w:rPr>
            </w:pPr>
            <w:r>
              <w:rPr>
                <w:rFonts w:ascii="Arial" w:cs="Arial" w:eastAsia="Arial" w:hAnsi="Arial"/>
                <w:sz w:val="16"/>
                <w:szCs w:val="16"/>
                <w:color w:val="auto"/>
              </w:rPr>
              <w:t>$1,787,414</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$31</w:t>
            </w:r>
          </w:p>
        </w:tc>
        <w:tc>
          <w:tcPr>
            <w:tcW w:w="1340" w:type="dxa"/>
            <w:vAlign w:val="bottom"/>
          </w:tcPr>
          <w:p>
            <w:pPr>
              <w:jc w:val="center"/>
              <w:spacing w:after="0"/>
              <w:rPr>
                <w:sz w:val="20"/>
                <w:szCs w:val="20"/>
                <w:color w:val="auto"/>
              </w:rPr>
            </w:pPr>
            <w:r>
              <w:rPr>
                <w:rFonts w:ascii="Arial" w:cs="Arial" w:eastAsia="Arial" w:hAnsi="Arial"/>
                <w:sz w:val="16"/>
                <w:szCs w:val="16"/>
                <w:color w:val="auto"/>
              </w:rPr>
              <w:t>$94</w:t>
            </w:r>
          </w:p>
        </w:tc>
        <w:tc>
          <w:tcPr>
            <w:tcW w:w="1120" w:type="dxa"/>
            <w:vAlign w:val="bottom"/>
          </w:tcPr>
          <w:p>
            <w:pPr>
              <w:jc w:val="center"/>
              <w:spacing w:after="0"/>
              <w:rPr>
                <w:sz w:val="20"/>
                <w:szCs w:val="20"/>
                <w:color w:val="auto"/>
              </w:rPr>
            </w:pPr>
            <w:r>
              <w:rPr>
                <w:rFonts w:ascii="Arial" w:cs="Arial" w:eastAsia="Arial" w:hAnsi="Arial"/>
                <w:sz w:val="16"/>
                <w:szCs w:val="16"/>
                <w:color w:val="auto"/>
              </w:rPr>
              <w:t>($599,493)</w:t>
            </w:r>
          </w:p>
        </w:tc>
        <w:tc>
          <w:tcPr>
            <w:tcW w:w="1140" w:type="dxa"/>
            <w:vAlign w:val="bottom"/>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2023</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$9,918,093</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($2,171,064)</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$3,151,102</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$1,873,139</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$62</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$49</w:t>
            </w:r>
          </w:p>
        </w:tc>
        <w:tc>
          <w:tcPr>
            <w:tcW w:w="11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($205,275)</w:t>
            </w:r>
          </w:p>
        </w:tc>
        <w:tc>
          <w:tcPr>
            <w:tcW w:w="1140" w:type="dxa"/>
            <w:vAlign w:val="bottom"/>
            <w:shd w:val="clear" w:color="auto" w:fill="E5E5E5"/>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0" w:type="dxa"/>
            <w:vAlign w:val="bottom"/>
          </w:tcPr>
          <w:p>
            <w:pPr>
              <w:jc w:val="right"/>
              <w:ind w:right="201"/>
              <w:spacing w:after="0"/>
              <w:rPr>
                <w:sz w:val="20"/>
                <w:szCs w:val="20"/>
                <w:color w:val="auto"/>
              </w:rPr>
            </w:pPr>
            <w:r>
              <w:rPr>
                <w:rFonts w:ascii="Arial" w:cs="Arial" w:eastAsia="Arial" w:hAnsi="Arial"/>
                <w:sz w:val="16"/>
                <w:szCs w:val="16"/>
                <w:color w:val="auto"/>
              </w:rPr>
              <w:t>2022</w:t>
            </w:r>
          </w:p>
        </w:tc>
        <w:tc>
          <w:tcPr>
            <w:tcW w:w="1340" w:type="dxa"/>
            <w:vAlign w:val="bottom"/>
          </w:tcPr>
          <w:p>
            <w:pPr>
              <w:jc w:val="center"/>
              <w:spacing w:after="0"/>
              <w:rPr>
                <w:sz w:val="20"/>
                <w:szCs w:val="20"/>
                <w:color w:val="auto"/>
              </w:rPr>
            </w:pPr>
            <w:r>
              <w:rPr>
                <w:rFonts w:ascii="Arial" w:cs="Arial" w:eastAsia="Arial" w:hAnsi="Arial"/>
                <w:sz w:val="16"/>
                <w:szCs w:val="16"/>
                <w:color w:val="auto"/>
              </w:rPr>
              <w:t>$12,031,969</w:t>
            </w:r>
          </w:p>
        </w:tc>
        <w:tc>
          <w:tcPr>
            <w:tcW w:w="1300" w:type="dxa"/>
            <w:vAlign w:val="bottom"/>
          </w:tcPr>
          <w:p>
            <w:pPr>
              <w:jc w:val="center"/>
              <w:spacing w:after="0"/>
              <w:rPr>
                <w:sz w:val="20"/>
                <w:szCs w:val="20"/>
                <w:color w:val="auto"/>
              </w:rPr>
            </w:pPr>
            <w:r>
              <w:rPr>
                <w:rFonts w:ascii="Arial" w:cs="Arial" w:eastAsia="Arial" w:hAnsi="Arial"/>
                <w:sz w:val="16"/>
                <w:szCs w:val="16"/>
                <w:color w:val="auto"/>
              </w:rPr>
              <w:t>($40,073,641)</w:t>
            </w:r>
          </w:p>
        </w:tc>
        <w:tc>
          <w:tcPr>
            <w:tcW w:w="1420" w:type="dxa"/>
            <w:vAlign w:val="bottom"/>
          </w:tcPr>
          <w:p>
            <w:pPr>
              <w:jc w:val="center"/>
              <w:spacing w:after="0"/>
              <w:rPr>
                <w:sz w:val="20"/>
                <w:szCs w:val="20"/>
                <w:color w:val="auto"/>
              </w:rPr>
            </w:pPr>
            <w:r>
              <w:rPr>
                <w:rFonts w:ascii="Arial" w:cs="Arial" w:eastAsia="Arial" w:hAnsi="Arial"/>
                <w:sz w:val="16"/>
                <w:szCs w:val="16"/>
                <w:color w:val="auto"/>
              </w:rPr>
              <w:t>$4,133,800</w:t>
            </w:r>
          </w:p>
        </w:tc>
        <w:tc>
          <w:tcPr>
            <w:tcW w:w="1320" w:type="dxa"/>
            <w:vAlign w:val="bottom"/>
          </w:tcPr>
          <w:p>
            <w:pPr>
              <w:jc w:val="center"/>
              <w:spacing w:after="0"/>
              <w:rPr>
                <w:sz w:val="20"/>
                <w:szCs w:val="20"/>
                <w:color w:val="auto"/>
              </w:rPr>
            </w:pPr>
            <w:r>
              <w:rPr>
                <w:rFonts w:ascii="Arial" w:cs="Arial" w:eastAsia="Arial" w:hAnsi="Arial"/>
                <w:sz w:val="16"/>
                <w:szCs w:val="16"/>
                <w:color w:val="auto"/>
              </w:rPr>
              <w:t>($386,119)</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$77</w:t>
            </w:r>
          </w:p>
        </w:tc>
        <w:tc>
          <w:tcPr>
            <w:tcW w:w="1340" w:type="dxa"/>
            <w:vAlign w:val="bottom"/>
          </w:tcPr>
          <w:p>
            <w:pPr>
              <w:jc w:val="center"/>
              <w:spacing w:after="0"/>
              <w:rPr>
                <w:sz w:val="20"/>
                <w:szCs w:val="20"/>
                <w:color w:val="auto"/>
              </w:rPr>
            </w:pPr>
            <w:r>
              <w:rPr>
                <w:rFonts w:ascii="Arial" w:cs="Arial" w:eastAsia="Arial" w:hAnsi="Arial"/>
                <w:sz w:val="16"/>
                <w:szCs w:val="16"/>
                <w:color w:val="auto"/>
              </w:rPr>
              <w:t>$67</w:t>
            </w:r>
          </w:p>
        </w:tc>
        <w:tc>
          <w:tcPr>
            <w:tcW w:w="1120" w:type="dxa"/>
            <w:vAlign w:val="bottom"/>
          </w:tcPr>
          <w:p>
            <w:pPr>
              <w:jc w:val="center"/>
              <w:spacing w:after="0"/>
              <w:rPr>
                <w:sz w:val="20"/>
                <w:szCs w:val="20"/>
                <w:color w:val="auto"/>
              </w:rPr>
            </w:pPr>
            <w:r>
              <w:rPr>
                <w:rFonts w:ascii="Arial" w:cs="Arial" w:eastAsia="Arial" w:hAnsi="Arial"/>
                <w:sz w:val="16"/>
                <w:szCs w:val="16"/>
                <w:color w:val="auto"/>
              </w:rPr>
              <w:t>($176,063)</w:t>
            </w:r>
          </w:p>
        </w:tc>
        <w:tc>
          <w:tcPr>
            <w:tcW w:w="1140" w:type="dxa"/>
            <w:vAlign w:val="bottom"/>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2021</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$24,703,855</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$69,061,855</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$3,324,746</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$6,080,785</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$145</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$116</w:t>
            </w:r>
          </w:p>
        </w:tc>
        <w:tc>
          <w:tcPr>
            <w:tcW w:w="11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($140,848)</w:t>
            </w:r>
          </w:p>
        </w:tc>
        <w:tc>
          <w:tcPr>
            <w:tcW w:w="1140" w:type="dxa"/>
            <w:vAlign w:val="bottom"/>
            <w:shd w:val="clear" w:color="auto" w:fill="E5E5E5"/>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right="100" w:hanging="412"/>
        <w:spacing w:after="0" w:line="244" w:lineRule="auto"/>
        <w:tabs>
          <w:tab w:leader="none" w:pos="40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dollar amounts reported are the amounts reported for Christopher Anzalone (the Company’s Chief Executive Officer or Principal Executive Officer (PEO)) for each of the corresponding years in the “Total” column in our Summary Compensation Table. The dollar amounts reported in column (d) represent the average of the amounts reported for the Company’s named executive officers (NEOs) as a group (excluding Christopher Anzalone) in the “Total” column of the Summary Compensation Table in each applicable year. The names of each of the NEOs included for these purposes in each applicable year are as follows: (i) for fiscal year 2025, Daniel Apel, Kenneth Myszkowski, Patrick O'Brien, James Hamilton and Tracie Oliver, (ii) for fiscal year 2024, Kenneth Myszkowski, Patrick O'Brien, James Hamilton, Javier San Martin and Tracie Oliver, (iii) for fiscal year 2023, Kenneth Myszkowski, Patrick O'Brien, James Hamilton, and Javier San Martin; (iv) for fiscal year 2022, Kenneth Myszkowski, Patrick O'Brien, James Hamilton, and Tracie Oliver; and (v) for fiscal year 2021, Kenneth Myszkowski, Patrick O'Brien, James Hamilton, Javier San Martin, and James Hassard.</w:t>
      </w:r>
    </w:p>
    <w:p>
      <w:pPr>
        <w:spacing w:after="0" w:line="164" w:lineRule="exact"/>
        <w:rPr>
          <w:rFonts w:ascii="Arial" w:cs="Arial" w:eastAsia="Arial" w:hAnsi="Arial"/>
          <w:sz w:val="14"/>
          <w:szCs w:val="14"/>
          <w:color w:val="auto"/>
        </w:rPr>
      </w:pPr>
    </w:p>
    <w:p>
      <w:pPr>
        <w:ind w:left="420" w:right="40" w:hanging="412"/>
        <w:spacing w:after="0" w:line="237" w:lineRule="auto"/>
        <w:tabs>
          <w:tab w:leader="none" w:pos="407"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dollar amounts reported in column (c) represent the amount of “compensation actually paid” to Christopher Anzalone, and the dollar amounts reported in column (e) represent the average amount of “compensation actually paid” to our other NEOs as a group, each as computed in accordance with Item 402(v) of Regulation S-K and do not reflect the total compensation actually realized or received by Christopher Anzalone or the other NEOs on average, as applicable.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1103630</wp:posOffset>
            </wp:positionV>
            <wp:extent cx="986155" cy="20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Compensation Actually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071995" cy="4883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71995" cy="48831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201"/>
        </w:trPr>
        <w:tc>
          <w:tcPr>
            <w:tcW w:w="2640" w:type="dxa"/>
            <w:vAlign w:val="bottom"/>
            <w:gridSpan w:val="2"/>
          </w:tcPr>
          <w:p>
            <w:pPr>
              <w:spacing w:after="0"/>
              <w:rPr>
                <w:sz w:val="20"/>
                <w:szCs w:val="20"/>
                <w:color w:val="auto"/>
              </w:rPr>
            </w:pPr>
            <w:r>
              <w:rPr>
                <w:rFonts w:ascii="Arial" w:cs="Arial" w:eastAsia="Arial" w:hAnsi="Arial"/>
                <w:sz w:val="16"/>
                <w:szCs w:val="16"/>
                <w:b w:val="1"/>
                <w:bCs w:val="1"/>
                <w:color w:val="FFFFFF"/>
              </w:rPr>
              <w:t>Paid</w:t>
            </w:r>
          </w:p>
        </w:tc>
        <w:tc>
          <w:tcPr>
            <w:tcW w:w="1180" w:type="dxa"/>
            <w:vAlign w:val="bottom"/>
          </w:tcPr>
          <w:p>
            <w:pPr>
              <w:jc w:val="right"/>
              <w:ind w:right="722"/>
              <w:spacing w:after="0"/>
              <w:rPr>
                <w:sz w:val="20"/>
                <w:szCs w:val="20"/>
                <w:color w:val="auto"/>
              </w:rPr>
            </w:pPr>
            <w:r>
              <w:rPr>
                <w:rFonts w:ascii="Arial" w:cs="Arial" w:eastAsia="Arial" w:hAnsi="Arial"/>
                <w:sz w:val="14"/>
                <w:szCs w:val="14"/>
                <w:b w:val="1"/>
                <w:bCs w:val="1"/>
                <w:color w:val="FFFFFF"/>
              </w:rPr>
              <w:t>2025</w:t>
            </w:r>
          </w:p>
        </w:tc>
        <w:tc>
          <w:tcPr>
            <w:tcW w:w="640" w:type="dxa"/>
            <w:vAlign w:val="bottom"/>
          </w:tcPr>
          <w:p>
            <w:pPr>
              <w:spacing w:after="0"/>
              <w:rPr>
                <w:sz w:val="17"/>
                <w:szCs w:val="17"/>
                <w:color w:val="auto"/>
              </w:rPr>
            </w:pPr>
          </w:p>
        </w:tc>
        <w:tc>
          <w:tcPr>
            <w:tcW w:w="1160" w:type="dxa"/>
            <w:vAlign w:val="bottom"/>
          </w:tcPr>
          <w:p>
            <w:pPr>
              <w:jc w:val="right"/>
              <w:ind w:right="702"/>
              <w:spacing w:after="0"/>
              <w:rPr>
                <w:sz w:val="20"/>
                <w:szCs w:val="20"/>
                <w:color w:val="auto"/>
              </w:rPr>
            </w:pPr>
            <w:r>
              <w:rPr>
                <w:rFonts w:ascii="Arial" w:cs="Arial" w:eastAsia="Arial" w:hAnsi="Arial"/>
                <w:sz w:val="14"/>
                <w:szCs w:val="14"/>
                <w:b w:val="1"/>
                <w:bCs w:val="1"/>
                <w:color w:val="FFFFFF"/>
              </w:rPr>
              <w:t>2024</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FFFFFF"/>
              </w:rPr>
              <w:t>2023</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ind w:right="702"/>
              <w:spacing w:after="0"/>
              <w:rPr>
                <w:sz w:val="20"/>
                <w:szCs w:val="20"/>
                <w:color w:val="auto"/>
              </w:rPr>
            </w:pPr>
            <w:r>
              <w:rPr>
                <w:rFonts w:ascii="Arial" w:cs="Arial" w:eastAsia="Arial" w:hAnsi="Arial"/>
                <w:sz w:val="14"/>
                <w:szCs w:val="14"/>
                <w:b w:val="1"/>
                <w:bCs w:val="1"/>
                <w:color w:val="FFFFFF"/>
              </w:rPr>
              <w:t>2022</w:t>
            </w:r>
          </w:p>
        </w:tc>
        <w:tc>
          <w:tcPr>
            <w:tcW w:w="640" w:type="dxa"/>
            <w:vAlign w:val="bottom"/>
          </w:tcPr>
          <w:p>
            <w:pPr>
              <w:spacing w:after="0"/>
              <w:rPr>
                <w:sz w:val="17"/>
                <w:szCs w:val="17"/>
                <w:color w:val="auto"/>
              </w:rPr>
            </w:pPr>
          </w:p>
        </w:tc>
        <w:tc>
          <w:tcPr>
            <w:tcW w:w="1120" w:type="dxa"/>
            <w:vAlign w:val="bottom"/>
          </w:tcPr>
          <w:p>
            <w:pPr>
              <w:jc w:val="right"/>
              <w:ind w:right="662"/>
              <w:spacing w:after="0"/>
              <w:rPr>
                <w:sz w:val="20"/>
                <w:szCs w:val="20"/>
                <w:color w:val="auto"/>
              </w:rPr>
            </w:pPr>
            <w:r>
              <w:rPr>
                <w:rFonts w:ascii="Arial" w:cs="Arial" w:eastAsia="Arial" w:hAnsi="Arial"/>
                <w:sz w:val="14"/>
                <w:szCs w:val="14"/>
                <w:b w:val="1"/>
                <w:bCs w:val="1"/>
                <w:color w:val="FFFFFF"/>
              </w:rPr>
              <w:t>2021</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680" w:type="dxa"/>
            <w:vAlign w:val="bottom"/>
            <w:vMerge w:val="restart"/>
            <w:shd w:val="clear" w:color="auto" w:fill="0071CE"/>
          </w:tcPr>
          <w:p>
            <w:pPr>
              <w:ind w:left="280"/>
              <w:spacing w:after="0"/>
              <w:rPr>
                <w:sz w:val="20"/>
                <w:szCs w:val="20"/>
                <w:color w:val="auto"/>
              </w:rPr>
            </w:pPr>
            <w:r>
              <w:rPr>
                <w:rFonts w:ascii="Arial" w:cs="Arial" w:eastAsia="Arial" w:hAnsi="Arial"/>
                <w:sz w:val="16"/>
                <w:szCs w:val="16"/>
                <w:b w:val="1"/>
                <w:bCs w:val="1"/>
                <w:color w:val="FFFFFF"/>
              </w:rPr>
              <w:t>PEO</w:t>
            </w:r>
          </w:p>
        </w:tc>
        <w:tc>
          <w:tcPr>
            <w:tcW w:w="1180" w:type="dxa"/>
            <w:vAlign w:val="bottom"/>
            <w:shd w:val="clear" w:color="auto" w:fill="0071CE"/>
          </w:tcPr>
          <w:p>
            <w:pPr>
              <w:jc w:val="center"/>
              <w:ind w:left="102"/>
              <w:spacing w:after="0" w:line="175" w:lineRule="exact"/>
              <w:rPr>
                <w:sz w:val="20"/>
                <w:szCs w:val="20"/>
                <w:color w:val="auto"/>
              </w:rPr>
            </w:pPr>
            <w:r>
              <w:rPr>
                <w:rFonts w:ascii="Arial" w:cs="Arial" w:eastAsia="Arial" w:hAnsi="Arial"/>
                <w:sz w:val="16"/>
                <w:szCs w:val="16"/>
                <w:b w:val="1"/>
                <w:bCs w:val="1"/>
                <w:color w:val="FFFFFF"/>
              </w:rPr>
              <w:t>Other</w:t>
            </w:r>
          </w:p>
        </w:tc>
        <w:tc>
          <w:tcPr>
            <w:tcW w:w="640" w:type="dxa"/>
            <w:vAlign w:val="bottom"/>
            <w:vMerge w:val="restart"/>
            <w:shd w:val="clear" w:color="auto" w:fill="0071CE"/>
          </w:tcPr>
          <w:p>
            <w:pPr>
              <w:ind w:left="240"/>
              <w:spacing w:after="0"/>
              <w:rPr>
                <w:sz w:val="20"/>
                <w:szCs w:val="20"/>
                <w:color w:val="auto"/>
              </w:rPr>
            </w:pPr>
            <w:r>
              <w:rPr>
                <w:rFonts w:ascii="Arial" w:cs="Arial" w:eastAsia="Arial" w:hAnsi="Arial"/>
                <w:sz w:val="16"/>
                <w:szCs w:val="16"/>
                <w:b w:val="1"/>
                <w:bCs w:val="1"/>
                <w:color w:val="FFFFFF"/>
              </w:rPr>
              <w:t>PEO</w:t>
            </w:r>
          </w:p>
        </w:tc>
        <w:tc>
          <w:tcPr>
            <w:tcW w:w="1160" w:type="dxa"/>
            <w:vAlign w:val="bottom"/>
            <w:shd w:val="clear" w:color="auto" w:fill="0071CE"/>
          </w:tcPr>
          <w:p>
            <w:pPr>
              <w:jc w:val="center"/>
              <w:ind w:left="102"/>
              <w:spacing w:after="0" w:line="175" w:lineRule="exact"/>
              <w:rPr>
                <w:sz w:val="20"/>
                <w:szCs w:val="20"/>
                <w:color w:val="auto"/>
              </w:rPr>
            </w:pPr>
            <w:r>
              <w:rPr>
                <w:rFonts w:ascii="Arial" w:cs="Arial" w:eastAsia="Arial" w:hAnsi="Arial"/>
                <w:sz w:val="16"/>
                <w:szCs w:val="16"/>
                <w:b w:val="1"/>
                <w:bCs w:val="1"/>
                <w:color w:val="FFFFFF"/>
                <w:w w:val="98"/>
              </w:rPr>
              <w:t>Other</w:t>
            </w:r>
          </w:p>
        </w:tc>
        <w:tc>
          <w:tcPr>
            <w:tcW w:w="1040" w:type="dxa"/>
            <w:vAlign w:val="bottom"/>
            <w:vMerge w:val="restart"/>
            <w:shd w:val="clear" w:color="auto" w:fill="0071CE"/>
          </w:tcPr>
          <w:p>
            <w:pPr>
              <w:jc w:val="right"/>
              <w:ind w:right="384"/>
              <w:spacing w:after="0"/>
              <w:rPr>
                <w:sz w:val="20"/>
                <w:szCs w:val="20"/>
                <w:color w:val="auto"/>
              </w:rPr>
            </w:pPr>
            <w:r>
              <w:rPr>
                <w:rFonts w:ascii="Arial" w:cs="Arial" w:eastAsia="Arial" w:hAnsi="Arial"/>
                <w:sz w:val="16"/>
                <w:szCs w:val="16"/>
                <w:b w:val="1"/>
                <w:bCs w:val="1"/>
                <w:color w:val="FFFFFF"/>
              </w:rPr>
              <w:t>PEO</w:t>
            </w:r>
          </w:p>
        </w:tc>
        <w:tc>
          <w:tcPr>
            <w:tcW w:w="780" w:type="dxa"/>
            <w:vAlign w:val="bottom"/>
            <w:shd w:val="clear" w:color="auto" w:fill="0071CE"/>
          </w:tcPr>
          <w:p>
            <w:pPr>
              <w:jc w:val="center"/>
              <w:ind w:right="139"/>
              <w:spacing w:after="0" w:line="175" w:lineRule="exact"/>
              <w:rPr>
                <w:sz w:val="20"/>
                <w:szCs w:val="20"/>
                <w:color w:val="auto"/>
              </w:rPr>
            </w:pPr>
            <w:r>
              <w:rPr>
                <w:rFonts w:ascii="Arial" w:cs="Arial" w:eastAsia="Arial" w:hAnsi="Arial"/>
                <w:sz w:val="16"/>
                <w:szCs w:val="16"/>
                <w:b w:val="1"/>
                <w:bCs w:val="1"/>
                <w:color w:val="FFFFFF"/>
              </w:rPr>
              <w:t>Other</w:t>
            </w:r>
          </w:p>
        </w:tc>
        <w:tc>
          <w:tcPr>
            <w:tcW w:w="640" w:type="dxa"/>
            <w:vAlign w:val="bottom"/>
            <w:vMerge w:val="restart"/>
            <w:shd w:val="clear" w:color="auto" w:fill="0071CE"/>
          </w:tcPr>
          <w:p>
            <w:pPr>
              <w:ind w:left="240"/>
              <w:spacing w:after="0"/>
              <w:rPr>
                <w:sz w:val="20"/>
                <w:szCs w:val="20"/>
                <w:color w:val="auto"/>
              </w:rPr>
            </w:pPr>
            <w:r>
              <w:rPr>
                <w:rFonts w:ascii="Arial" w:cs="Arial" w:eastAsia="Arial" w:hAnsi="Arial"/>
                <w:sz w:val="16"/>
                <w:szCs w:val="16"/>
                <w:b w:val="1"/>
                <w:bCs w:val="1"/>
                <w:color w:val="FFFFFF"/>
              </w:rPr>
              <w:t>PEO</w:t>
            </w:r>
          </w:p>
        </w:tc>
        <w:tc>
          <w:tcPr>
            <w:tcW w:w="1160" w:type="dxa"/>
            <w:vAlign w:val="bottom"/>
            <w:shd w:val="clear" w:color="auto" w:fill="0071CE"/>
          </w:tcPr>
          <w:p>
            <w:pPr>
              <w:jc w:val="center"/>
              <w:ind w:left="102"/>
              <w:spacing w:after="0" w:line="175" w:lineRule="exact"/>
              <w:rPr>
                <w:sz w:val="20"/>
                <w:szCs w:val="20"/>
                <w:color w:val="auto"/>
              </w:rPr>
            </w:pPr>
            <w:r>
              <w:rPr>
                <w:rFonts w:ascii="Arial" w:cs="Arial" w:eastAsia="Arial" w:hAnsi="Arial"/>
                <w:sz w:val="16"/>
                <w:szCs w:val="16"/>
                <w:b w:val="1"/>
                <w:bCs w:val="1"/>
                <w:color w:val="FFFFFF"/>
                <w:w w:val="98"/>
              </w:rPr>
              <w:t>Other</w:t>
            </w:r>
          </w:p>
        </w:tc>
        <w:tc>
          <w:tcPr>
            <w:tcW w:w="640" w:type="dxa"/>
            <w:vAlign w:val="bottom"/>
            <w:vMerge w:val="restart"/>
            <w:shd w:val="clear" w:color="auto" w:fill="0071CE"/>
          </w:tcPr>
          <w:p>
            <w:pPr>
              <w:ind w:left="240"/>
              <w:spacing w:after="0"/>
              <w:rPr>
                <w:sz w:val="20"/>
                <w:szCs w:val="20"/>
                <w:color w:val="auto"/>
              </w:rPr>
            </w:pPr>
            <w:r>
              <w:rPr>
                <w:rFonts w:ascii="Arial" w:cs="Arial" w:eastAsia="Arial" w:hAnsi="Arial"/>
                <w:sz w:val="16"/>
                <w:szCs w:val="16"/>
                <w:b w:val="1"/>
                <w:bCs w:val="1"/>
                <w:color w:val="FFFFFF"/>
              </w:rPr>
              <w:t>PEO</w:t>
            </w:r>
          </w:p>
        </w:tc>
        <w:tc>
          <w:tcPr>
            <w:tcW w:w="1120" w:type="dxa"/>
            <w:vAlign w:val="bottom"/>
            <w:shd w:val="clear" w:color="auto" w:fill="0071CE"/>
          </w:tcPr>
          <w:p>
            <w:pPr>
              <w:jc w:val="center"/>
              <w:ind w:left="162"/>
              <w:spacing w:after="0" w:line="175" w:lineRule="exact"/>
              <w:rPr>
                <w:sz w:val="20"/>
                <w:szCs w:val="20"/>
                <w:color w:val="auto"/>
              </w:rPr>
            </w:pPr>
            <w:r>
              <w:rPr>
                <w:rFonts w:ascii="Arial" w:cs="Arial" w:eastAsia="Arial" w:hAnsi="Arial"/>
                <w:sz w:val="16"/>
                <w:szCs w:val="16"/>
                <w:b w:val="1"/>
                <w:bCs w:val="1"/>
                <w:color w:val="FFFFFF"/>
              </w:rPr>
              <w:t>Other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80" w:type="dxa"/>
            <w:vAlign w:val="bottom"/>
            <w:vMerge w:val="continue"/>
            <w:shd w:val="clear" w:color="auto" w:fill="0071CE"/>
          </w:tcPr>
          <w:p>
            <w:pPr>
              <w:spacing w:after="0"/>
              <w:rPr>
                <w:sz w:val="18"/>
                <w:szCs w:val="18"/>
                <w:color w:val="auto"/>
              </w:rPr>
            </w:pPr>
          </w:p>
        </w:tc>
        <w:tc>
          <w:tcPr>
            <w:tcW w:w="1180" w:type="dxa"/>
            <w:vAlign w:val="bottom"/>
            <w:shd w:val="clear" w:color="auto" w:fill="0071CE"/>
          </w:tcPr>
          <w:p>
            <w:pPr>
              <w:jc w:val="center"/>
              <w:ind w:left="102"/>
              <w:spacing w:after="0"/>
              <w:rPr>
                <w:sz w:val="20"/>
                <w:szCs w:val="20"/>
                <w:color w:val="auto"/>
              </w:rPr>
            </w:pPr>
            <w:r>
              <w:rPr>
                <w:rFonts w:ascii="Arial" w:cs="Arial" w:eastAsia="Arial" w:hAnsi="Arial"/>
                <w:sz w:val="16"/>
                <w:szCs w:val="16"/>
                <w:b w:val="1"/>
                <w:bCs w:val="1"/>
                <w:color w:val="FFFFFF"/>
              </w:rPr>
              <w:t>NEOs*</w:t>
            </w:r>
          </w:p>
        </w:tc>
        <w:tc>
          <w:tcPr>
            <w:tcW w:w="640" w:type="dxa"/>
            <w:vAlign w:val="bottom"/>
            <w:vMerge w:val="continue"/>
            <w:shd w:val="clear" w:color="auto" w:fill="0071CE"/>
          </w:tcPr>
          <w:p>
            <w:pPr>
              <w:spacing w:after="0"/>
              <w:rPr>
                <w:sz w:val="18"/>
                <w:szCs w:val="18"/>
                <w:color w:val="auto"/>
              </w:rPr>
            </w:pPr>
          </w:p>
        </w:tc>
        <w:tc>
          <w:tcPr>
            <w:tcW w:w="1160" w:type="dxa"/>
            <w:vAlign w:val="bottom"/>
            <w:shd w:val="clear" w:color="auto" w:fill="0071CE"/>
          </w:tcPr>
          <w:p>
            <w:pPr>
              <w:jc w:val="center"/>
              <w:ind w:left="102"/>
              <w:spacing w:after="0"/>
              <w:rPr>
                <w:sz w:val="20"/>
                <w:szCs w:val="20"/>
                <w:color w:val="auto"/>
              </w:rPr>
            </w:pPr>
            <w:r>
              <w:rPr>
                <w:rFonts w:ascii="Arial" w:cs="Arial" w:eastAsia="Arial" w:hAnsi="Arial"/>
                <w:sz w:val="16"/>
                <w:szCs w:val="16"/>
                <w:b w:val="1"/>
                <w:bCs w:val="1"/>
                <w:color w:val="FFFFFF"/>
              </w:rPr>
              <w:t>NEOs*</w:t>
            </w:r>
          </w:p>
        </w:tc>
        <w:tc>
          <w:tcPr>
            <w:tcW w:w="1040" w:type="dxa"/>
            <w:vAlign w:val="bottom"/>
            <w:vMerge w:val="continue"/>
            <w:shd w:val="clear" w:color="auto" w:fill="0071CE"/>
          </w:tcPr>
          <w:p>
            <w:pPr>
              <w:spacing w:after="0"/>
              <w:rPr>
                <w:sz w:val="18"/>
                <w:szCs w:val="18"/>
                <w:color w:val="auto"/>
              </w:rPr>
            </w:pPr>
          </w:p>
        </w:tc>
        <w:tc>
          <w:tcPr>
            <w:tcW w:w="780" w:type="dxa"/>
            <w:vAlign w:val="bottom"/>
            <w:shd w:val="clear" w:color="auto" w:fill="0071CE"/>
          </w:tcPr>
          <w:p>
            <w:pPr>
              <w:jc w:val="center"/>
              <w:ind w:right="139"/>
              <w:spacing w:after="0"/>
              <w:rPr>
                <w:sz w:val="20"/>
                <w:szCs w:val="20"/>
                <w:color w:val="auto"/>
              </w:rPr>
            </w:pPr>
            <w:r>
              <w:rPr>
                <w:rFonts w:ascii="Arial" w:cs="Arial" w:eastAsia="Arial" w:hAnsi="Arial"/>
                <w:sz w:val="16"/>
                <w:szCs w:val="16"/>
                <w:b w:val="1"/>
                <w:bCs w:val="1"/>
                <w:color w:val="FFFFFF"/>
              </w:rPr>
              <w:t>NEOs*</w:t>
            </w:r>
          </w:p>
        </w:tc>
        <w:tc>
          <w:tcPr>
            <w:tcW w:w="640" w:type="dxa"/>
            <w:vAlign w:val="bottom"/>
            <w:vMerge w:val="continue"/>
            <w:shd w:val="clear" w:color="auto" w:fill="0071CE"/>
          </w:tcPr>
          <w:p>
            <w:pPr>
              <w:spacing w:after="0"/>
              <w:rPr>
                <w:sz w:val="18"/>
                <w:szCs w:val="18"/>
                <w:color w:val="auto"/>
              </w:rPr>
            </w:pPr>
          </w:p>
        </w:tc>
        <w:tc>
          <w:tcPr>
            <w:tcW w:w="1160" w:type="dxa"/>
            <w:vAlign w:val="bottom"/>
            <w:shd w:val="clear" w:color="auto" w:fill="0071CE"/>
          </w:tcPr>
          <w:p>
            <w:pPr>
              <w:jc w:val="center"/>
              <w:ind w:left="102"/>
              <w:spacing w:after="0"/>
              <w:rPr>
                <w:sz w:val="20"/>
                <w:szCs w:val="20"/>
                <w:color w:val="auto"/>
              </w:rPr>
            </w:pPr>
            <w:r>
              <w:rPr>
                <w:rFonts w:ascii="Arial" w:cs="Arial" w:eastAsia="Arial" w:hAnsi="Arial"/>
                <w:sz w:val="16"/>
                <w:szCs w:val="16"/>
                <w:b w:val="1"/>
                <w:bCs w:val="1"/>
                <w:color w:val="FFFFFF"/>
              </w:rPr>
              <w:t>NEOs*</w:t>
            </w:r>
          </w:p>
        </w:tc>
        <w:tc>
          <w:tcPr>
            <w:tcW w:w="640" w:type="dxa"/>
            <w:vAlign w:val="bottom"/>
            <w:vMerge w:val="continue"/>
            <w:shd w:val="clear" w:color="auto" w:fill="0071CE"/>
          </w:tcPr>
          <w:p>
            <w:pPr>
              <w:spacing w:after="0"/>
              <w:rPr>
                <w:sz w:val="18"/>
                <w:szCs w:val="18"/>
                <w:color w:val="auto"/>
              </w:rPr>
            </w:pPr>
          </w:p>
        </w:tc>
        <w:tc>
          <w:tcPr>
            <w:tcW w:w="1120" w:type="dxa"/>
            <w:vAlign w:val="bottom"/>
            <w:shd w:val="clear" w:color="auto" w:fill="0071CE"/>
          </w:tcPr>
          <w:p>
            <w:pPr>
              <w:jc w:val="center"/>
              <w:ind w:left="142"/>
              <w:spacing w:after="0"/>
              <w:rPr>
                <w:sz w:val="20"/>
                <w:szCs w:val="20"/>
                <w:color w:val="auto"/>
              </w:rPr>
            </w:pPr>
            <w:r>
              <w:rPr>
                <w:rFonts w:ascii="Arial" w:cs="Arial" w:eastAsia="Arial" w:hAnsi="Arial"/>
                <w:sz w:val="16"/>
                <w:szCs w:val="16"/>
                <w:b w:val="1"/>
                <w:bCs w:val="1"/>
                <w:color w:val="FFFFFF"/>
              </w:rPr>
              <w:t>NEOs*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71995" cy="19748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p>
      <w:pPr>
        <w:ind w:left="120" w:right="200"/>
        <w:spacing w:after="0" w:line="227" w:lineRule="auto"/>
        <w:rPr>
          <w:sz w:val="20"/>
          <w:szCs w:val="20"/>
          <w:color w:val="auto"/>
        </w:rPr>
      </w:pPr>
      <w:r>
        <w:rPr>
          <w:rFonts w:ascii="Arial" w:cs="Arial" w:eastAsia="Arial" w:hAnsi="Arial"/>
          <w:sz w:val="13"/>
          <w:szCs w:val="13"/>
          <w:color w:val="auto"/>
        </w:rPr>
        <w:t>Summary Compensation Table Total</w:t>
      </w:r>
    </w:p>
    <w:p>
      <w:pPr>
        <w:spacing w:after="0" w:line="23" w:lineRule="exact"/>
        <w:rPr>
          <w:sz w:val="20"/>
          <w:szCs w:val="20"/>
          <w:color w:val="auto"/>
        </w:rPr>
      </w:pPr>
    </w:p>
    <w:p>
      <w:pPr>
        <w:ind w:left="120"/>
        <w:spacing w:after="0" w:line="218" w:lineRule="auto"/>
        <w:rPr>
          <w:sz w:val="20"/>
          <w:szCs w:val="20"/>
          <w:color w:val="auto"/>
        </w:rPr>
      </w:pPr>
      <w:r>
        <w:rPr>
          <w:rFonts w:ascii="Arial" w:cs="Arial" w:eastAsia="Arial" w:hAnsi="Arial"/>
          <w:sz w:val="13"/>
          <w:szCs w:val="13"/>
          <w:color w:val="auto"/>
        </w:rPr>
        <w:t>Less, value of “Stock Awards” and “Option Awards” reported in Summary Compensation Table</w:t>
      </w:r>
    </w:p>
    <w:p>
      <w:pPr>
        <w:spacing w:after="0" w:line="25" w:lineRule="exact"/>
        <w:rPr>
          <w:sz w:val="20"/>
          <w:szCs w:val="20"/>
          <w:color w:val="auto"/>
        </w:rPr>
      </w:pPr>
    </w:p>
    <w:p>
      <w:pPr>
        <w:ind w:left="120" w:right="100"/>
        <w:spacing w:after="0" w:line="237" w:lineRule="auto"/>
        <w:rPr>
          <w:sz w:val="20"/>
          <w:szCs w:val="20"/>
          <w:color w:val="auto"/>
        </w:rPr>
      </w:pPr>
      <w:r>
        <w:rPr>
          <w:rFonts w:ascii="Arial" w:cs="Arial" w:eastAsia="Arial" w:hAnsi="Arial"/>
          <w:sz w:val="12"/>
          <w:szCs w:val="12"/>
          <w:color w:val="auto"/>
        </w:rPr>
        <w:t>Plus, year-end fair value of outstanding and unvested equity awards granted in the year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9,029,861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ind w:left="37"/>
              <w:spacing w:after="0"/>
              <w:rPr>
                <w:sz w:val="20"/>
                <w:szCs w:val="20"/>
                <w:color w:val="auto"/>
              </w:rPr>
            </w:pPr>
            <w:r>
              <w:rPr>
                <w:rFonts w:ascii="Arial" w:cs="Arial" w:eastAsia="Arial" w:hAnsi="Arial"/>
                <w:sz w:val="13"/>
                <w:szCs w:val="13"/>
                <w:color w:val="auto"/>
                <w:w w:val="96"/>
              </w:rPr>
              <w:t>2,090,935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12,424,418</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3,499,747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9,918,093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3,151,102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12,031,969</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4,133,800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95"/>
              </w:rPr>
              <w:t>24,703,855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6"/>
              </w:rPr>
              <w:t>3,324,746</w:t>
            </w:r>
          </w:p>
        </w:tc>
      </w:tr>
      <w:tr>
        <w:trPr>
          <w:trHeight w:val="364"/>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(6,810,292)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(1,444,800)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(10,319,000)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(2,658,810)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(8,314,056)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(2,332,400)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w w:val="97"/>
              </w:rPr>
              <w:t>(10,382,549)</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9"/>
              </w:rPr>
              <w:t>(3,529,925)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97"/>
              </w:rPr>
              <w:t>(23,019,000)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6"/>
              </w:rPr>
              <w:t>(2,608,820)</w:t>
            </w:r>
          </w:p>
        </w:tc>
      </w:tr>
      <w:tr>
        <w:trPr>
          <w:trHeight w:val="432"/>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11,209,250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ind w:left="37"/>
              <w:spacing w:after="0"/>
              <w:rPr>
                <w:sz w:val="20"/>
                <w:szCs w:val="20"/>
                <w:color w:val="auto"/>
              </w:rPr>
            </w:pPr>
            <w:r>
              <w:rPr>
                <w:rFonts w:ascii="Arial" w:cs="Arial" w:eastAsia="Arial" w:hAnsi="Arial"/>
                <w:sz w:val="13"/>
                <w:szCs w:val="13"/>
                <w:color w:val="auto"/>
                <w:w w:val="96"/>
              </w:rPr>
              <w:t>2,759,200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6,585,800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1,200,940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6,288,252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1,645,788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8,222,939</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1,578,138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95"/>
              </w:rPr>
              <w:t>49,944,000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6"/>
              </w:rPr>
              <w:t>3,537,700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-179070</wp:posOffset>
            </wp:positionV>
            <wp:extent cx="7071995"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71995" cy="27432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040" w:space="80"/>
            <w:col w:w="9120"/>
          </w:cols>
          <w:pgMar w:left="320" w:top="212" w:right="3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Plus, fair value as of vesting date of</w:t>
      </w:r>
    </w:p>
    <w:p>
      <w:pPr>
        <w:ind w:left="20"/>
        <w:spacing w:after="0" w:line="221" w:lineRule="auto"/>
        <w:rPr>
          <w:sz w:val="20"/>
          <w:szCs w:val="20"/>
          <w:color w:val="auto"/>
        </w:rPr>
      </w:pPr>
      <w:r>
        <w:rPr>
          <w:rFonts w:ascii="Arial" w:cs="Arial" w:eastAsia="Arial" w:hAnsi="Arial"/>
          <w:sz w:val="13"/>
          <w:szCs w:val="13"/>
          <w:color w:val="auto"/>
        </w:rPr>
        <w:t>equity awards granted and vested in $ 193,292 $ the year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Plus (less), year over year change in</w:t>
      </w:r>
    </w:p>
    <w:p>
      <w:pPr>
        <w:ind w:left="20"/>
        <w:spacing w:after="0" w:line="191" w:lineRule="auto"/>
        <w:rPr>
          <w:sz w:val="20"/>
          <w:szCs w:val="20"/>
          <w:color w:val="auto"/>
        </w:rPr>
      </w:pPr>
      <w:r>
        <w:rPr>
          <w:rFonts w:ascii="Arial" w:cs="Arial" w:eastAsia="Arial" w:hAnsi="Arial"/>
          <w:sz w:val="10"/>
          <w:szCs w:val="10"/>
          <w:color w:val="auto"/>
        </w:rPr>
        <w:t xml:space="preserve">fair value of outstanding and </w:t>
      </w:r>
      <w:r>
        <w:rPr>
          <w:rFonts w:ascii="Arial" w:cs="Arial" w:eastAsia="Arial" w:hAnsi="Arial"/>
          <w:sz w:val="18"/>
          <w:szCs w:val="18"/>
          <w:color w:val="auto"/>
          <w:vertAlign w:val="subscript"/>
        </w:rPr>
        <w:t>$ 25,931,662 $</w:t>
      </w:r>
      <w:r>
        <w:rPr>
          <w:rFonts w:ascii="Arial" w:cs="Arial" w:eastAsia="Arial" w:hAnsi="Arial"/>
          <w:sz w:val="10"/>
          <w:szCs w:val="10"/>
          <w:color w:val="auto"/>
        </w:rPr>
        <w:t xml:space="preserve"> unvested equity awards granted in</w:t>
      </w:r>
    </w:p>
    <w:p>
      <w:pPr>
        <w:ind w:left="20"/>
        <w:spacing w:after="0"/>
        <w:rPr>
          <w:sz w:val="20"/>
          <w:szCs w:val="20"/>
          <w:color w:val="auto"/>
        </w:rPr>
      </w:pPr>
      <w:r>
        <w:rPr>
          <w:rFonts w:ascii="Arial" w:cs="Arial" w:eastAsia="Arial" w:hAnsi="Arial"/>
          <w:sz w:val="13"/>
          <w:szCs w:val="13"/>
          <w:color w:val="auto"/>
        </w:rPr>
        <w:t>prior years</w:t>
      </w:r>
    </w:p>
    <w:p>
      <w:pPr>
        <w:ind w:left="20"/>
        <w:spacing w:after="0" w:line="236" w:lineRule="auto"/>
        <w:rPr>
          <w:sz w:val="20"/>
          <w:szCs w:val="20"/>
          <w:color w:val="auto"/>
        </w:rPr>
      </w:pPr>
      <w:r>
        <w:rPr>
          <w:rFonts w:ascii="Arial" w:cs="Arial" w:eastAsia="Arial" w:hAnsi="Arial"/>
          <w:sz w:val="13"/>
          <w:szCs w:val="13"/>
          <w:color w:val="auto"/>
        </w:rPr>
        <w:t>Plus (less), change in fair value from</w:t>
      </w:r>
    </w:p>
    <w:p>
      <w:pPr>
        <w:spacing w:after="0" w:line="1" w:lineRule="exact"/>
        <w:rPr>
          <w:sz w:val="20"/>
          <w:szCs w:val="20"/>
          <w:color w:val="auto"/>
        </w:rPr>
      </w:pPr>
    </w:p>
    <w:p>
      <w:pPr>
        <w:ind w:left="20"/>
        <w:spacing w:after="0" w:line="191" w:lineRule="auto"/>
        <w:rPr>
          <w:sz w:val="20"/>
          <w:szCs w:val="20"/>
          <w:color w:val="auto"/>
        </w:rPr>
      </w:pPr>
      <w:r>
        <w:rPr>
          <w:rFonts w:ascii="Arial" w:cs="Arial" w:eastAsia="Arial" w:hAnsi="Arial"/>
          <w:sz w:val="10"/>
          <w:szCs w:val="10"/>
          <w:color w:val="auto"/>
        </w:rPr>
        <w:t xml:space="preserve">last day of prior fiscal year to vesting </w:t>
      </w:r>
      <w:r>
        <w:rPr>
          <w:rFonts w:ascii="Arial" w:cs="Arial" w:eastAsia="Arial" w:hAnsi="Arial"/>
          <w:sz w:val="18"/>
          <w:szCs w:val="18"/>
          <w:color w:val="auto"/>
          <w:vertAlign w:val="subscript"/>
        </w:rPr>
        <w:t>$ 3,045,932 $</w:t>
      </w:r>
      <w:r>
        <w:rPr>
          <w:rFonts w:ascii="Arial" w:cs="Arial" w:eastAsia="Arial" w:hAnsi="Arial"/>
          <w:sz w:val="10"/>
          <w:szCs w:val="10"/>
          <w:color w:val="auto"/>
        </w:rPr>
        <w:t xml:space="preserve"> date for equity awards granted in</w:t>
      </w:r>
    </w:p>
    <w:p>
      <w:pPr>
        <w:ind w:left="20"/>
        <w:spacing w:after="0"/>
        <w:rPr>
          <w:sz w:val="20"/>
          <w:szCs w:val="20"/>
          <w:color w:val="auto"/>
        </w:rPr>
      </w:pPr>
      <w:r>
        <w:rPr>
          <w:rFonts w:ascii="Arial" w:cs="Arial" w:eastAsia="Arial" w:hAnsi="Arial"/>
          <w:sz w:val="13"/>
          <w:szCs w:val="13"/>
          <w:color w:val="auto"/>
        </w:rPr>
        <w:t>prior years that vested in the year</w:t>
      </w:r>
    </w:p>
    <w:p>
      <w:pPr>
        <w:spacing w:after="0" w:line="14" w:lineRule="exact"/>
        <w:rPr>
          <w:sz w:val="20"/>
          <w:szCs w:val="20"/>
          <w:color w:val="auto"/>
        </w:rPr>
      </w:pPr>
    </w:p>
    <w:p>
      <w:pPr>
        <w:ind w:left="20"/>
        <w:spacing w:after="0"/>
        <w:tabs>
          <w:tab w:leader="none" w:pos="2100" w:val="left"/>
          <w:tab w:leader="none" w:pos="2300" w:val="left"/>
        </w:tabs>
        <w:rPr>
          <w:sz w:val="20"/>
          <w:szCs w:val="20"/>
          <w:color w:val="auto"/>
        </w:rPr>
      </w:pPr>
      <w:r>
        <w:rPr>
          <w:rFonts w:ascii="Arial" w:cs="Arial" w:eastAsia="Arial" w:hAnsi="Arial"/>
          <w:sz w:val="13"/>
          <w:szCs w:val="13"/>
          <w:color w:val="auto"/>
        </w:rPr>
        <w:t>Compensation Actually Paid</w:t>
      </w:r>
      <w:r>
        <w:rPr>
          <w:sz w:val="20"/>
          <w:szCs w:val="20"/>
          <w:color w:val="auto"/>
        </w:rPr>
        <w:tab/>
      </w:r>
      <w:r>
        <w:rPr>
          <w:rFonts w:ascii="Arial" w:cs="Arial" w:eastAsia="Arial" w:hAnsi="Arial"/>
          <w:sz w:val="13"/>
          <w:szCs w:val="13"/>
          <w:color w:val="auto"/>
        </w:rPr>
        <w:t>$</w:t>
        <w:tab/>
        <w:t>42,599,705 $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7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6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583,774</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37"/>
              <w:spacing w:after="0"/>
              <w:rPr>
                <w:sz w:val="20"/>
                <w:szCs w:val="20"/>
                <w:color w:val="auto"/>
              </w:rPr>
            </w:pPr>
            <w:r>
              <w:rPr>
                <w:rFonts w:ascii="Arial" w:cs="Arial" w:eastAsia="Arial" w:hAnsi="Arial"/>
                <w:sz w:val="13"/>
                <w:szCs w:val="13"/>
                <w:color w:val="auto"/>
              </w:rPr>
              <w:t>— $</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99"/>
        </w:trPr>
        <w:tc>
          <w:tcPr>
            <w:tcW w:w="600" w:type="dxa"/>
            <w:vAlign w:val="bottom"/>
          </w:tcPr>
          <w:p>
            <w:pPr>
              <w:jc w:val="right"/>
              <w:spacing w:after="0"/>
              <w:rPr>
                <w:sz w:val="20"/>
                <w:szCs w:val="20"/>
                <w:color w:val="auto"/>
              </w:rPr>
            </w:pPr>
            <w:r>
              <w:rPr>
                <w:rFonts w:ascii="Arial" w:cs="Arial" w:eastAsia="Arial" w:hAnsi="Arial"/>
                <w:sz w:val="13"/>
                <w:szCs w:val="13"/>
                <w:color w:val="auto"/>
              </w:rPr>
              <w:t>945,000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(13,971,458)</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(456,188)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(10,653,844)</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(847,819)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w w:val="97"/>
              </w:rPr>
              <w:t>(49,946,000)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(2,754,375)</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17,433,000</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2,015,691</w:t>
            </w:r>
          </w:p>
        </w:tc>
      </w:tr>
      <w:tr>
        <w:trPr>
          <w:trHeight w:val="553"/>
        </w:trPr>
        <w:tc>
          <w:tcPr>
            <w:tcW w:w="600" w:type="dxa"/>
            <w:vAlign w:val="bottom"/>
          </w:tcPr>
          <w:p>
            <w:pPr>
              <w:jc w:val="right"/>
              <w:spacing w:after="0"/>
              <w:rPr>
                <w:sz w:val="20"/>
                <w:szCs w:val="20"/>
                <w:color w:val="auto"/>
              </w:rPr>
            </w:pPr>
            <w:r>
              <w:rPr>
                <w:rFonts w:ascii="Arial" w:cs="Arial" w:eastAsia="Arial" w:hAnsi="Arial"/>
                <w:sz w:val="13"/>
                <w:szCs w:val="13"/>
                <w:color w:val="auto"/>
              </w:rPr>
              <w:t>324,450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(76,809)</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201,724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6,718</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256,469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186,244</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(188,531)</w:t>
            </w:r>
          </w:p>
        </w:tc>
      </w:tr>
      <w:tr>
        <w:trPr>
          <w:trHeight w:val="365"/>
        </w:trPr>
        <w:tc>
          <w:tcPr>
            <w:tcW w:w="600" w:type="dxa"/>
            <w:vAlign w:val="bottom"/>
          </w:tcPr>
          <w:p>
            <w:pPr>
              <w:jc w:val="right"/>
              <w:spacing w:after="0"/>
              <w:rPr>
                <w:sz w:val="20"/>
                <w:szCs w:val="20"/>
                <w:color w:val="auto"/>
              </w:rPr>
            </w:pPr>
            <w:r>
              <w:rPr>
                <w:rFonts w:ascii="Arial" w:cs="Arial" w:eastAsia="Arial" w:hAnsi="Arial"/>
                <w:sz w:val="13"/>
                <w:szCs w:val="13"/>
                <w:color w:val="auto"/>
                <w:w w:val="93"/>
              </w:rPr>
              <w:t>4,674,785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(5,357,049)</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1,787,414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(2,171,064)</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1,873,139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w w:val="97"/>
              </w:rPr>
              <w:t>(40,073,641)</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(386,119)</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69,061,855</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6,080,785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-804545</wp:posOffset>
            </wp:positionV>
            <wp:extent cx="7071995" cy="3511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71995" cy="35115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-102235</wp:posOffset>
            </wp:positionV>
            <wp:extent cx="7071995" cy="111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71995" cy="11176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3100" w:space="200"/>
            <w:col w:w="7940"/>
          </w:cols>
          <w:pgMar w:left="320" w:top="212" w:right="3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 Amounts presented are averages for the entire group of Other NEOs in each respective year.</w:t>
      </w:r>
    </w:p>
    <w:p>
      <w:pPr>
        <w:spacing w:after="0" w:line="237" w:lineRule="exact"/>
        <w:rPr>
          <w:sz w:val="20"/>
          <w:szCs w:val="20"/>
          <w:color w:val="auto"/>
        </w:rPr>
      </w:pPr>
    </w:p>
    <w:p>
      <w:pPr>
        <w:jc w:val="both"/>
        <w:ind w:left="420" w:hanging="412"/>
        <w:spacing w:after="0" w:line="268" w:lineRule="auto"/>
        <w:tabs>
          <w:tab w:leader="none" w:pos="407" w:val="left"/>
        </w:tabs>
        <w:numPr>
          <w:ilvl w:val="0"/>
          <w:numId w:val="51"/>
        </w:numPr>
        <w:rPr>
          <w:rFonts w:ascii="Arial" w:cs="Arial" w:eastAsia="Arial" w:hAnsi="Arial"/>
          <w:sz w:val="14"/>
          <w:szCs w:val="14"/>
          <w:color w:val="202124"/>
        </w:rPr>
      </w:pPr>
      <w:r>
        <w:rPr>
          <w:rFonts w:ascii="Arial" w:cs="Arial" w:eastAsia="Arial" w:hAnsi="Arial"/>
          <w:sz w:val="14"/>
          <w:szCs w:val="14"/>
          <w:color w:val="202124"/>
        </w:rPr>
        <w:t>Total Shareholder Return (</w:t>
      </w:r>
      <w:r>
        <w:rPr>
          <w:rFonts w:ascii="Arial" w:cs="Arial" w:eastAsia="Arial" w:hAnsi="Arial"/>
          <w:sz w:val="14"/>
          <w:szCs w:val="14"/>
          <w:color w:val="000000"/>
        </w:rPr>
        <w:t>TSR) is calculated by dividing (a) the sum of (i) the cumulative amount of dividends for the measurement period, assuming dividend</w:t>
      </w:r>
      <w:r>
        <w:rPr>
          <w:rFonts w:ascii="Arial" w:cs="Arial" w:eastAsia="Arial" w:hAnsi="Arial"/>
          <w:sz w:val="14"/>
          <w:szCs w:val="14"/>
          <w:color w:val="202124"/>
        </w:rPr>
        <w:t xml:space="preserve"> </w:t>
      </w:r>
      <w:r>
        <w:rPr>
          <w:rFonts w:ascii="Arial" w:cs="Arial" w:eastAsia="Arial" w:hAnsi="Arial"/>
          <w:sz w:val="14"/>
          <w:szCs w:val="14"/>
          <w:color w:val="000000"/>
        </w:rPr>
        <w:t>reinvestment, and (ii) the difference between the Company’s share price at the end of each fiscal year shown and the beginning of the measurement period, by (b) the Company’s share price at the beginning of the measurement period. The beginning of the measurement period for each year in the table is September 30, 2020.</w:t>
      </w:r>
    </w:p>
    <w:p>
      <w:pPr>
        <w:spacing w:after="0" w:line="1" w:lineRule="exact"/>
        <w:rPr>
          <w:rFonts w:ascii="Arial" w:cs="Arial" w:eastAsia="Arial" w:hAnsi="Arial"/>
          <w:sz w:val="14"/>
          <w:szCs w:val="14"/>
          <w:color w:val="202124"/>
        </w:rPr>
      </w:pPr>
    </w:p>
    <w:p>
      <w:pPr>
        <w:ind w:left="400" w:hanging="392"/>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1" w:lineRule="exact"/>
        <w:rPr>
          <w:rFonts w:ascii="Arial" w:cs="Arial" w:eastAsia="Arial" w:hAnsi="Arial"/>
          <w:sz w:val="14"/>
          <w:szCs w:val="14"/>
          <w:color w:val="auto"/>
        </w:rPr>
      </w:pPr>
    </w:p>
    <w:p>
      <w:pPr>
        <w:ind w:left="420" w:right="360" w:hanging="412"/>
        <w:spacing w:after="0" w:line="244" w:lineRule="auto"/>
        <w:tabs>
          <w:tab w:leader="none" w:pos="407"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Company does not use any financial performance measures to link executive compensation actually paid to company performance. Consequently, no “Company Selected Measure” is included in the table above.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Information Presented in the Pay versus Performance Table</w:t>
      </w:r>
    </w:p>
    <w:p>
      <w:pPr>
        <w:spacing w:after="0" w:line="179"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As described in more detail in the Compensation Discussion and Analysis section,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1887855</wp:posOffset>
            </wp:positionV>
            <wp:extent cx="98615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Actually Paid, Cumulative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170815</wp:posOffset>
            </wp:positionV>
            <wp:extent cx="5760720" cy="4114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5922645</wp:posOffset>
            </wp:positionV>
            <wp:extent cx="98615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307975</wp:posOffset>
            </wp:positionV>
            <wp:extent cx="5760720" cy="4114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5905500</wp:posOffset>
            </wp:positionV>
            <wp:extent cx="98615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 Measures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As described in greater detail in the Compensation Discussion and Analysis section,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Company does not currently use any financial</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performance measures to link executive compensation actually paid to our performance. However, the most important performance measures used by the Company to link executive compensation actually paid to the Company’s NEOs, for the most recently completed fiscal year, to the Company’s performance</w:t>
      </w:r>
    </w:p>
    <w:p>
      <w:pPr>
        <w:spacing w:after="0"/>
        <w:rPr>
          <w:sz w:val="20"/>
          <w:szCs w:val="20"/>
          <w:color w:val="auto"/>
        </w:rPr>
      </w:pPr>
      <w:r>
        <w:rPr>
          <w:rFonts w:ascii="Arial" w:cs="Arial" w:eastAsia="Arial" w:hAnsi="Arial"/>
          <w:sz w:val="16"/>
          <w:szCs w:val="16"/>
          <w:color w:val="auto"/>
        </w:rPr>
        <w:t>are as follows:</w:t>
      </w:r>
    </w:p>
    <w:p>
      <w:pPr>
        <w:spacing w:after="0" w:line="219" w:lineRule="exact"/>
        <w:rPr>
          <w:sz w:val="20"/>
          <w:szCs w:val="20"/>
          <w:color w:val="auto"/>
        </w:rPr>
      </w:pPr>
    </w:p>
    <w:p>
      <w:pPr>
        <w:ind w:left="660" w:right="20" w:hanging="328"/>
        <w:spacing w:after="0" w:line="248" w:lineRule="auto"/>
        <w:tabs>
          <w:tab w:leader="none" w:pos="649" w:val="left"/>
        </w:tabs>
        <w:numPr>
          <w:ilvl w:val="0"/>
          <w:numId w:val="52"/>
        </w:numPr>
        <w:rPr>
          <w:rFonts w:ascii="Arial" w:cs="Arial" w:eastAsia="Arial" w:hAnsi="Arial"/>
          <w:sz w:val="16"/>
          <w:szCs w:val="16"/>
          <w:color w:val="026DCE"/>
        </w:rPr>
      </w:pPr>
      <w:r>
        <w:rPr>
          <w:rFonts w:ascii="Arial" w:cs="Arial" w:eastAsia="Arial" w:hAnsi="Arial"/>
          <w:sz w:val="16"/>
          <w:szCs w:val="16"/>
          <w:color w:val="auto"/>
        </w:rPr>
        <w:t>Corporate goals related to meeting certain objectives with respect to business development, accessing new capital, market capitalization, commercialization, and and utilization of recent capital improvements;</w:t>
      </w:r>
    </w:p>
    <w:p>
      <w:pPr>
        <w:ind w:left="640" w:hanging="308"/>
        <w:spacing w:after="0" w:line="228" w:lineRule="auto"/>
        <w:tabs>
          <w:tab w:leader="none" w:pos="640" w:val="left"/>
        </w:tabs>
        <w:numPr>
          <w:ilvl w:val="0"/>
          <w:numId w:val="52"/>
        </w:numPr>
        <w:rPr>
          <w:rFonts w:ascii="Arial" w:cs="Arial" w:eastAsia="Arial" w:hAnsi="Arial"/>
          <w:sz w:val="16"/>
          <w:szCs w:val="16"/>
          <w:color w:val="026DCE"/>
        </w:rPr>
      </w:pPr>
      <w:r>
        <w:rPr>
          <w:rFonts w:ascii="Arial" w:cs="Arial" w:eastAsia="Arial" w:hAnsi="Arial"/>
          <w:sz w:val="16"/>
          <w:szCs w:val="16"/>
          <w:color w:val="auto"/>
        </w:rPr>
        <w:t>Discovery and early development goals related to meeting certain goals with regard to progress on our pre-clinical programs; and</w:t>
      </w:r>
    </w:p>
    <w:p>
      <w:pPr>
        <w:ind w:left="640" w:hanging="308"/>
        <w:spacing w:after="0"/>
        <w:tabs>
          <w:tab w:leader="none" w:pos="640" w:val="left"/>
        </w:tabs>
        <w:numPr>
          <w:ilvl w:val="0"/>
          <w:numId w:val="52"/>
        </w:numPr>
        <w:rPr>
          <w:rFonts w:ascii="Arial" w:cs="Arial" w:eastAsia="Arial" w:hAnsi="Arial"/>
          <w:sz w:val="16"/>
          <w:szCs w:val="16"/>
          <w:color w:val="026DCE"/>
        </w:rPr>
      </w:pPr>
      <w:r>
        <w:rPr>
          <w:rFonts w:ascii="Arial" w:cs="Arial" w:eastAsia="Arial" w:hAnsi="Arial"/>
          <w:sz w:val="16"/>
          <w:szCs w:val="16"/>
          <w:color w:val="auto"/>
        </w:rPr>
        <w:t>Clinical development goals involving meeting certain goals relating to our clinical programs;</w:t>
      </w:r>
    </w:p>
    <w:p>
      <w:pPr>
        <w:spacing w:after="0" w:line="234" w:lineRule="exact"/>
        <w:rPr>
          <w:sz w:val="20"/>
          <w:szCs w:val="20"/>
          <w:color w:val="auto"/>
        </w:rPr>
      </w:pPr>
    </w:p>
    <w:p>
      <w:pPr>
        <w:jc w:val="both"/>
        <w:ind w:right="20"/>
        <w:spacing w:after="0" w:line="227" w:lineRule="auto"/>
        <w:rPr>
          <w:sz w:val="20"/>
          <w:szCs w:val="20"/>
          <w:color w:val="auto"/>
        </w:rPr>
      </w:pPr>
      <w:r>
        <w:rPr>
          <w:rFonts w:ascii="Arial" w:cs="Arial" w:eastAsia="Arial" w:hAnsi="Arial"/>
          <w:sz w:val="16"/>
          <w:szCs w:val="16"/>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483235</wp:posOffset>
            </wp:positionV>
            <wp:extent cx="98615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3660" w:val="left"/>
        </w:tabs>
        <w:rPr>
          <w:sz w:val="20"/>
          <w:szCs w:val="20"/>
          <w:color w:val="auto"/>
        </w:rPr>
      </w:pPr>
      <w:r>
        <w:rPr>
          <w:rFonts w:ascii="Arial" w:cs="Arial" w:eastAsia="Arial" w:hAnsi="Arial"/>
          <w:sz w:val="14"/>
          <w:szCs w:val="14"/>
          <w:b w:val="1"/>
          <w:bCs w:val="1"/>
          <w:color w:val="0071CE"/>
        </w:rPr>
        <w:t>2022 PROXY STATEMENT</w:t>
      </w:r>
      <w:r>
        <w:rPr>
          <w:sz w:val="20"/>
          <w:szCs w:val="20"/>
          <w:color w:val="auto"/>
        </w:rPr>
        <w:tab/>
      </w:r>
      <w:r>
        <w:rPr>
          <w:rFonts w:ascii="Arial" w:cs="Arial" w:eastAsia="Arial" w:hAnsi="Arial"/>
          <w:sz w:val="14"/>
          <w:szCs w:val="14"/>
          <w:b w:val="1"/>
          <w:bCs w:val="1"/>
          <w:i w:val="1"/>
          <w:iCs w:val="1"/>
          <w:color w:val="3FAE2A"/>
        </w:rPr>
        <w:t>Proposal Four — Ratification of Independent Auditors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Four — Ratification of Selection of Independent Auditors</w:t>
      </w:r>
    </w:p>
    <w:p>
      <w:pPr>
        <w:spacing w:after="0" w:line="33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Audit Committee, with the ratification of our Board, selected the accounting firm of KPMG LLP (“</w:t>
      </w:r>
      <w:r>
        <w:rPr>
          <w:rFonts w:ascii="Arial" w:cs="Arial" w:eastAsia="Arial" w:hAnsi="Arial"/>
          <w:sz w:val="16"/>
          <w:szCs w:val="16"/>
          <w:b w:val="1"/>
          <w:bCs w:val="1"/>
          <w:color w:val="auto"/>
        </w:rPr>
        <w:t>KPMG</w:t>
      </w:r>
      <w:r>
        <w:rPr>
          <w:rFonts w:ascii="Arial" w:cs="Arial" w:eastAsia="Arial" w:hAnsi="Arial"/>
          <w:sz w:val="16"/>
          <w:szCs w:val="16"/>
          <w:color w:val="auto"/>
        </w:rPr>
        <w:t>”) as the Company’s independent auditors for the fiscal year ending September 30, 2026, and that selection is now being submitted to the stockholders for their ratification.</w:t>
      </w:r>
    </w:p>
    <w:p>
      <w:pPr>
        <w:spacing w:after="0" w:line="1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representative of KPMG is expected to be present at the Annual Meeting and available to respond to appropriate stockholder questions. The representative will also have an opportunity to make any other statements such representative deems appropriate.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Stockholders are not required to ratify the selection of KPMG as our independent auditors. However, we are submitting the selection for ratification as a matter of good corporate practice. If stockholders fail to ratify the selection, the Audit Committee will consider whether or not to retain KPMG. Even if the selection is ratified, the Audit Committee may direct the selection of different independent auditors at any time during the year if it determines that such a change would be in the best interests of the Company and our stockholders.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4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In order to be ratified, Proposal Four must be approved by the Required Vote, assuming a quorum is present. For this purpose, abstentions will be counted as a vote “AGAINST” the Proposal, while broker non-votes, if any,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168275</wp:posOffset>
            </wp:positionV>
            <wp:extent cx="3789045" cy="3683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89045" cy="368300"/>
                    </a:xfrm>
                    <a:prstGeom prst="rect">
                      <a:avLst/>
                    </a:prstGeom>
                    <a:noFill/>
                  </pic:spPr>
                </pic:pic>
              </a:graphicData>
            </a:graphic>
          </wp:anchor>
        </w:drawing>
      </w:r>
    </w:p>
    <w:p>
      <w:pPr>
        <w:spacing w:after="0" w:line="285" w:lineRule="exact"/>
        <w:rPr>
          <w:sz w:val="20"/>
          <w:szCs w:val="20"/>
          <w:color w:val="auto"/>
        </w:rPr>
      </w:pPr>
    </w:p>
    <w:p>
      <w:pPr>
        <w:ind w:left="3820" w:right="3340"/>
        <w:spacing w:after="0" w:line="299"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718185</wp:posOffset>
            </wp:positionV>
            <wp:extent cx="98615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Audit Fees</w:t>
      </w:r>
    </w:p>
    <w:p>
      <w:pPr>
        <w:spacing w:after="0" w:line="3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may potentially affect their independence. The Audit Committee’s policy is to pre-approve all audit and permissible non-audit services provided by our independent auditors.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2025 and 2024 were pre-approved by the audit committee.</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sets forth the aggregate audit fees and fees for all other services provided during the indicated fiscal years. These include amounts billed and expected to be billed by KPMG for fiscal year 2025 and for fiscal year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0071CE"/>
          </w:tcPr>
          <w:p>
            <w:pPr>
              <w:spacing w:after="0"/>
              <w:rPr>
                <w:sz w:val="17"/>
                <w:szCs w:val="17"/>
                <w:color w:val="auto"/>
              </w:rPr>
            </w:pPr>
          </w:p>
        </w:tc>
        <w:tc>
          <w:tcPr>
            <w:tcW w:w="3240" w:type="dxa"/>
            <w:vAlign w:val="bottom"/>
            <w:gridSpan w:val="2"/>
            <w:shd w:val="clear" w:color="auto" w:fill="0071CE"/>
          </w:tcPr>
          <w:p>
            <w:pPr>
              <w:jc w:val="right"/>
              <w:ind w:right="601"/>
              <w:spacing w:after="0"/>
              <w:rPr>
                <w:sz w:val="20"/>
                <w:szCs w:val="20"/>
                <w:color w:val="auto"/>
              </w:rPr>
            </w:pPr>
            <w:r>
              <w:rPr>
                <w:rFonts w:ascii="Arial" w:cs="Arial" w:eastAsia="Arial" w:hAnsi="Arial"/>
                <w:sz w:val="14"/>
                <w:szCs w:val="14"/>
                <w:b w:val="1"/>
                <w:bCs w:val="1"/>
                <w:color w:val="FFFFFF"/>
              </w:rPr>
              <w:t>Year Ended September 30,</w:t>
            </w:r>
          </w:p>
        </w:tc>
      </w:tr>
      <w:tr>
        <w:trPr>
          <w:trHeight w:val="203"/>
        </w:trPr>
        <w:tc>
          <w:tcPr>
            <w:tcW w:w="7980" w:type="dxa"/>
            <w:vAlign w:val="bottom"/>
            <w:shd w:val="clear" w:color="auto" w:fill="0071CE"/>
          </w:tcPr>
          <w:p>
            <w:pPr>
              <w:spacing w:after="0"/>
              <w:rPr>
                <w:sz w:val="17"/>
                <w:szCs w:val="17"/>
                <w:color w:val="auto"/>
              </w:rPr>
            </w:pPr>
          </w:p>
        </w:tc>
        <w:tc>
          <w:tcPr>
            <w:tcW w:w="1900" w:type="dxa"/>
            <w:vAlign w:val="bottom"/>
            <w:shd w:val="clear" w:color="auto" w:fill="0071CE"/>
          </w:tcPr>
          <w:p>
            <w:pPr>
              <w:jc w:val="right"/>
              <w:ind w:right="862"/>
              <w:spacing w:after="0"/>
              <w:rPr>
                <w:sz w:val="20"/>
                <w:szCs w:val="20"/>
                <w:color w:val="auto"/>
              </w:rPr>
            </w:pPr>
            <w:r>
              <w:rPr>
                <w:rFonts w:ascii="Arial" w:cs="Arial" w:eastAsia="Arial" w:hAnsi="Arial"/>
                <w:sz w:val="14"/>
                <w:szCs w:val="14"/>
                <w:b w:val="1"/>
                <w:bCs w:val="1"/>
                <w:color w:val="FFFFFF"/>
              </w:rPr>
              <w:t>2025</w:t>
            </w:r>
          </w:p>
        </w:tc>
        <w:tc>
          <w:tcPr>
            <w:tcW w:w="1340" w:type="dxa"/>
            <w:vAlign w:val="bottom"/>
            <w:shd w:val="clear" w:color="auto" w:fill="0071CE"/>
          </w:tcPr>
          <w:p>
            <w:pPr>
              <w:jc w:val="right"/>
              <w:ind w:right="541"/>
              <w:spacing w:after="0"/>
              <w:rPr>
                <w:sz w:val="20"/>
                <w:szCs w:val="20"/>
                <w:color w:val="auto"/>
              </w:rPr>
            </w:pPr>
            <w:r>
              <w:rPr>
                <w:rFonts w:ascii="Arial" w:cs="Arial" w:eastAsia="Arial" w:hAnsi="Arial"/>
                <w:sz w:val="14"/>
                <w:szCs w:val="14"/>
                <w:b w:val="1"/>
                <w:bCs w:val="1"/>
                <w:color w:val="FFFFFF"/>
              </w:rPr>
              <w:t>2024</w:t>
            </w:r>
          </w:p>
        </w:tc>
      </w:tr>
      <w:tr>
        <w:trPr>
          <w:trHeight w:val="216"/>
        </w:trPr>
        <w:tc>
          <w:tcPr>
            <w:tcW w:w="7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Audit fees (1)</w:t>
            </w:r>
          </w:p>
        </w:tc>
        <w:tc>
          <w:tcPr>
            <w:tcW w:w="19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$1,310,425</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$1,010,000</w:t>
            </w: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190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Tax Fees</w:t>
            </w:r>
          </w:p>
        </w:tc>
        <w:tc>
          <w:tcPr>
            <w:tcW w:w="19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80" w:type="dxa"/>
            <w:vAlign w:val="bottom"/>
            <w:tcBorders>
              <w:bottom w:val="single" w:sz="8" w:color="E5E5E5"/>
            </w:tcBorders>
          </w:tcPr>
          <w:p>
            <w:pPr>
              <w:ind w:left="20"/>
              <w:spacing w:after="0"/>
              <w:rPr>
                <w:sz w:val="20"/>
                <w:szCs w:val="20"/>
                <w:color w:val="auto"/>
              </w:rPr>
            </w:pPr>
            <w:r>
              <w:rPr>
                <w:rFonts w:ascii="Arial" w:cs="Arial" w:eastAsia="Arial" w:hAnsi="Arial"/>
                <w:sz w:val="16"/>
                <w:szCs w:val="16"/>
                <w:color w:val="auto"/>
              </w:rPr>
              <w:t>All other fees</w:t>
            </w:r>
          </w:p>
        </w:tc>
        <w:tc>
          <w:tcPr>
            <w:tcW w:w="1900" w:type="dxa"/>
            <w:vAlign w:val="bottom"/>
            <w:tcBorders>
              <w:bottom w:val="single" w:sz="8" w:color="0071CE"/>
            </w:tcBorders>
          </w:tcPr>
          <w:p>
            <w:pPr>
              <w:jc w:val="right"/>
              <w:ind w:right="3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98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0071CE"/>
            </w:tcBorders>
            <w:shd w:val="clear" w:color="auto" w:fill="E5E5E5"/>
          </w:tcPr>
          <w:p>
            <w:pPr>
              <w:jc w:val="right"/>
              <w:ind w:right="322"/>
              <w:spacing w:after="0"/>
              <w:rPr>
                <w:sz w:val="20"/>
                <w:szCs w:val="20"/>
                <w:color w:val="auto"/>
              </w:rPr>
            </w:pPr>
            <w:r>
              <w:rPr>
                <w:rFonts w:ascii="Arial" w:cs="Arial" w:eastAsia="Arial" w:hAnsi="Arial"/>
                <w:sz w:val="16"/>
                <w:szCs w:val="16"/>
                <w:color w:val="auto"/>
              </w:rPr>
              <w:t>$1,310,425</w:t>
            </w:r>
          </w:p>
        </w:tc>
        <w:tc>
          <w:tcPr>
            <w:tcW w:w="13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$1,010,000</w:t>
            </w:r>
          </w:p>
        </w:tc>
      </w:tr>
    </w:tbl>
    <w:p>
      <w:pPr>
        <w:spacing w:after="0" w:line="166" w:lineRule="exact"/>
        <w:rPr>
          <w:sz w:val="20"/>
          <w:szCs w:val="20"/>
          <w:color w:val="auto"/>
        </w:rPr>
      </w:pPr>
    </w:p>
    <w:p>
      <w:pPr>
        <w:ind w:left="340" w:right="340" w:hanging="332"/>
        <w:spacing w:after="0" w:line="305"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Fees invoiced by KPMG include year-end audit, periodic reviews of Forms 10-Q and 10-K,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1203325</wp:posOffset>
            </wp:positionV>
            <wp:extent cx="98615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206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Report of the Audit Committee</w:t>
      </w:r>
    </w:p>
    <w:p>
      <w:pPr>
        <w:spacing w:after="0" w:line="3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2025, which include the consolidated balance sheets of the Company as of September 30, 2025 and September 30, 2024, and the related consolidated statements of operations, stockholders’ equity and cash flows for the fiscal years ended September 30, 2025, September 30, 2024 and September 30, 2023, and the notes thereto.</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Review with management and independent registered public accounting firm</w:t>
      </w:r>
      <w:r>
        <w:rPr>
          <w:rFonts w:ascii="Arial" w:cs="Arial" w:eastAsia="Arial" w:hAnsi="Arial"/>
          <w:sz w:val="16"/>
          <w:szCs w:val="16"/>
          <w:color w:val="auto"/>
        </w:rPr>
        <w:t>. The Audit Committee met separately to review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audited financial statements and held discussions with management and KPMG. Management represented to the Audit Committee that the Company’s consolidated financial statements were prepared in accordance with generally accepted accounting principles. The members of the Audit Committee discussed with KPMG matters required to be discussed under the applicable standards of the Public Company Accounting Oversight Board (“PCAOB”) and the SEC. The Company’s independent registered public accounting firm also provided to the Audit Committee the written disclosures and the letter required by the applicable requirements of the PCAOB regarding the independent registered public accounting firm’s communications with the Audit Committee concerning independence and the Audit Committee discussed the firm’s independence with KPMG.</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KPMG,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KPMG to the Audit Committee, the Audit Committee recommended that the Board include the audited consolidated financial statements in the Company’s Annual Report on Form 10-K for the fiscal year ended September 30, 2025, as filed with the SEC.</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William Waddill, Committee Chair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Mauro Ferrari</w:t>
      </w:r>
    </w:p>
    <w:p>
      <w:pPr>
        <w:spacing w:after="0" w:line="211" w:lineRule="auto"/>
        <w:rPr>
          <w:sz w:val="20"/>
          <w:szCs w:val="20"/>
          <w:color w:val="auto"/>
        </w:rPr>
      </w:pPr>
      <w:r>
        <w:rPr>
          <w:rFonts w:ascii="Arial" w:cs="Arial" w:eastAsia="Arial" w:hAnsi="Arial"/>
          <w:sz w:val="16"/>
          <w:szCs w:val="16"/>
          <w:color w:val="auto"/>
        </w:rPr>
        <w:t>Mike Perry</w:t>
      </w:r>
    </w:p>
    <w:p>
      <w:pPr>
        <w:spacing w:after="0"/>
        <w:rPr>
          <w:sz w:val="20"/>
          <w:szCs w:val="20"/>
          <w:color w:val="auto"/>
        </w:rPr>
      </w:pPr>
      <w:r>
        <w:rPr>
          <w:rFonts w:ascii="Arial" w:cs="Arial" w:eastAsia="Arial" w:hAnsi="Arial"/>
          <w:sz w:val="16"/>
          <w:szCs w:val="16"/>
          <w:color w:val="auto"/>
        </w:rPr>
        <w:t>Victoria Vakiener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1228090</wp:posOffset>
            </wp:positionV>
            <wp:extent cx="98615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41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Security Ownership of Certain Beneficial Owners and Management</w:t>
      </w:r>
    </w:p>
    <w:p>
      <w:pPr>
        <w:spacing w:after="0" w:line="3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sets forth certain information regarding the ownership of the Company’s Common Stock as of January 15, 2026 (except as otherwise indicated in the footnotes to the table), by (i) each of our NEOs, (ii) each director and director nominee, (iii) all current directors and executive officers as a group, and (iv) the holders of greater than 5% of our total shares outstanding known to us.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Beneficial ownership is determined in accordance with the rules of the SEC, and thus represents voting or investment power with respect to our securities. Under such rules, beneficial ownership includes any shares over which the individual has sole or shared voting power or investment power as well as any shares that the individual has the right to acquire within 60 days after the date of this table. Unless otherwise specified in the footnotes to the table below, to our knowledge, (i) the persons and entities named in the table have sole voting and investment power with respect to all shares beneficially owned, subject to community property laws, where applicable, and (ii) the address of each stockholder is c/o Arrowhead Pharmaceuticals, Inc., 177 E. Colorado Blvd., Suite 700,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15175" cy="420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5175" cy="420370"/>
                    </a:xfrm>
                    <a:prstGeom prst="rect">
                      <a:avLst/>
                    </a:prstGeom>
                    <a:noFill/>
                  </pic:spPr>
                </pic:pic>
              </a:graphicData>
            </a:graphic>
          </wp:anchor>
        </w:drawing>
      </w:r>
    </w:p>
    <w:p>
      <w:pPr>
        <w:spacing w:after="0" w:line="25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FFFFFF"/>
        </w:rPr>
        <w:t>Number and Percentage of Shares</w:t>
      </w:r>
    </w:p>
    <w:p>
      <w:pPr>
        <w:jc w:val="center"/>
        <w:ind w:left="7660"/>
        <w:spacing w:after="0"/>
        <w:rPr>
          <w:sz w:val="20"/>
          <w:szCs w:val="20"/>
          <w:color w:val="auto"/>
        </w:rPr>
      </w:pPr>
      <w:r>
        <w:rPr>
          <w:rFonts w:ascii="Arial" w:cs="Arial" w:eastAsia="Arial" w:hAnsi="Arial"/>
          <w:sz w:val="14"/>
          <w:szCs w:val="14"/>
          <w:b w:val="1"/>
          <w:bCs w:val="1"/>
          <w:color w:val="FFFFFF"/>
        </w:rPr>
        <w:t>Beneficially Owned (1)</w:t>
      </w:r>
    </w:p>
    <w:p>
      <w:pPr>
        <w:ind w:left="8340"/>
        <w:spacing w:after="0" w:line="205" w:lineRule="auto"/>
        <w:tabs>
          <w:tab w:leader="none" w:pos="10120" w:val="left"/>
        </w:tabs>
        <w:rPr>
          <w:sz w:val="20"/>
          <w:szCs w:val="20"/>
          <w:color w:val="auto"/>
        </w:rPr>
      </w:pPr>
      <w:r>
        <w:rPr>
          <w:rFonts w:ascii="Arial" w:cs="Arial" w:eastAsia="Arial" w:hAnsi="Arial"/>
          <w:sz w:val="29"/>
          <w:szCs w:val="29"/>
          <w:b w:val="1"/>
          <w:bCs w:val="1"/>
          <w:color w:val="FFFFFF"/>
          <w:vertAlign w:val="superscript"/>
        </w:rPr>
        <w:t>Shares</w:t>
      </w:r>
      <w:r>
        <w:rPr>
          <w:sz w:val="20"/>
          <w:szCs w:val="20"/>
          <w:color w:val="auto"/>
        </w:rPr>
        <w:tab/>
      </w:r>
      <w:r>
        <w:rPr>
          <w:rFonts w:ascii="Times New Roman" w:cs="Times New Roman" w:eastAsia="Times New Roman" w:hAnsi="Times New Roman"/>
          <w:sz w:val="14"/>
          <w:szCs w:val="14"/>
          <w:b w:val="1"/>
          <w:bCs w:val="1"/>
          <w:color w:val="FFFFFF"/>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5% Beneficial Owners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BlackRock Inc (2)</w:t>
      </w:r>
    </w:p>
    <w:p>
      <w:pPr>
        <w:ind w:left="20"/>
        <w:spacing w:after="0"/>
        <w:rPr>
          <w:sz w:val="20"/>
          <w:szCs w:val="20"/>
          <w:color w:val="auto"/>
        </w:rPr>
      </w:pPr>
      <w:r>
        <w:rPr>
          <w:rFonts w:ascii="Arial" w:cs="Arial" w:eastAsia="Arial" w:hAnsi="Arial"/>
          <w:sz w:val="16"/>
          <w:szCs w:val="16"/>
          <w:color w:val="auto"/>
        </w:rPr>
        <w:t>50 Hudson Yards, New York, NY 10001</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Vanguard Group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89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100 Vanguard Blvd., Malvern, PA 19355</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Entities affiliated with Avoro Capital Advisors LLC (4)</w:t>
      </w:r>
    </w:p>
    <w:p>
      <w:pPr>
        <w:ind w:left="20"/>
        <w:spacing w:after="0"/>
        <w:rPr>
          <w:sz w:val="20"/>
          <w:szCs w:val="20"/>
          <w:color w:val="auto"/>
        </w:rPr>
      </w:pPr>
      <w:r>
        <w:rPr>
          <w:rFonts w:ascii="Arial" w:cs="Arial" w:eastAsia="Arial" w:hAnsi="Arial"/>
          <w:sz w:val="16"/>
          <w:szCs w:val="16"/>
          <w:color w:val="auto"/>
        </w:rPr>
        <w:t>110 Greene Street, Suite 800, New York, NY 10012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color w:val="auto"/>
        </w:rPr>
        <w:t>19,012,855</w:t>
      </w:r>
      <w:r>
        <w:rPr>
          <w:sz w:val="20"/>
          <w:szCs w:val="20"/>
          <w:color w:val="auto"/>
        </w:rPr>
        <w:tab/>
      </w:r>
      <w:r>
        <w:rPr>
          <w:rFonts w:ascii="Arial" w:cs="Arial" w:eastAsia="Arial" w:hAnsi="Arial"/>
          <w:sz w:val="16"/>
          <w:szCs w:val="16"/>
          <w:color w:val="auto"/>
        </w:rPr>
        <w:t>13.1%</w:t>
      </w:r>
    </w:p>
    <w:p>
      <w:pPr>
        <w:spacing w:after="0" w:line="208"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color w:val="auto"/>
        </w:rPr>
        <w:t>15,525,072</w:t>
      </w:r>
      <w:r>
        <w:rPr>
          <w:sz w:val="20"/>
          <w:szCs w:val="20"/>
          <w:color w:val="auto"/>
        </w:rPr>
        <w:tab/>
      </w:r>
      <w:r>
        <w:rPr>
          <w:rFonts w:ascii="Arial" w:cs="Arial" w:eastAsia="Arial" w:hAnsi="Arial"/>
          <w:sz w:val="16"/>
          <w:szCs w:val="16"/>
          <w:color w:val="auto"/>
        </w:rPr>
        <w:t>10.7%</w:t>
      </w:r>
    </w:p>
    <w:p>
      <w:pPr>
        <w:spacing w:after="0" w:line="194" w:lineRule="exact"/>
        <w:rPr>
          <w:sz w:val="20"/>
          <w:szCs w:val="20"/>
          <w:color w:val="auto"/>
        </w:rPr>
      </w:pPr>
    </w:p>
    <w:p>
      <w:pPr>
        <w:spacing w:after="0"/>
        <w:tabs>
          <w:tab w:leader="none" w:pos="2020" w:val="left"/>
        </w:tabs>
        <w:rPr>
          <w:sz w:val="20"/>
          <w:szCs w:val="20"/>
          <w:color w:val="auto"/>
        </w:rPr>
      </w:pPr>
      <w:r>
        <w:rPr>
          <w:rFonts w:ascii="Arial" w:cs="Arial" w:eastAsia="Arial" w:hAnsi="Arial"/>
          <w:sz w:val="15"/>
          <w:szCs w:val="15"/>
          <w:color w:val="auto"/>
        </w:rPr>
        <w:t>13,985,269</w:t>
      </w:r>
      <w:r>
        <w:rPr>
          <w:sz w:val="20"/>
          <w:szCs w:val="20"/>
          <w:color w:val="auto"/>
        </w:rPr>
        <w:tab/>
      </w:r>
      <w:r>
        <w:rPr>
          <w:rFonts w:ascii="Arial" w:cs="Arial" w:eastAsia="Arial" w:hAnsi="Arial"/>
          <w:sz w:val="15"/>
          <w:szCs w:val="15"/>
          <w:color w:val="auto"/>
        </w:rPr>
        <w:t>9.7%</w:t>
      </w:r>
    </w:p>
    <w:p>
      <w:pPr>
        <w:spacing w:after="0" w:line="266" w:lineRule="exact"/>
        <w:rPr>
          <w:sz w:val="20"/>
          <w:szCs w:val="20"/>
          <w:color w:val="auto"/>
        </w:rPr>
      </w:pPr>
    </w:p>
    <w:p>
      <w:pPr>
        <w:sectPr>
          <w:pgSz w:w="11900" w:h="16838" w:orient="portrait"/>
          <w:cols w:equalWidth="0" w:num="2">
            <w:col w:w="7860" w:space="720"/>
            <w:col w:w="2660"/>
          </w:cols>
          <w:pgMar w:left="320" w:top="21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720" w:type="dxa"/>
            <w:vAlign w:val="bottom"/>
          </w:tcPr>
          <w:p>
            <w:pPr>
              <w:ind w:left="440"/>
              <w:spacing w:after="0"/>
              <w:rPr>
                <w:sz w:val="20"/>
                <w:szCs w:val="20"/>
                <w:color w:val="auto"/>
              </w:rPr>
            </w:pPr>
            <w:r>
              <w:rPr>
                <w:rFonts w:ascii="Arial" w:cs="Arial" w:eastAsia="Arial" w:hAnsi="Arial"/>
                <w:sz w:val="16"/>
                <w:szCs w:val="16"/>
                <w:color w:val="auto"/>
              </w:rPr>
              <w:t>Christopher Anzalone (5)</w:t>
            </w:r>
          </w:p>
        </w:tc>
        <w:tc>
          <w:tcPr>
            <w:tcW w:w="1680" w:type="dxa"/>
            <w:vAlign w:val="bottom"/>
          </w:tcPr>
          <w:p>
            <w:pPr>
              <w:jc w:val="right"/>
              <w:spacing w:after="0"/>
              <w:rPr>
                <w:sz w:val="20"/>
                <w:szCs w:val="20"/>
                <w:color w:val="auto"/>
              </w:rPr>
            </w:pPr>
            <w:r>
              <w:rPr>
                <w:rFonts w:ascii="Arial" w:cs="Arial" w:eastAsia="Arial" w:hAnsi="Arial"/>
                <w:sz w:val="16"/>
                <w:szCs w:val="16"/>
                <w:color w:val="auto"/>
              </w:rPr>
              <w:t>3,792,739</w:t>
            </w:r>
          </w:p>
        </w:tc>
        <w:tc>
          <w:tcPr>
            <w:tcW w:w="14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2.6%</w:t>
            </w:r>
          </w:p>
        </w:tc>
      </w:tr>
      <w:tr>
        <w:trPr>
          <w:trHeight w:val="216"/>
        </w:trPr>
        <w:tc>
          <w:tcPr>
            <w:tcW w:w="7720" w:type="dxa"/>
            <w:vAlign w:val="bottom"/>
            <w:shd w:val="clear" w:color="auto" w:fill="E5E5E5"/>
          </w:tcPr>
          <w:p>
            <w:pPr>
              <w:ind w:left="440"/>
              <w:spacing w:after="0"/>
              <w:rPr>
                <w:sz w:val="20"/>
                <w:szCs w:val="20"/>
                <w:color w:val="auto"/>
              </w:rPr>
            </w:pPr>
            <w:r>
              <w:rPr>
                <w:rFonts w:ascii="Arial" w:cs="Arial" w:eastAsia="Arial" w:hAnsi="Arial"/>
                <w:sz w:val="16"/>
                <w:szCs w:val="16"/>
                <w:color w:val="auto"/>
              </w:rPr>
              <w:t>Patrick O’Brien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547,408</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440"/>
              <w:spacing w:after="0"/>
              <w:rPr>
                <w:sz w:val="20"/>
                <w:szCs w:val="20"/>
                <w:color w:val="auto"/>
              </w:rPr>
            </w:pPr>
            <w:r>
              <w:rPr>
                <w:rFonts w:ascii="Arial" w:cs="Arial" w:eastAsia="Arial" w:hAnsi="Arial"/>
                <w:sz w:val="16"/>
                <w:szCs w:val="16"/>
                <w:color w:val="auto"/>
              </w:rPr>
              <w:t>James Hamilton</w:t>
            </w:r>
          </w:p>
        </w:tc>
        <w:tc>
          <w:tcPr>
            <w:tcW w:w="1680" w:type="dxa"/>
            <w:vAlign w:val="bottom"/>
          </w:tcPr>
          <w:p>
            <w:pPr>
              <w:jc w:val="right"/>
              <w:spacing w:after="0"/>
              <w:rPr>
                <w:sz w:val="20"/>
                <w:szCs w:val="20"/>
                <w:color w:val="auto"/>
              </w:rPr>
            </w:pPr>
            <w:r>
              <w:rPr>
                <w:rFonts w:ascii="Arial" w:cs="Arial" w:eastAsia="Arial" w:hAnsi="Arial"/>
                <w:sz w:val="16"/>
                <w:szCs w:val="16"/>
                <w:color w:val="auto"/>
              </w:rPr>
              <w:t>246,958</w:t>
            </w:r>
          </w:p>
        </w:tc>
        <w:tc>
          <w:tcPr>
            <w:tcW w:w="14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shd w:val="clear" w:color="auto" w:fill="E5E5E5"/>
          </w:tcPr>
          <w:p>
            <w:pPr>
              <w:ind w:left="440"/>
              <w:spacing w:after="0"/>
              <w:rPr>
                <w:sz w:val="20"/>
                <w:szCs w:val="20"/>
                <w:color w:val="auto"/>
              </w:rPr>
            </w:pPr>
            <w:r>
              <w:rPr>
                <w:rFonts w:ascii="Arial" w:cs="Arial" w:eastAsia="Arial" w:hAnsi="Arial"/>
                <w:sz w:val="16"/>
                <w:szCs w:val="16"/>
                <w:color w:val="auto"/>
              </w:rPr>
              <w:t>Daniel Apel</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176,200</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440"/>
              <w:spacing w:after="0"/>
              <w:rPr>
                <w:sz w:val="20"/>
                <w:szCs w:val="20"/>
                <w:color w:val="auto"/>
              </w:rPr>
            </w:pPr>
            <w:r>
              <w:rPr>
                <w:rFonts w:ascii="Arial" w:cs="Arial" w:eastAsia="Arial" w:hAnsi="Arial"/>
                <w:sz w:val="16"/>
                <w:szCs w:val="16"/>
                <w:color w:val="auto"/>
              </w:rPr>
              <w:t>Michael S. Perry (6)</w:t>
            </w:r>
          </w:p>
        </w:tc>
        <w:tc>
          <w:tcPr>
            <w:tcW w:w="1680" w:type="dxa"/>
            <w:vAlign w:val="bottom"/>
          </w:tcPr>
          <w:p>
            <w:pPr>
              <w:jc w:val="right"/>
              <w:spacing w:after="0"/>
              <w:rPr>
                <w:sz w:val="20"/>
                <w:szCs w:val="20"/>
                <w:color w:val="auto"/>
              </w:rPr>
            </w:pPr>
            <w:r>
              <w:rPr>
                <w:rFonts w:ascii="Arial" w:cs="Arial" w:eastAsia="Arial" w:hAnsi="Arial"/>
                <w:sz w:val="16"/>
                <w:szCs w:val="16"/>
                <w:color w:val="auto"/>
              </w:rPr>
              <w:t>127,652</w:t>
            </w:r>
          </w:p>
        </w:tc>
        <w:tc>
          <w:tcPr>
            <w:tcW w:w="14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shd w:val="clear" w:color="auto" w:fill="E5E5E5"/>
          </w:tcPr>
          <w:p>
            <w:pPr>
              <w:ind w:left="440"/>
              <w:spacing w:after="0"/>
              <w:rPr>
                <w:sz w:val="20"/>
                <w:szCs w:val="20"/>
                <w:color w:val="auto"/>
              </w:rPr>
            </w:pPr>
            <w:r>
              <w:rPr>
                <w:rFonts w:ascii="Arial" w:cs="Arial" w:eastAsia="Arial" w:hAnsi="Arial"/>
                <w:sz w:val="16"/>
                <w:szCs w:val="16"/>
                <w:color w:val="auto"/>
              </w:rPr>
              <w:t>Mauro Ferrari (6)</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73,646</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440"/>
              <w:spacing w:after="0"/>
              <w:rPr>
                <w:sz w:val="20"/>
                <w:szCs w:val="20"/>
                <w:color w:val="auto"/>
              </w:rPr>
            </w:pPr>
            <w:r>
              <w:rPr>
                <w:rFonts w:ascii="Arial" w:cs="Arial" w:eastAsia="Arial" w:hAnsi="Arial"/>
                <w:sz w:val="16"/>
                <w:szCs w:val="16"/>
                <w:color w:val="auto"/>
              </w:rPr>
              <w:t>William Waddill (6)</w:t>
            </w:r>
          </w:p>
        </w:tc>
        <w:tc>
          <w:tcPr>
            <w:tcW w:w="1680" w:type="dxa"/>
            <w:vAlign w:val="bottom"/>
          </w:tcPr>
          <w:p>
            <w:pPr>
              <w:jc w:val="right"/>
              <w:spacing w:after="0"/>
              <w:rPr>
                <w:sz w:val="20"/>
                <w:szCs w:val="20"/>
                <w:color w:val="auto"/>
              </w:rPr>
            </w:pPr>
            <w:r>
              <w:rPr>
                <w:rFonts w:ascii="Arial" w:cs="Arial" w:eastAsia="Arial" w:hAnsi="Arial"/>
                <w:sz w:val="16"/>
                <w:szCs w:val="16"/>
                <w:color w:val="auto"/>
              </w:rPr>
              <w:t>61,156</w:t>
            </w:r>
          </w:p>
        </w:tc>
        <w:tc>
          <w:tcPr>
            <w:tcW w:w="14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shd w:val="clear" w:color="auto" w:fill="E5E5E5"/>
          </w:tcPr>
          <w:p>
            <w:pPr>
              <w:ind w:left="440"/>
              <w:spacing w:after="0"/>
              <w:rPr>
                <w:sz w:val="20"/>
                <w:szCs w:val="20"/>
                <w:color w:val="auto"/>
              </w:rPr>
            </w:pPr>
            <w:r>
              <w:rPr>
                <w:rFonts w:ascii="Arial" w:cs="Arial" w:eastAsia="Arial" w:hAnsi="Arial"/>
                <w:sz w:val="16"/>
                <w:szCs w:val="16"/>
                <w:color w:val="auto"/>
              </w:rPr>
              <w:t>Hongbo Lu (7)</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63,009</w:t>
            </w:r>
          </w:p>
        </w:tc>
        <w:tc>
          <w:tcPr>
            <w:tcW w:w="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440"/>
              <w:spacing w:after="0"/>
              <w:rPr>
                <w:sz w:val="20"/>
                <w:szCs w:val="20"/>
                <w:color w:val="auto"/>
              </w:rPr>
            </w:pPr>
            <w:r>
              <w:rPr>
                <w:rFonts w:ascii="Arial" w:cs="Arial" w:eastAsia="Arial" w:hAnsi="Arial"/>
                <w:sz w:val="16"/>
                <w:szCs w:val="16"/>
                <w:color w:val="auto"/>
              </w:rPr>
              <w:t>Douglas Ingram (8)</w:t>
            </w:r>
          </w:p>
        </w:tc>
        <w:tc>
          <w:tcPr>
            <w:tcW w:w="1680" w:type="dxa"/>
            <w:vAlign w:val="bottom"/>
          </w:tcPr>
          <w:p>
            <w:pPr>
              <w:jc w:val="right"/>
              <w:spacing w:after="0"/>
              <w:rPr>
                <w:sz w:val="20"/>
                <w:szCs w:val="20"/>
                <w:color w:val="auto"/>
              </w:rPr>
            </w:pPr>
            <w:r>
              <w:rPr>
                <w:rFonts w:ascii="Arial" w:cs="Arial" w:eastAsia="Arial" w:hAnsi="Arial"/>
                <w:sz w:val="16"/>
                <w:szCs w:val="16"/>
                <w:color w:val="auto"/>
              </w:rPr>
              <w:t>59,016</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7"/>
        </w:trPr>
        <w:tc>
          <w:tcPr>
            <w:tcW w:w="7720" w:type="dxa"/>
            <w:vAlign w:val="bottom"/>
            <w:shd w:val="clear" w:color="auto" w:fill="E5E5E5"/>
          </w:tcPr>
          <w:p>
            <w:pPr>
              <w:ind w:left="440"/>
              <w:spacing w:after="0"/>
              <w:rPr>
                <w:sz w:val="20"/>
                <w:szCs w:val="20"/>
                <w:color w:val="auto"/>
              </w:rPr>
            </w:pPr>
            <w:r>
              <w:rPr>
                <w:rFonts w:ascii="Arial" w:cs="Arial" w:eastAsia="Arial" w:hAnsi="Arial"/>
                <w:sz w:val="16"/>
                <w:szCs w:val="16"/>
                <w:color w:val="auto"/>
              </w:rPr>
              <w:t>Victoria Vakiener (6)</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40,316</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440"/>
              <w:spacing w:after="0"/>
              <w:rPr>
                <w:sz w:val="20"/>
                <w:szCs w:val="20"/>
                <w:color w:val="auto"/>
              </w:rPr>
            </w:pPr>
            <w:r>
              <w:rPr>
                <w:rFonts w:ascii="Arial" w:cs="Arial" w:eastAsia="Arial" w:hAnsi="Arial"/>
                <w:sz w:val="16"/>
                <w:szCs w:val="16"/>
                <w:color w:val="auto"/>
              </w:rPr>
              <w:t>Adeoye Olukotun (6)</w:t>
            </w:r>
          </w:p>
        </w:tc>
        <w:tc>
          <w:tcPr>
            <w:tcW w:w="1680" w:type="dxa"/>
            <w:vAlign w:val="bottom"/>
          </w:tcPr>
          <w:p>
            <w:pPr>
              <w:jc w:val="right"/>
              <w:spacing w:after="0"/>
              <w:rPr>
                <w:sz w:val="20"/>
                <w:szCs w:val="20"/>
                <w:color w:val="auto"/>
              </w:rPr>
            </w:pPr>
            <w:r>
              <w:rPr>
                <w:rFonts w:ascii="Arial" w:cs="Arial" w:eastAsia="Arial" w:hAnsi="Arial"/>
                <w:sz w:val="16"/>
                <w:szCs w:val="16"/>
                <w:color w:val="auto"/>
              </w:rPr>
              <w:t>38,193</w:t>
            </w:r>
          </w:p>
        </w:tc>
        <w:tc>
          <w:tcPr>
            <w:tcW w:w="14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r>
      <w:tr>
        <w:trPr>
          <w:trHeight w:val="215"/>
        </w:trPr>
        <w:tc>
          <w:tcPr>
            <w:tcW w:w="7720" w:type="dxa"/>
            <w:vAlign w:val="bottom"/>
            <w:tcBorders>
              <w:bottom w:val="single" w:sz="8" w:color="0071CE"/>
            </w:tcBorders>
          </w:tcPr>
          <w:p>
            <w:pPr>
              <w:ind w:left="440"/>
              <w:spacing w:after="0"/>
              <w:rPr>
                <w:sz w:val="20"/>
                <w:szCs w:val="20"/>
                <w:color w:val="auto"/>
              </w:rPr>
            </w:pPr>
            <w:r>
              <w:rPr>
                <w:rFonts w:ascii="Arial" w:cs="Arial" w:eastAsia="Arial" w:hAnsi="Arial"/>
                <w:sz w:val="16"/>
                <w:szCs w:val="16"/>
                <w:color w:val="auto"/>
              </w:rPr>
              <w:t>All current Executive Officers and Directors as a group (11 persons) (9)</w:t>
            </w:r>
          </w:p>
        </w:tc>
        <w:tc>
          <w:tcPr>
            <w:tcW w:w="1680" w:type="dxa"/>
            <w:vAlign w:val="bottom"/>
            <w:tcBorders>
              <w:bottom w:val="single" w:sz="8" w:color="3051F2"/>
            </w:tcBorders>
          </w:tcPr>
          <w:p>
            <w:pPr>
              <w:jc w:val="right"/>
              <w:spacing w:after="0"/>
              <w:rPr>
                <w:sz w:val="20"/>
                <w:szCs w:val="20"/>
                <w:color w:val="auto"/>
              </w:rPr>
            </w:pPr>
            <w:r>
              <w:rPr>
                <w:rFonts w:ascii="Arial" w:cs="Arial" w:eastAsia="Arial" w:hAnsi="Arial"/>
                <w:sz w:val="16"/>
                <w:szCs w:val="16"/>
                <w:color w:val="auto"/>
              </w:rPr>
              <w:t>5,226,293</w:t>
            </w:r>
          </w:p>
        </w:tc>
        <w:tc>
          <w:tcPr>
            <w:tcW w:w="140" w:type="dxa"/>
            <w:vAlign w:val="bottom"/>
            <w:tcBorders>
              <w:bottom w:val="single" w:sz="8" w:color="0071CE"/>
            </w:tcBorders>
          </w:tcPr>
          <w:p>
            <w:pPr>
              <w:spacing w:after="0"/>
              <w:rPr>
                <w:sz w:val="18"/>
                <w:szCs w:val="18"/>
                <w:color w:val="auto"/>
              </w:rPr>
            </w:pPr>
          </w:p>
        </w:tc>
        <w:tc>
          <w:tcPr>
            <w:tcW w:w="1680" w:type="dxa"/>
            <w:vAlign w:val="bottom"/>
            <w:tcBorders>
              <w:bottom w:val="single" w:sz="8" w:color="3051F2"/>
            </w:tcBorders>
          </w:tcPr>
          <w:p>
            <w:pPr>
              <w:jc w:val="right"/>
              <w:ind w:right="159"/>
              <w:spacing w:after="0"/>
              <w:rPr>
                <w:sz w:val="20"/>
                <w:szCs w:val="20"/>
                <w:color w:val="auto"/>
              </w:rPr>
            </w:pPr>
            <w:r>
              <w:rPr>
                <w:rFonts w:ascii="Arial" w:cs="Arial" w:eastAsia="Arial" w:hAnsi="Arial"/>
                <w:sz w:val="16"/>
                <w:szCs w:val="16"/>
                <w:color w:val="auto"/>
              </w:rPr>
              <w:t>3.6%</w:t>
            </w:r>
          </w:p>
        </w:tc>
      </w:tr>
    </w:tbl>
    <w:p>
      <w:pPr>
        <w:spacing w:after="0" w:line="166"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jc w:val="both"/>
        <w:ind w:left="340" w:hanging="332"/>
        <w:spacing w:after="0" w:line="26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142,262,493 shares of Common Stock issued and outstanding as of January 15, 2026. Shares not outstanding but deemed beneficially owned by virtue of the right of a person to acquire them as of January 15, 2026, or within sixty days of such date are treated as outstanding only when determining the percentage owned by such individual and when determining the percentage owned by the group.</w:t>
      </w:r>
    </w:p>
    <w:p>
      <w:pPr>
        <w:spacing w:after="0" w:line="1" w:lineRule="exact"/>
        <w:rPr>
          <w:rFonts w:ascii="Arial" w:cs="Arial" w:eastAsia="Arial" w:hAnsi="Arial"/>
          <w:sz w:val="14"/>
          <w:szCs w:val="14"/>
          <w:color w:val="auto"/>
        </w:rPr>
      </w:pPr>
    </w:p>
    <w:p>
      <w:pPr>
        <w:ind w:left="340" w:right="180" w:hanging="332"/>
        <w:spacing w:after="0" w:line="26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Amendment No. 3 to Schedule 13G filed April 23, 2025. According to Amendment No. 3, BlackRock Inc. has sole voting power and sole dispositive power over 18,877,477 shares and 19,012,855 shares, respectively.</w:t>
      </w:r>
    </w:p>
    <w:p>
      <w:pPr>
        <w:ind w:left="340" w:right="40" w:hanging="332"/>
        <w:spacing w:after="0" w:line="25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Amendment No. 8 to Schedule 13G filed July 29, 2025. According to Amendment No. 8, The Vanguard Group has sole dispositive power over 15,243,118 shares and has shared voting power and shared dispositive power over 142,962 shares and 281,954 shares, respectively.</w:t>
      </w:r>
    </w:p>
    <w:p>
      <w:pPr>
        <w:ind w:left="340" w:right="400" w:hanging="332"/>
        <w:spacing w:after="0" w:line="264"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Amendment No. 2 to Schedule 13G filed August 14, 2025. Includes 917,441 shares of Common Stock issuable upon the exercise of warrants. According to Amendment No. 2, Avoro Capital Advisors LLC and Behzad Aghazadeh, who serves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483870</wp:posOffset>
            </wp:positionV>
            <wp:extent cx="986155"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45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right="60"/>
        <w:spacing w:after="0" w:line="251" w:lineRule="auto"/>
        <w:rPr>
          <w:sz w:val="20"/>
          <w:szCs w:val="20"/>
          <w:color w:val="auto"/>
        </w:rPr>
      </w:pPr>
      <w:r>
        <w:rPr>
          <w:rFonts w:ascii="Arial" w:cs="Arial" w:eastAsia="Arial" w:hAnsi="Arial"/>
          <w:sz w:val="14"/>
          <w:szCs w:val="14"/>
          <w:color w:val="auto"/>
        </w:rPr>
        <w:t>the portfolio manager and controlling person of Avoro Capital Advisors LLC, have sole voting power and sole dispositive power over 11,517,441 shares. Subsequent to the Amendment No. 2 to Schedule 13G filing, Avoro Capital Advisors LLC received additional warrants that can be exercised to receive 1,550,387 shares of Common Stock.</w:t>
      </w:r>
    </w:p>
    <w:p>
      <w:pPr>
        <w:spacing w:after="0" w:line="1"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Chris Anzalone has pledged 1,192,897 shares of Common Stock as collateral for a line of credit.</w:t>
      </w:r>
    </w:p>
    <w:p>
      <w:pPr>
        <w:spacing w:after="0" w:line="1" w:lineRule="exact"/>
        <w:rPr>
          <w:rFonts w:ascii="Arial" w:cs="Arial" w:eastAsia="Arial" w:hAnsi="Arial"/>
          <w:sz w:val="14"/>
          <w:szCs w:val="14"/>
          <w:color w:val="auto"/>
        </w:rPr>
      </w:pPr>
    </w:p>
    <w:p>
      <w:pPr>
        <w:ind w:left="320" w:hanging="312"/>
        <w:spacing w:after="0" w:line="221" w:lineRule="auto"/>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4,593 shares of Common Stock issuable upon the exercise of options exercisable as of January 15, 2026 or within 60 days of January 15, 2026.</w:t>
      </w: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8,027 shares of RSUs that vest within 60 days of January 15, 2026.</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12,801 shares of RSUs that vest within 60 days of January 15, 2026.</w:t>
      </w:r>
    </w:p>
    <w:p>
      <w:pPr>
        <w:spacing w:after="0" w:line="1" w:lineRule="exact"/>
        <w:rPr>
          <w:rFonts w:ascii="Arial" w:cs="Arial" w:eastAsia="Arial" w:hAnsi="Arial"/>
          <w:sz w:val="14"/>
          <w:szCs w:val="14"/>
          <w:color w:val="auto"/>
        </w:rPr>
      </w:pPr>
    </w:p>
    <w:p>
      <w:pPr>
        <w:ind w:left="340" w:right="340" w:hanging="332"/>
        <w:spacing w:after="0" w:line="264" w:lineRule="auto"/>
        <w:tabs>
          <w:tab w:leader="none" w:pos="327"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22,965 shares of Common Stock issuable upon the exercise of options exercisable as of January 15, 2026 or within 60 days of January 15, 2026, and 20,828 shares of RSUs that vest within 60 days of January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492125</wp:posOffset>
            </wp:positionV>
            <wp:extent cx="98615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269" w:lineRule="exact"/>
        <w:rPr>
          <w:sz w:val="20"/>
          <w:szCs w:val="20"/>
          <w:color w:val="auto"/>
        </w:rPr>
      </w:pPr>
    </w:p>
    <w:p>
      <w:pPr>
        <w:ind w:right="620"/>
        <w:spacing w:after="0" w:line="251" w:lineRule="auto"/>
        <w:rPr>
          <w:sz w:val="20"/>
          <w:szCs w:val="20"/>
          <w:color w:val="auto"/>
        </w:rPr>
      </w:pPr>
      <w:r>
        <w:rPr>
          <w:rFonts w:ascii="Arial" w:cs="Arial" w:eastAsia="Arial" w:hAnsi="Arial"/>
          <w:sz w:val="16"/>
          <w:szCs w:val="16"/>
          <w:color w:val="auto"/>
        </w:rPr>
        <w:t>The following table provides information as of September 30, 2025 with respect to shares of our Common Stock that may be issued under our equity compensation plans.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shd w:val="clear" w:color="auto" w:fill="0071CE"/>
          </w:tcPr>
          <w:p>
            <w:pPr>
              <w:spacing w:after="0"/>
              <w:rPr>
                <w:sz w:val="20"/>
                <w:szCs w:val="20"/>
                <w:color w:val="auto"/>
              </w:rPr>
            </w:pPr>
          </w:p>
        </w:tc>
        <w:tc>
          <w:tcPr>
            <w:tcW w:w="5740" w:type="dxa"/>
            <w:vAlign w:val="bottom"/>
            <w:gridSpan w:val="3"/>
            <w:shd w:val="clear" w:color="auto" w:fill="0071CE"/>
          </w:tcPr>
          <w:p>
            <w:pPr>
              <w:jc w:val="right"/>
              <w:ind w:right="1459"/>
              <w:spacing w:after="0"/>
              <w:rPr>
                <w:sz w:val="20"/>
                <w:szCs w:val="20"/>
                <w:color w:val="auto"/>
              </w:rPr>
            </w:pPr>
            <w:r>
              <w:rPr>
                <w:rFonts w:ascii="Arial" w:cs="Arial" w:eastAsia="Arial" w:hAnsi="Arial"/>
                <w:sz w:val="14"/>
                <w:szCs w:val="14"/>
                <w:b w:val="1"/>
                <w:bCs w:val="1"/>
                <w:color w:val="FFFFFF"/>
              </w:rPr>
              <w:t>Equity Compensation Plan Information</w:t>
            </w:r>
          </w:p>
        </w:tc>
        <w:tc>
          <w:tcPr>
            <w:tcW w:w="0" w:type="dxa"/>
            <w:vAlign w:val="bottom"/>
          </w:tcPr>
          <w:p>
            <w:pPr>
              <w:spacing w:after="0"/>
              <w:rPr>
                <w:sz w:val="1"/>
                <w:szCs w:val="1"/>
                <w:color w:val="auto"/>
              </w:rPr>
            </w:pPr>
          </w:p>
        </w:tc>
      </w:tr>
      <w:tr>
        <w:trPr>
          <w:trHeight w:val="407"/>
        </w:trPr>
        <w:tc>
          <w:tcPr>
            <w:tcW w:w="5480" w:type="dxa"/>
            <w:vAlign w:val="bottom"/>
            <w:shd w:val="clear" w:color="auto" w:fill="0071CE"/>
          </w:tcPr>
          <w:p>
            <w:pPr>
              <w:spacing w:after="0"/>
              <w:rPr>
                <w:sz w:val="24"/>
                <w:szCs w:val="24"/>
                <w:color w:val="auto"/>
              </w:rPr>
            </w:pPr>
          </w:p>
        </w:tc>
        <w:tc>
          <w:tcPr>
            <w:tcW w:w="1820" w:type="dxa"/>
            <w:vAlign w:val="bottom"/>
            <w:shd w:val="clear" w:color="auto" w:fill="0071CE"/>
          </w:tcPr>
          <w:p>
            <w:pPr>
              <w:jc w:val="center"/>
              <w:ind w:right="80"/>
              <w:spacing w:after="0"/>
              <w:rPr>
                <w:sz w:val="20"/>
                <w:szCs w:val="20"/>
                <w:color w:val="auto"/>
              </w:rPr>
            </w:pPr>
            <w:r>
              <w:rPr>
                <w:rFonts w:ascii="Arial" w:cs="Arial" w:eastAsia="Arial" w:hAnsi="Arial"/>
                <w:sz w:val="16"/>
                <w:szCs w:val="16"/>
                <w:b w:val="1"/>
                <w:bCs w:val="1"/>
                <w:color w:val="FFFFFF"/>
              </w:rPr>
              <w:t>Number of</w:t>
            </w:r>
          </w:p>
        </w:tc>
        <w:tc>
          <w:tcPr>
            <w:tcW w:w="1500" w:type="dxa"/>
            <w:vAlign w:val="bottom"/>
            <w:shd w:val="clear" w:color="auto" w:fill="0071CE"/>
          </w:tcPr>
          <w:p>
            <w:pPr>
              <w:spacing w:after="0"/>
              <w:rPr>
                <w:sz w:val="24"/>
                <w:szCs w:val="24"/>
                <w:color w:val="auto"/>
              </w:rPr>
            </w:pPr>
          </w:p>
        </w:tc>
        <w:tc>
          <w:tcPr>
            <w:tcW w:w="242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100"/>
              <w:spacing w:after="0" w:line="162" w:lineRule="exact"/>
              <w:rPr>
                <w:sz w:val="20"/>
                <w:szCs w:val="20"/>
                <w:color w:val="auto"/>
              </w:rPr>
            </w:pPr>
            <w:r>
              <w:rPr>
                <w:rFonts w:ascii="Arial" w:cs="Arial" w:eastAsia="Arial" w:hAnsi="Arial"/>
                <w:sz w:val="16"/>
                <w:szCs w:val="16"/>
                <w:b w:val="1"/>
                <w:bCs w:val="1"/>
                <w:color w:val="FFFFFF"/>
              </w:rPr>
              <w:t>shares to</w:t>
            </w:r>
          </w:p>
        </w:tc>
        <w:tc>
          <w:tcPr>
            <w:tcW w:w="150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Weighted</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securities</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80"/>
              <w:spacing w:after="0" w:line="162" w:lineRule="exact"/>
              <w:rPr>
                <w:sz w:val="20"/>
                <w:szCs w:val="20"/>
                <w:color w:val="auto"/>
              </w:rPr>
            </w:pPr>
            <w:r>
              <w:rPr>
                <w:rFonts w:ascii="Arial" w:cs="Arial" w:eastAsia="Arial" w:hAnsi="Arial"/>
                <w:sz w:val="16"/>
                <w:szCs w:val="16"/>
                <w:b w:val="1"/>
                <w:bCs w:val="1"/>
                <w:color w:val="FFFFFF"/>
              </w:rPr>
              <w:t>be issued</w:t>
            </w:r>
          </w:p>
        </w:tc>
        <w:tc>
          <w:tcPr>
            <w:tcW w:w="1500" w:type="dxa"/>
            <w:vAlign w:val="bottom"/>
            <w:vMerge w:val="continue"/>
            <w:shd w:val="clear" w:color="auto" w:fill="0071CE"/>
          </w:tcPr>
          <w:p>
            <w:pPr>
              <w:spacing w:after="0"/>
              <w:rPr>
                <w:sz w:val="14"/>
                <w:szCs w:val="14"/>
                <w:color w:val="auto"/>
              </w:rPr>
            </w:pP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remaining</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80"/>
              <w:spacing w:after="0" w:line="162" w:lineRule="exact"/>
              <w:rPr>
                <w:sz w:val="20"/>
                <w:szCs w:val="20"/>
                <w:color w:val="auto"/>
              </w:rPr>
            </w:pPr>
            <w:r>
              <w:rPr>
                <w:rFonts w:ascii="Arial" w:cs="Arial" w:eastAsia="Arial" w:hAnsi="Arial"/>
                <w:sz w:val="16"/>
                <w:szCs w:val="16"/>
                <w:b w:val="1"/>
                <w:bCs w:val="1"/>
                <w:color w:val="FFFFFF"/>
                <w:w w:val="97"/>
              </w:rPr>
              <w:t>upon</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average</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available for</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80"/>
              <w:spacing w:after="0" w:line="162" w:lineRule="exact"/>
              <w:rPr>
                <w:sz w:val="20"/>
                <w:szCs w:val="20"/>
                <w:color w:val="auto"/>
              </w:rPr>
            </w:pPr>
            <w:r>
              <w:rPr>
                <w:rFonts w:ascii="Arial" w:cs="Arial" w:eastAsia="Arial" w:hAnsi="Arial"/>
                <w:sz w:val="16"/>
                <w:szCs w:val="16"/>
                <w:b w:val="1"/>
                <w:bCs w:val="1"/>
                <w:color w:val="FFFFFF"/>
              </w:rPr>
              <w:t>exercise of</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exercise price</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future issuance</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80"/>
              <w:spacing w:after="0" w:line="162" w:lineRule="exact"/>
              <w:rPr>
                <w:sz w:val="20"/>
                <w:szCs w:val="20"/>
                <w:color w:val="auto"/>
              </w:rPr>
            </w:pPr>
            <w:r>
              <w:rPr>
                <w:rFonts w:ascii="Arial" w:cs="Arial" w:eastAsia="Arial" w:hAnsi="Arial"/>
                <w:sz w:val="16"/>
                <w:szCs w:val="16"/>
                <w:b w:val="1"/>
                <w:bCs w:val="1"/>
                <w:color w:val="FFFFFF"/>
              </w:rPr>
              <w:t>outstanding</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of outstanding</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under equity</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80"/>
              <w:spacing w:after="0" w:line="162" w:lineRule="exact"/>
              <w:rPr>
                <w:sz w:val="20"/>
                <w:szCs w:val="20"/>
                <w:color w:val="auto"/>
              </w:rPr>
            </w:pPr>
            <w:r>
              <w:rPr>
                <w:rFonts w:ascii="Arial" w:cs="Arial" w:eastAsia="Arial" w:hAnsi="Arial"/>
                <w:sz w:val="16"/>
                <w:szCs w:val="16"/>
                <w:b w:val="1"/>
                <w:bCs w:val="1"/>
                <w:color w:val="FFFFFF"/>
                <w:w w:val="99"/>
              </w:rPr>
              <w:t>options,</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options,</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80"/>
              <w:spacing w:after="0" w:line="162" w:lineRule="exact"/>
              <w:rPr>
                <w:sz w:val="20"/>
                <w:szCs w:val="20"/>
                <w:color w:val="auto"/>
              </w:rPr>
            </w:pPr>
            <w:r>
              <w:rPr>
                <w:rFonts w:ascii="Arial" w:cs="Arial" w:eastAsia="Arial" w:hAnsi="Arial"/>
                <w:sz w:val="16"/>
                <w:szCs w:val="16"/>
                <w:b w:val="1"/>
                <w:bCs w:val="1"/>
                <w:color w:val="FFFFFF"/>
                <w:w w:val="98"/>
              </w:rPr>
              <w:t>warrants</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warrants and</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plans (excluding securities</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80"/>
              <w:spacing w:after="0" w:line="162" w:lineRule="exact"/>
              <w:rPr>
                <w:sz w:val="20"/>
                <w:szCs w:val="20"/>
                <w:color w:val="auto"/>
              </w:rPr>
            </w:pPr>
            <w:r>
              <w:rPr>
                <w:rFonts w:ascii="Arial" w:cs="Arial" w:eastAsia="Arial" w:hAnsi="Arial"/>
                <w:sz w:val="16"/>
                <w:szCs w:val="16"/>
                <w:b w:val="1"/>
                <w:bCs w:val="1"/>
                <w:color w:val="FFFFFF"/>
              </w:rPr>
              <w:t>and rights</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w w:val="98"/>
              </w:rPr>
              <w:t>rights</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reflected in</w:t>
            </w:r>
          </w:p>
        </w:tc>
        <w:tc>
          <w:tcPr>
            <w:tcW w:w="0" w:type="dxa"/>
            <w:vAlign w:val="bottom"/>
          </w:tcPr>
          <w:p>
            <w:pPr>
              <w:spacing w:after="0"/>
              <w:rPr>
                <w:sz w:val="1"/>
                <w:szCs w:val="1"/>
                <w:color w:val="auto"/>
              </w:rPr>
            </w:pPr>
          </w:p>
        </w:tc>
      </w:tr>
      <w:tr>
        <w:trPr>
          <w:trHeight w:val="216"/>
        </w:trPr>
        <w:tc>
          <w:tcPr>
            <w:tcW w:w="5480" w:type="dxa"/>
            <w:vAlign w:val="bottom"/>
            <w:shd w:val="clear" w:color="auto" w:fill="0071CE"/>
          </w:tcPr>
          <w:p>
            <w:pPr>
              <w:spacing w:after="0"/>
              <w:rPr>
                <w:sz w:val="18"/>
                <w:szCs w:val="18"/>
                <w:color w:val="auto"/>
              </w:rPr>
            </w:pPr>
          </w:p>
        </w:tc>
        <w:tc>
          <w:tcPr>
            <w:tcW w:w="1820" w:type="dxa"/>
            <w:vAlign w:val="bottom"/>
            <w:shd w:val="clear" w:color="auto" w:fill="0071CE"/>
          </w:tcPr>
          <w:p>
            <w:pPr>
              <w:spacing w:after="0"/>
              <w:rPr>
                <w:sz w:val="18"/>
                <w:szCs w:val="18"/>
                <w:color w:val="auto"/>
              </w:rPr>
            </w:pPr>
          </w:p>
        </w:tc>
        <w:tc>
          <w:tcPr>
            <w:tcW w:w="1500" w:type="dxa"/>
            <w:vAlign w:val="bottom"/>
            <w:shd w:val="clear" w:color="auto" w:fill="0071CE"/>
          </w:tcPr>
          <w:p>
            <w:pPr>
              <w:spacing w:after="0"/>
              <w:rPr>
                <w:sz w:val="18"/>
                <w:szCs w:val="18"/>
                <w:color w:val="auto"/>
              </w:rPr>
            </w:pPr>
          </w:p>
        </w:tc>
        <w:tc>
          <w:tcPr>
            <w:tcW w:w="2420" w:type="dxa"/>
            <w:vAlign w:val="bottom"/>
            <w:shd w:val="clear" w:color="auto" w:fill="0071CE"/>
          </w:tcPr>
          <w:p>
            <w:pPr>
              <w:jc w:val="center"/>
              <w:ind w:left="39"/>
              <w:spacing w:after="0"/>
              <w:rPr>
                <w:sz w:val="20"/>
                <w:szCs w:val="20"/>
                <w:color w:val="auto"/>
              </w:rPr>
            </w:pPr>
            <w:r>
              <w:rPr>
                <w:rFonts w:ascii="Arial" w:cs="Arial" w:eastAsia="Arial" w:hAnsi="Arial"/>
                <w:sz w:val="16"/>
                <w:szCs w:val="16"/>
                <w:b w:val="1"/>
                <w:bCs w:val="1"/>
                <w:color w:val="FFFFFF"/>
                <w:w w:val="99"/>
              </w:rPr>
              <w:t>column (a))</w:t>
            </w:r>
          </w:p>
        </w:tc>
        <w:tc>
          <w:tcPr>
            <w:tcW w:w="0" w:type="dxa"/>
            <w:vAlign w:val="bottom"/>
          </w:tcPr>
          <w:p>
            <w:pPr>
              <w:spacing w:after="0"/>
              <w:rPr>
                <w:sz w:val="1"/>
                <w:szCs w:val="1"/>
                <w:color w:val="auto"/>
              </w:rPr>
            </w:pPr>
          </w:p>
        </w:tc>
      </w:tr>
      <w:tr>
        <w:trPr>
          <w:trHeight w:val="216"/>
        </w:trPr>
        <w:tc>
          <w:tcPr>
            <w:tcW w:w="54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Equity compensation plans approved by security holders (1)</w:t>
            </w:r>
          </w:p>
        </w:tc>
        <w:tc>
          <w:tcPr>
            <w:tcW w:w="1820" w:type="dxa"/>
            <w:vAlign w:val="bottom"/>
            <w:shd w:val="clear" w:color="auto" w:fill="E5E5E5"/>
          </w:tcPr>
          <w:p>
            <w:pPr>
              <w:jc w:val="right"/>
              <w:ind w:right="120"/>
              <w:spacing w:after="0"/>
              <w:rPr>
                <w:sz w:val="20"/>
                <w:szCs w:val="20"/>
                <w:color w:val="auto"/>
              </w:rPr>
            </w:pPr>
            <w:r>
              <w:rPr>
                <w:rFonts w:ascii="Arial" w:cs="Arial" w:eastAsia="Arial" w:hAnsi="Arial"/>
                <w:sz w:val="16"/>
                <w:szCs w:val="16"/>
                <w:color w:val="auto"/>
              </w:rPr>
              <w:t>7,217,386</w:t>
            </w:r>
          </w:p>
        </w:tc>
        <w:tc>
          <w:tcPr>
            <w:tcW w:w="1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$35.40</w:t>
            </w:r>
          </w:p>
        </w:tc>
        <w:tc>
          <w:tcPr>
            <w:tcW w:w="24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2,378,770</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0071CE"/>
            </w:tcBorders>
          </w:tcPr>
          <w:p>
            <w:pPr>
              <w:ind w:left="120"/>
              <w:spacing w:after="0"/>
              <w:rPr>
                <w:sz w:val="20"/>
                <w:szCs w:val="20"/>
                <w:color w:val="auto"/>
              </w:rPr>
            </w:pPr>
            <w:r>
              <w:rPr>
                <w:rFonts w:ascii="Arial" w:cs="Arial" w:eastAsia="Arial" w:hAnsi="Arial"/>
                <w:sz w:val="16"/>
                <w:szCs w:val="16"/>
                <w:color w:val="auto"/>
              </w:rPr>
              <w:t>Equity compensation plans not approved by security holders (2)</w:t>
            </w:r>
          </w:p>
        </w:tc>
        <w:tc>
          <w:tcPr>
            <w:tcW w:w="1820" w:type="dxa"/>
            <w:vAlign w:val="bottom"/>
            <w:tcBorders>
              <w:bottom w:val="single" w:sz="8" w:color="0071CE"/>
            </w:tcBorders>
          </w:tcPr>
          <w:p>
            <w:pPr>
              <w:jc w:val="right"/>
              <w:ind w:right="120"/>
              <w:spacing w:after="0"/>
              <w:rPr>
                <w:sz w:val="20"/>
                <w:szCs w:val="20"/>
                <w:color w:val="auto"/>
              </w:rPr>
            </w:pPr>
            <w:r>
              <w:rPr>
                <w:rFonts w:ascii="Arial" w:cs="Arial" w:eastAsia="Arial" w:hAnsi="Arial"/>
                <w:sz w:val="16"/>
                <w:szCs w:val="16"/>
                <w:color w:val="auto"/>
              </w:rPr>
              <w:t>506,567</w:t>
            </w:r>
          </w:p>
        </w:tc>
        <w:tc>
          <w:tcPr>
            <w:tcW w:w="1500" w:type="dxa"/>
            <w:vAlign w:val="bottom"/>
            <w:tcBorders>
              <w:bottom w:val="single" w:sz="8" w:color="0071CE"/>
            </w:tcBorders>
          </w:tcPr>
          <w:p>
            <w:pPr>
              <w:jc w:val="right"/>
              <w:ind w:right="679"/>
              <w:spacing w:after="0"/>
              <w:rPr>
                <w:sz w:val="20"/>
                <w:szCs w:val="20"/>
                <w:color w:val="auto"/>
              </w:rPr>
            </w:pPr>
            <w:r>
              <w:rPr>
                <w:rFonts w:ascii="Arial" w:cs="Arial" w:eastAsia="Arial" w:hAnsi="Arial"/>
                <w:sz w:val="16"/>
                <w:szCs w:val="16"/>
                <w:color w:val="auto"/>
              </w:rPr>
              <w:t>$49.61</w:t>
            </w:r>
          </w:p>
        </w:tc>
        <w:tc>
          <w:tcPr>
            <w:tcW w:w="242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255,244</w:t>
            </w:r>
          </w:p>
        </w:tc>
        <w:tc>
          <w:tcPr>
            <w:tcW w:w="0" w:type="dxa"/>
            <w:vAlign w:val="bottom"/>
          </w:tcPr>
          <w:p>
            <w:pPr>
              <w:spacing w:after="0"/>
              <w:rPr>
                <w:sz w:val="1"/>
                <w:szCs w:val="1"/>
                <w:color w:val="auto"/>
              </w:rPr>
            </w:pPr>
          </w:p>
        </w:tc>
      </w:tr>
      <w:tr>
        <w:trPr>
          <w:trHeight w:val="209"/>
        </w:trPr>
        <w:tc>
          <w:tcPr>
            <w:tcW w:w="548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0071CE"/>
            </w:tcBorders>
            <w:shd w:val="clear" w:color="auto" w:fill="E5E5E5"/>
          </w:tcPr>
          <w:p>
            <w:pPr>
              <w:jc w:val="right"/>
              <w:ind w:right="120"/>
              <w:spacing w:after="0"/>
              <w:rPr>
                <w:sz w:val="20"/>
                <w:szCs w:val="20"/>
                <w:color w:val="auto"/>
              </w:rPr>
            </w:pPr>
            <w:r>
              <w:rPr>
                <w:rFonts w:ascii="Arial" w:cs="Arial" w:eastAsia="Arial" w:hAnsi="Arial"/>
                <w:sz w:val="16"/>
                <w:szCs w:val="16"/>
                <w:color w:val="auto"/>
              </w:rPr>
              <w:t>7,723,953</w:t>
            </w:r>
          </w:p>
        </w:tc>
        <w:tc>
          <w:tcPr>
            <w:tcW w:w="150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6"/>
                <w:szCs w:val="16"/>
                <w:color w:val="auto"/>
              </w:rPr>
              <w:t>$35.50</w:t>
            </w:r>
          </w:p>
        </w:tc>
        <w:tc>
          <w:tcPr>
            <w:tcW w:w="242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2,634,014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-1619885</wp:posOffset>
            </wp:positionV>
            <wp:extent cx="36347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33" w:lineRule="exact"/>
        <w:rPr>
          <w:sz w:val="20"/>
          <w:szCs w:val="20"/>
          <w:color w:val="auto"/>
        </w:rPr>
      </w:pPr>
    </w:p>
    <w:p>
      <w:pPr>
        <w:jc w:val="both"/>
        <w:ind w:left="340" w:hanging="332"/>
        <w:spacing w:after="0" w:line="248"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options outstanding representing 776,279 and 32,151 shares of Common Stock under the 2013 Incentive Plan and the 2021 Incentive Plan, respectively. Also includes 1,500,000 and 3,750,071 RSUs subject to the 2013 Incentive Plan and the 2021 Incentive Plan, respectively. There is no exercise price associated with a RSU award. Accordingly, these have been excluded from the column in the table reporting the weighted-average exercise price of outstanding awards.</w:t>
      </w:r>
    </w:p>
    <w:p>
      <w:pPr>
        <w:ind w:left="340" w:right="20" w:hanging="332"/>
        <w:spacing w:after="0" w:line="264"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598,605 inducement option grants and 53,713 inducement RSU grants issued to newly hired employees granted outside of the Company’s Inducement Plan and 0 inducement option grants and 506,567 inducement RSU grants issued to newly hired employees pursuant to the Company’s Inducement Plan.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Material Features of the Inducement Plan and Stand-Alone Inducement Awards</w:t>
      </w:r>
    </w:p>
    <w:p>
      <w:pPr>
        <w:spacing w:after="0" w:line="2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Company’s Inducement Plan was established by the Board during fiscal year 2024 to advance the interests of the Company by providing for the grant of stock-based awards. The Company has also granted inducement awards outside of the inducement plan. In accordance with Nasdaq rules, this plan and the stand-alone awards are used to offer equity awards as material inducements for new employees to join the Company. Subject to adjustment for certain changes in our capitalization, the maximum aggregate number of shares that may be issued under the inducement plan is 832,950. The equity awards granted as inducement awards both under and outside of the inducement plan are typically in the form of stock options with exercise prices equal to the fair market value of our common stock on the date of grant and/or restricted stock units. The inducement plan also provides for the granting of other types of equity awards, including stock appreciation rights and restricted stock awards.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names, ages, and positions of our current executive officers serving as of January 26, 2026 are provided below. Biographical information regarding these officers is set forth under the following table, except for Dr. Anzalone, whose biography is set forth above with our other directors. Each executive officer holds office until the first meeting of the Board of Directors after the annual meeting of stockholders next succeeding their election, and until his/her successor is elected and qualified or until his/her earlier resignation or removal.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3140" w:type="dxa"/>
            <w:vAlign w:val="bottom"/>
            <w:shd w:val="clear" w:color="auto" w:fill="0071CE"/>
          </w:tcPr>
          <w:p>
            <w:pPr>
              <w:ind w:left="140"/>
              <w:spacing w:after="0"/>
              <w:rPr>
                <w:sz w:val="20"/>
                <w:szCs w:val="20"/>
                <w:color w:val="auto"/>
              </w:rPr>
            </w:pPr>
            <w:r>
              <w:rPr>
                <w:rFonts w:ascii="Arial" w:cs="Arial" w:eastAsia="Arial" w:hAnsi="Arial"/>
                <w:sz w:val="16"/>
                <w:szCs w:val="16"/>
                <w:b w:val="1"/>
                <w:bCs w:val="1"/>
                <w:color w:val="FFFFFF"/>
              </w:rPr>
              <w:t>Name</w:t>
            </w:r>
          </w:p>
        </w:tc>
        <w:tc>
          <w:tcPr>
            <w:tcW w:w="5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Age</w:t>
            </w:r>
          </w:p>
        </w:tc>
        <w:tc>
          <w:tcPr>
            <w:tcW w:w="7520" w:type="dxa"/>
            <w:vAlign w:val="bottom"/>
            <w:shd w:val="clear" w:color="auto" w:fill="0071CE"/>
          </w:tcPr>
          <w:p>
            <w:pPr>
              <w:ind w:left="2880"/>
              <w:spacing w:after="0"/>
              <w:rPr>
                <w:sz w:val="20"/>
                <w:szCs w:val="20"/>
                <w:color w:val="auto"/>
              </w:rPr>
            </w:pPr>
            <w:r>
              <w:rPr>
                <w:rFonts w:ascii="Arial" w:cs="Arial" w:eastAsia="Arial" w:hAnsi="Arial"/>
                <w:sz w:val="16"/>
                <w:szCs w:val="16"/>
                <w:b w:val="1"/>
                <w:bCs w:val="1"/>
                <w:color w:val="FFFFFF"/>
              </w:rPr>
              <w:t>Position with Arrowhead</w:t>
            </w:r>
          </w:p>
        </w:tc>
        <w:tc>
          <w:tcPr>
            <w:tcW w:w="20" w:type="dxa"/>
            <w:vAlign w:val="bottom"/>
            <w:shd w:val="clear" w:color="auto" w:fill="0071CE"/>
          </w:tcPr>
          <w:p>
            <w:pPr>
              <w:spacing w:after="0"/>
              <w:rPr>
                <w:sz w:val="24"/>
                <w:szCs w:val="24"/>
                <w:color w:val="auto"/>
              </w:rPr>
            </w:pPr>
          </w:p>
        </w:tc>
      </w:tr>
      <w:tr>
        <w:trPr>
          <w:trHeight w:val="196"/>
        </w:trPr>
        <w:tc>
          <w:tcPr>
            <w:tcW w:w="3140" w:type="dxa"/>
            <w:vAlign w:val="bottom"/>
            <w:shd w:val="clear" w:color="auto" w:fill="0071CE"/>
          </w:tcPr>
          <w:p>
            <w:pPr>
              <w:spacing w:after="0"/>
              <w:rPr>
                <w:sz w:val="17"/>
                <w:szCs w:val="17"/>
                <w:color w:val="auto"/>
              </w:rPr>
            </w:pPr>
          </w:p>
        </w:tc>
        <w:tc>
          <w:tcPr>
            <w:tcW w:w="560" w:type="dxa"/>
            <w:vAlign w:val="bottom"/>
            <w:shd w:val="clear" w:color="auto" w:fill="0071CE"/>
          </w:tcPr>
          <w:p>
            <w:pPr>
              <w:spacing w:after="0"/>
              <w:rPr>
                <w:sz w:val="17"/>
                <w:szCs w:val="17"/>
                <w:color w:val="auto"/>
              </w:rPr>
            </w:pPr>
          </w:p>
        </w:tc>
        <w:tc>
          <w:tcPr>
            <w:tcW w:w="7520" w:type="dxa"/>
            <w:vAlign w:val="bottom"/>
            <w:shd w:val="clear" w:color="auto" w:fill="0071CE"/>
          </w:tcPr>
          <w:p>
            <w:pPr>
              <w:spacing w:after="0"/>
              <w:rPr>
                <w:sz w:val="17"/>
                <w:szCs w:val="17"/>
                <w:color w:val="auto"/>
              </w:rPr>
            </w:pPr>
          </w:p>
        </w:tc>
        <w:tc>
          <w:tcPr>
            <w:tcW w:w="20" w:type="dxa"/>
            <w:vAlign w:val="bottom"/>
            <w:shd w:val="clear" w:color="auto" w:fill="0071CE"/>
          </w:tcPr>
          <w:p>
            <w:pPr>
              <w:spacing w:after="0"/>
              <w:rPr>
                <w:sz w:val="17"/>
                <w:szCs w:val="17"/>
                <w:color w:val="auto"/>
              </w:rPr>
            </w:pPr>
          </w:p>
        </w:tc>
      </w:tr>
      <w:tr>
        <w:trPr>
          <w:trHeight w:val="216"/>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Christopher Anzalone</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56</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Executive Officer, President, Director and Board Chair</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Daniel Apel</w:t>
            </w:r>
          </w:p>
        </w:tc>
        <w:tc>
          <w:tcPr>
            <w:tcW w:w="560" w:type="dxa"/>
            <w:vAlign w:val="bottom"/>
          </w:tcPr>
          <w:p>
            <w:pPr>
              <w:jc w:val="center"/>
              <w:spacing w:after="0"/>
              <w:rPr>
                <w:sz w:val="20"/>
                <w:szCs w:val="20"/>
                <w:color w:val="auto"/>
              </w:rPr>
            </w:pPr>
            <w:r>
              <w:rPr>
                <w:rFonts w:ascii="Arial" w:cs="Arial" w:eastAsia="Arial" w:hAnsi="Arial"/>
                <w:sz w:val="16"/>
                <w:szCs w:val="16"/>
                <w:color w:val="auto"/>
              </w:rPr>
              <w:t>60</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20" w:type="dxa"/>
            <w:vAlign w:val="bottom"/>
          </w:tcPr>
          <w:p>
            <w:pPr>
              <w:spacing w:after="0"/>
              <w:rPr>
                <w:sz w:val="18"/>
                <w:szCs w:val="18"/>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James Hamilton</w:t>
            </w:r>
          </w:p>
        </w:tc>
        <w:tc>
          <w:tcPr>
            <w:tcW w:w="5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48</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Medical Officer</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Patrick O’Brien</w:t>
            </w:r>
          </w:p>
        </w:tc>
        <w:tc>
          <w:tcPr>
            <w:tcW w:w="560" w:type="dxa"/>
            <w:vAlign w:val="bottom"/>
          </w:tcPr>
          <w:p>
            <w:pPr>
              <w:jc w:val="center"/>
              <w:spacing w:after="0"/>
              <w:rPr>
                <w:sz w:val="20"/>
                <w:szCs w:val="20"/>
                <w:color w:val="auto"/>
              </w:rPr>
            </w:pPr>
            <w:r>
              <w:rPr>
                <w:rFonts w:ascii="Arial" w:cs="Arial" w:eastAsia="Arial" w:hAnsi="Arial"/>
                <w:sz w:val="16"/>
                <w:szCs w:val="16"/>
                <w:color w:val="auto"/>
              </w:rPr>
              <w:t>62</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Operating Officer</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866775</wp:posOffset>
            </wp:positionV>
            <wp:extent cx="986155"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19" w:lineRule="auto"/>
        <w:rPr>
          <w:sz w:val="20"/>
          <w:szCs w:val="20"/>
          <w:color w:val="auto"/>
        </w:rPr>
      </w:pPr>
      <w:r>
        <w:rPr>
          <w:rFonts w:ascii="Arial" w:cs="Arial" w:eastAsia="Arial" w:hAnsi="Arial"/>
          <w:sz w:val="16"/>
          <w:szCs w:val="16"/>
          <w:b w:val="1"/>
          <w:bCs w:val="1"/>
          <w:color w:val="auto"/>
        </w:rPr>
        <w:t>Daniel Apel</w:t>
      </w:r>
      <w:r>
        <w:rPr>
          <w:rFonts w:ascii="Arial" w:cs="Arial" w:eastAsia="Arial" w:hAnsi="Arial"/>
          <w:sz w:val="16"/>
          <w:szCs w:val="16"/>
          <w:color w:val="auto"/>
        </w:rPr>
        <w:t>, Chief Financial Officer, joined Arrowhead as Chief Financial Officer in April 2025. Mr. Apel brings over 25 years of US and global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to Arrowhead. Prior to joining Arrowhead he served as Global Head of Financial Planning and Analysis from June 2019 through June 2024 at Walgreens Boots Alliance WBA, a healthcare, pharmacy and retail company, where he was responsible for global financial planning and analysis. Mr. Apel also served in various capacities in his nearly 20-year career at Bayer, including as Chief Financial Officer for Bayer U.S. from 2016 through 2019, as Chief Financial Officer for Bayer Canada and as global Head of Accounting for the Bayer Healthcare Segment, based in Germany. He served on the boards of the Biotechnology Innovation Organization (BIO) and the Organization for International Investment, as well as a Trustee for the Health Institute of New Jersey. Mr. Apel earned his Master’s degree in Business Administration from the University of California, Berkeley, a Bachelor's of Arts Degree from the University of Pennsylvania, and is a licensed Certified Public Accountant.</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James Hamilton, </w:t>
      </w:r>
      <w:r>
        <w:rPr>
          <w:rFonts w:ascii="Arial" w:cs="Arial" w:eastAsia="Arial" w:hAnsi="Arial"/>
          <w:sz w:val="16"/>
          <w:szCs w:val="16"/>
          <w:color w:val="auto"/>
        </w:rPr>
        <w:t>Chief Medical Officer and Head of R&amp;D, joined the Company in 2014, where he has served as Chief Medical Officer since February 2025.</w:t>
      </w:r>
      <w:r>
        <w:rPr>
          <w:rFonts w:ascii="Arial" w:cs="Arial" w:eastAsia="Arial" w:hAnsi="Arial"/>
          <w:sz w:val="16"/>
          <w:szCs w:val="16"/>
          <w:b w:val="1"/>
          <w:bCs w:val="1"/>
          <w:color w:val="auto"/>
        </w:rPr>
        <w:t xml:space="preserve"> </w:t>
      </w:r>
      <w:r>
        <w:rPr>
          <w:rFonts w:ascii="Arial" w:cs="Arial" w:eastAsia="Arial" w:hAnsi="Arial"/>
          <w:sz w:val="16"/>
          <w:szCs w:val="16"/>
          <w:color w:val="auto"/>
        </w:rPr>
        <w:t>He previously served as Chief of Discovery &amp; Translational Medicine, and was responsible for target discovery as well as non-clinical and early clinical development. Prior to that, Dr. Hamilton served as Vice President, Clinical Development, and was responsible for clinical strategy, clinical trial design and execution including early translational and mid-stage development of all Arrowhead programs. He is experienced in multiple disease areas including virology, hepatology, cardiovascular disease, rare disease and oncology. Dr. Hamilton led the clinical development of ARO-HBV (now JNJ-3989), which was licensed to Janssen Pharmaceuticals. In parallel, Dr. Hamilton served as Head of Corporate Development and led Arrowhead’s in-licensing transaction of Novartis’s RNAi assets, as well as the out-licensing of ARO-LPA (now AMG890) to Amgen and the ARO-AAT partnership with Takeda. Dr. Hamilton started his employment at Arrowhead as Medical Director and Head of Corporate development. He holds both M.D. and M.B.A. degrees from The Ohio State University. He is a licensed physician and completed residency training with board certification in emergency medicine.</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Chief Operating Officer, joined the Company in December 2014, where he has served as Chief Operating Officer since July 2022 and</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General Counsel from 2014 to December 2025. Mr. O’Brien has practiced in the healthcare legal field for over 30 years. Before joining the Company, from 2012 to 2014, Mr. O’Brien was with Shire, a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to 2010, Mr. O’Brien was a partner in Burke O’Neil LLC. From 2001 to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490220</wp:posOffset>
            </wp:positionV>
            <wp:extent cx="98615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has adopted written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our Corporate Code of Conduct and our Nomination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determining whether to approve or ratify a related-party transaction, the Board and/or Audit Committee may consider, among other factors it deems appropriate, the potential benefits to the Company, the impact on a director’s or nominee’s independence or an executive officer’s relationship with or service to the Company,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490220</wp:posOffset>
            </wp:positionV>
            <wp:extent cx="98615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32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Certain Relationships and Related Transactions</w:t>
      </w:r>
    </w:p>
    <w:p>
      <w:pPr>
        <w:spacing w:after="0" w:line="26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following is a summary of each transaction or series of similar transactions since November 1, 2024, or any currently proposed transaction, to which we were or are a party in which:</w:t>
      </w:r>
    </w:p>
    <w:p>
      <w:pPr>
        <w:spacing w:after="0" w:line="19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16"/>
          <w:szCs w:val="16"/>
          <w:color w:val="auto"/>
        </w:rPr>
        <w:t>the amount involved exceeds $120,000; and</w:t>
      </w:r>
    </w:p>
    <w:p>
      <w:pPr>
        <w:spacing w:after="0" w:line="28" w:lineRule="exact"/>
        <w:rPr>
          <w:rFonts w:ascii="Arial" w:cs="Arial" w:eastAsia="Arial" w:hAnsi="Arial"/>
          <w:sz w:val="22"/>
          <w:szCs w:val="22"/>
          <w:color w:val="auto"/>
        </w:rPr>
      </w:pPr>
    </w:p>
    <w:p>
      <w:pPr>
        <w:jc w:val="both"/>
        <w:ind w:left="660" w:hanging="328"/>
        <w:spacing w:after="0" w:line="229" w:lineRule="auto"/>
        <w:tabs>
          <w:tab w:leader="none" w:pos="655" w:val="left"/>
        </w:tabs>
        <w:numPr>
          <w:ilvl w:val="0"/>
          <w:numId w:val="58"/>
        </w:numPr>
        <w:rPr>
          <w:rFonts w:ascii="Times New Roman" w:cs="Times New Roman" w:eastAsia="Times New Roman" w:hAnsi="Times New Roman"/>
          <w:sz w:val="22"/>
          <w:szCs w:val="22"/>
          <w:color w:val="auto"/>
        </w:rPr>
      </w:pPr>
      <w:r>
        <w:rPr>
          <w:rFonts w:ascii="Arial" w:cs="Arial" w:eastAsia="Arial" w:hAnsi="Arial"/>
          <w:sz w:val="16"/>
          <w:szCs w:val="16"/>
          <w:color w:val="auto"/>
        </w:rPr>
        <w:t>any related person (including our directors, executive officers, beneficial owners of more than 5% of our common stock and any affiliates or members of their immediate family) had or will have a direct or indirect material interest, other than compensation and other arrangements that are described under the section titled “Executive Compensation” or that were approved by our Compensation Committee.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ownership of securities is determined in accordance with the rules of the SEC.</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Dr. Bruce Given was the Company's Chief Medical Scientist, and is the brother of Dr. Douglass Given, the Company's former Director and Chairman of the Board, who stepped down effective as of December 31, 2024. Dr. Bruce Given transitioned to being a consultant to the Company on August 1, 2025 for a yearly fee of $280,000. Dr. Bruce Given earned base salary, bonus and consulting fees of $887,227 during fiscal year 2025. In fiscal 2025, Dr. Bruce Given was awarded 100,000 RSUs, and this award vests in four annual tranches from the grant date.</w:t>
      </w:r>
    </w:p>
    <w:p>
      <w:pPr>
        <w:spacing w:after="0" w:line="19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Vincent Anzalone is the Company’s Senior Vice President, Investor Relations and Corporate Communications and the brother of Christopher Anzalone, the Company’s Chief Executive Officer, President, Director and Board Chair. Vincent Anzalone earned base salary and bonus of $417,568 during fiscal year 2025. In fiscal 2025, as part of the Company's annual stock grants to employees, Vincent Anzalone was awarded 25,000 RSUs, which vest in four annual tranches from the grant date and 5,000 RSUs, which vests two years after the grant date. In January 2026, as part of the Company's annual stock grants to employees, Vincent Anzalone was awarded 21,000 RSUs, and this award vests in four annual tranches from the grant date.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The Company will mail, without charge to any stockholder solicited upon written request, a copy of the Company’s Annual Report on Form 10-K for the year ended September 30, 2025 including the financial statements, schedules and a list of exhibits. </w:t>
      </w:r>
      <w:r>
        <w:rPr>
          <w:rFonts w:ascii="Arial" w:cs="Arial" w:eastAsia="Arial" w:hAnsi="Arial"/>
          <w:sz w:val="16"/>
          <w:szCs w:val="16"/>
          <w:color w:val="auto"/>
        </w:rPr>
        <w:t>Requests should be sent to Arrowhead</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Pharmaceuticals, Inc., 177 E. Colorado Blvd., Suite 700, Pasadena, CA 91105, Attn: Corporate Secretary, Phone (626) 304-3400.</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Arrowhead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177 E. Colorado Blvd., Suite 700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Pasadena CA 91105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Phone (626)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508000</wp:posOffset>
            </wp:positionV>
            <wp:extent cx="986155"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7"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Section 16(a) of the Exchange Act requires our directors, executive officers, and greater-than-10% stockholders to file forms with the SEC to report their ownership of Company shares and any changes in ownership. We have reviewed all forms filed electronically with the SEC. Based on that review and on written information given to us by our executive officers and directors, we believe that all of our directors, executive officers and greater-than-10% stockholders filed the required reports under Section 16(a) on a timely basis during fiscal 2025, except for the inadvertent late filing of one Form 3 the initial beneficial ownership of Company securities for Mr. Daniel Apel.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i w:val="1"/>
          <w:iCs w:val="1"/>
          <w:color w:val="auto"/>
        </w:rPr>
        <w:t xml:space="preserve">Forward-Looking Statements. </w:t>
      </w:r>
      <w:r>
        <w:rPr>
          <w:rFonts w:ascii="Arial" w:cs="Arial" w:eastAsia="Arial" w:hAnsi="Arial"/>
          <w:sz w:val="16"/>
          <w:szCs w:val="16"/>
          <w:color w:val="auto"/>
        </w:rPr>
        <w:t>The Proxy Statement may contain “forward-looking statements” within the meaning of the “safe harbor” provisions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Securities Litigation Reform Act of 1995, which statements are subject to substantial risks and uncertainties and are based on estimates and assumptions. All statements other than statements of historical fact included in the Proxy Statement are forward-looking statements, including statements about the Company’s Board of Directors; corporate governance practices; executive compensation program; equity compensation utilization; corporate responsibility initiatives; our future financial performance; trends in our business; the initiation, timing, progress and results of our preclinical studies and clinical trials, and our research and development programs; our expectations regarding our commercialization efforts for REDEMPLO;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research and development expenses, capital requirements and payments to third parties.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involve known and unknown risks, uncertainties and other factors that could cause our actual results or outcomes to differ materially from the forward-looking statements expressed or implied in the Proxy Statement. Such risks, uncertainties and other factors include those identified in the Company’s Annual Report on Form 10-K for the year ended September 30, 2025 filed with the SEC and other subsequent documents we file with the SEC. The Company expressly disclaims any obligation to update or alter any statements whether as a result of new information, future events or otherwise, except as required by law.</w:t>
      </w:r>
    </w:p>
    <w:p>
      <w:pPr>
        <w:spacing w:after="0" w:line="22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 xml:space="preserve">Website References. </w:t>
      </w:r>
      <w:r>
        <w:rPr>
          <w:rFonts w:ascii="Arial" w:cs="Arial" w:eastAsia="Arial" w:hAnsi="Arial"/>
          <w:sz w:val="16"/>
          <w:szCs w:val="16"/>
          <w:color w:val="auto"/>
        </w:rPr>
        <w:t>Website references throughout this document are inactive textual references and provided for convenience only, and the content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referenced websites is not incorporated herein by reference and does not constitute a part of the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on such matters in accordance with their best judgment.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Secretary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Pasadena, California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732155</wp:posOffset>
            </wp:positionV>
            <wp:extent cx="986155"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1CE"/>
        </w:rPr>
        <w:t>Exhibit A</w:t>
      </w: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32"/>
          <w:szCs w:val="32"/>
          <w:b w:val="1"/>
          <w:bCs w:val="1"/>
          <w:color w:val="0071CE"/>
        </w:rPr>
        <w:t>Arrowhead Pharmaceuticals, Inc. Amended and Restated 2021 Incentive Plan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1. DEFINED TERMS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Exhibit A</w:t>
      </w:r>
      <w:r>
        <w:rPr>
          <w:rFonts w:ascii="Arial" w:cs="Arial" w:eastAsia="Arial" w:hAnsi="Arial"/>
          <w:sz w:val="16"/>
          <w:szCs w:val="16"/>
          <w:color w:val="auto"/>
        </w:rPr>
        <w:t>, which is incorporated by reference, defines the terms used in the Plan and sets forth certain operational rules related to those terms.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2. PURPOSE</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Plan has been established to advance the interests of the Company by providing for the grant to Participants of Stock-based and other incentive Awards.</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3. ADMINISTRATION</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determine whether Awards should be settled in cash and/or shares of Stock; and otherwise do all things necessary or appropriate to carry out the purposes of the Plan. Determinations of the Administrator made under the Plan will be conclusive and will bind all parties.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4. LIMITS ON AWARDS UNDER THE PLAN</w:t>
      </w:r>
    </w:p>
    <w:p>
      <w:pPr>
        <w:spacing w:after="0" w:line="180" w:lineRule="exact"/>
        <w:rPr>
          <w:sz w:val="20"/>
          <w:szCs w:val="20"/>
          <w:color w:val="auto"/>
        </w:rPr>
      </w:pPr>
    </w:p>
    <w:p>
      <w:pPr>
        <w:jc w:val="both"/>
        <w:ind w:firstLine="8"/>
        <w:spacing w:after="0" w:line="255" w:lineRule="auto"/>
        <w:tabs>
          <w:tab w:leader="none" w:pos="256" w:val="left"/>
        </w:tabs>
        <w:numPr>
          <w:ilvl w:val="0"/>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The maximum number of shares of Stock that may be delivered in satisfaction of Awards under the Plan is (i) 18,500,000,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(A) 8,000,000 shares of Stock previously approved by the Company’s stockholders prior to this amendment and restatement and (B) 10,500,000 additional shares of Stock that shall become available for grant under the Plan upon stockholder approval of this amendment and restatement, (ii) reduced by any shares of Stock subject to awards made under the Prior Plan after January 1, 2021. Shares of Stock subject to outstanding awards under the Prior Plans as of January 1, 2021 that, after January 1, 2021, are canceled, expired, forfeited or otherwise not issued under such award (other than as a result of being tendered or withheld to pay the exercise price or withholding taxes in connection with any such awards) or settled in cash shall be added to the number of shares of Stock issuable under the Plan. No more than 18,500,000 shares of Stock may be delivered in satisfaction of ISOs awarded under the Plan. Nothing in this Section 4(a) will be construed as requiring that any, or any fixed number of, ISOs be awarded under the Plan. For purposes of this Section 4(a), the number of shares of Stock delivered in satisfaction of Awards will be determined (i) by treating as having been delivered any shares of Stock underlying the portion of any Award that is settled in Stock, (ii) by treating as having been delivered any shares of Stock tendered to or withheld by the Company from any Award in payment of the exercise price of any Award requiring exercise or in satisfaction of the tax withholding requirements with respect to any Award, and (iii) by treating as having been delivered any shares of Stock purchased by the Company with proceeds from the exercise of Stock Options. Stock underlying the portion of any Award that expires, terminates or is forfeited or is settled in cash prior to the issuance of Stock thereunder shall not be counted as having been delivered under the Plan. To the extent consistent with the requirements of Section 422 and the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w:t>
      </w:r>
    </w:p>
    <w:p>
      <w:pPr>
        <w:spacing w:after="0" w:line="139" w:lineRule="exact"/>
        <w:rPr>
          <w:rFonts w:ascii="Arial" w:cs="Arial" w:eastAsia="Arial" w:hAnsi="Arial"/>
          <w:sz w:val="16"/>
          <w:szCs w:val="16"/>
          <w:color w:val="auto"/>
        </w:rPr>
      </w:pPr>
    </w:p>
    <w:p>
      <w:pPr>
        <w:ind w:right="20" w:firstLine="8"/>
        <w:spacing w:after="0" w:line="286" w:lineRule="auto"/>
        <w:tabs>
          <w:tab w:leader="none" w:pos="256" w:val="left"/>
        </w:tabs>
        <w:numPr>
          <w:ilvl w:val="0"/>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Type of Shares</w:t>
      </w:r>
      <w:r>
        <w:rPr>
          <w:rFonts w:ascii="Arial" w:cs="Arial" w:eastAsia="Arial" w:hAnsi="Arial"/>
          <w:sz w:val="16"/>
          <w:szCs w:val="16"/>
          <w:color w:val="auto"/>
        </w:rPr>
        <w:t>. Stock delivered by the Company under the Plan may be authorized but unissued Stock or previously issued Stock acquired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No fractional shares of Stock will be delivered under the Plan.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5. ELIGIBILITY AND PARTICIPATION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575945</wp:posOffset>
            </wp:positionV>
            <wp:extent cx="986155" cy="205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41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those terms are defined in Section 424 of the Code. Eligibility for Stock Options other than ISOs is limited to individuals described in the first sentence of this Section 5 who are providing direct services on the date of grant of the Stock Option to either the Company or to a subsidiary of the Company that would be described in the first sentence of Treas. Regs. §1.409A-1(b)(5)(iii)(E).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6. RULES APPLICABLE TO AWARDS</w:t>
      </w:r>
    </w:p>
    <w:p>
      <w:pPr>
        <w:spacing w:after="0" w:line="166"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All Awards</w:t>
      </w:r>
      <w:r>
        <w:rPr>
          <w:rFonts w:ascii="Arial" w:cs="Arial" w:eastAsia="Arial" w:hAnsi="Arial"/>
          <w:sz w:val="16"/>
          <w:szCs w:val="16"/>
          <w:color w:val="auto"/>
        </w:rPr>
        <w:t>.</w:t>
      </w:r>
    </w:p>
    <w:p>
      <w:pPr>
        <w:spacing w:after="0" w:line="167" w:lineRule="exact"/>
        <w:rPr>
          <w:sz w:val="20"/>
          <w:szCs w:val="20"/>
          <w:color w:val="auto"/>
        </w:rPr>
      </w:pPr>
    </w:p>
    <w:p>
      <w:pPr>
        <w:jc w:val="both"/>
        <w:ind w:firstLine="8"/>
        <w:spacing w:after="0" w:line="267" w:lineRule="auto"/>
        <w:tabs>
          <w:tab w:leader="none" w:pos="243"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Award Provisions</w:t>
      </w:r>
      <w:r>
        <w:rPr>
          <w:rFonts w:ascii="Arial" w:cs="Arial" w:eastAsia="Arial" w:hAnsi="Arial"/>
          <w:sz w:val="16"/>
          <w:szCs w:val="16"/>
          <w:color w:val="auto"/>
        </w:rPr>
        <w:t>. The Administrator will determine the terms of all Awards, subject to the limitations provided herein. By accepting (or, under such rules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315" w:lineRule="exact"/>
        <w:rPr>
          <w:rFonts w:ascii="Arial" w:cs="Arial" w:eastAsia="Arial" w:hAnsi="Arial"/>
          <w:sz w:val="16"/>
          <w:szCs w:val="16"/>
          <w:color w:val="auto"/>
        </w:rPr>
      </w:pPr>
    </w:p>
    <w:p>
      <w:pPr>
        <w:ind w:firstLine="8"/>
        <w:spacing w:after="0" w:line="304" w:lineRule="auto"/>
        <w:tabs>
          <w:tab w:leader="none" w:pos="256"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Term of Plan</w:t>
      </w:r>
      <w:r>
        <w:rPr>
          <w:rFonts w:ascii="Arial" w:cs="Arial" w:eastAsia="Arial" w:hAnsi="Arial"/>
          <w:sz w:val="16"/>
          <w:szCs w:val="16"/>
          <w:color w:val="auto"/>
        </w:rPr>
        <w:t>. No Awards may be made after ten years from the Date of Adoption, but previously granted Awards may continue beyond that date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their terms.</w:t>
      </w:r>
    </w:p>
    <w:p>
      <w:pPr>
        <w:spacing w:after="0" w:line="87" w:lineRule="exact"/>
        <w:rPr>
          <w:rFonts w:ascii="Arial" w:cs="Arial" w:eastAsia="Arial" w:hAnsi="Arial"/>
          <w:sz w:val="16"/>
          <w:szCs w:val="16"/>
          <w:color w:val="auto"/>
        </w:rPr>
      </w:pPr>
    </w:p>
    <w:p>
      <w:pPr>
        <w:jc w:val="both"/>
        <w:ind w:firstLine="8"/>
        <w:spacing w:after="0" w:line="265" w:lineRule="auto"/>
        <w:tabs>
          <w:tab w:leader="none" w:pos="243"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Transferability</w:t>
      </w:r>
      <w:r>
        <w:rPr>
          <w:rFonts w:ascii="Arial" w:cs="Arial" w:eastAsia="Arial" w:hAnsi="Arial"/>
          <w:sz w:val="16"/>
          <w:szCs w:val="16"/>
          <w:color w:val="auto"/>
        </w:rPr>
        <w:t>. Neither ISOs nor, except as the Administrator otherwise expressly provides in accordance with the third sentence of this Section 6(a)(3),</w:t>
      </w:r>
      <w:r>
        <w:rPr>
          <w:rFonts w:ascii="Arial" w:cs="Arial" w:eastAsia="Arial" w:hAnsi="Arial"/>
          <w:sz w:val="16"/>
          <w:szCs w:val="16"/>
          <w:i w:val="1"/>
          <w:iCs w:val="1"/>
          <w:color w:val="auto"/>
        </w:rPr>
        <w:t xml:space="preserve"> </w:t>
      </w:r>
      <w:r>
        <w:rPr>
          <w:rFonts w:ascii="Arial" w:cs="Arial" w:eastAsia="Arial" w:hAnsi="Arial"/>
          <w:sz w:val="16"/>
          <w:szCs w:val="16"/>
          <w:color w:val="auto"/>
        </w:rPr>
        <w:t>other Awards may be transferred other than by will or by the laws of descent and distribution. During a Participant’s lifetime, ISOs (and, except as the Administrator otherwise expressly provides in accordance with the third sentence of this Section 6(a)(3), SARs and NSOs) may be exercised only by the Participant. The Administrator may permit the gratuitous transfer (</w:t>
      </w:r>
      <w:r>
        <w:rPr>
          <w:rFonts w:ascii="Arial" w:cs="Arial" w:eastAsia="Arial" w:hAnsi="Arial"/>
          <w:sz w:val="16"/>
          <w:szCs w:val="16"/>
          <w:i w:val="1"/>
          <w:iCs w:val="1"/>
          <w:color w:val="auto"/>
        </w:rPr>
        <w:t>i.e.</w:t>
      </w:r>
      <w:r>
        <w:rPr>
          <w:rFonts w:ascii="Arial" w:cs="Arial" w:eastAsia="Arial" w:hAnsi="Arial"/>
          <w:sz w:val="16"/>
          <w:szCs w:val="16"/>
          <w:color w:val="auto"/>
        </w:rPr>
        <w:t>, transfer not for value) of Awards other than ISOs to any transferee eligible to be covered by the provisions of Form S-8 (under the Securities Act of 1933, as amended), subject to such limitations as the Administrator may impose.</w:t>
      </w:r>
    </w:p>
    <w:p>
      <w:pPr>
        <w:spacing w:after="0" w:line="118" w:lineRule="exact"/>
        <w:rPr>
          <w:rFonts w:ascii="Arial" w:cs="Arial" w:eastAsia="Arial" w:hAnsi="Arial"/>
          <w:sz w:val="16"/>
          <w:szCs w:val="16"/>
          <w:color w:val="auto"/>
        </w:rPr>
      </w:pPr>
    </w:p>
    <w:p>
      <w:pPr>
        <w:jc w:val="both"/>
        <w:ind w:firstLine="8"/>
        <w:spacing w:after="0" w:line="265" w:lineRule="auto"/>
        <w:tabs>
          <w:tab w:leader="none" w:pos="256"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etc</w:t>
      </w:r>
      <w:r>
        <w:rPr>
          <w:rFonts w:ascii="Arial" w:cs="Arial" w:eastAsia="Arial" w:hAnsi="Arial"/>
          <w:sz w:val="16"/>
          <w:szCs w:val="16"/>
          <w:color w:val="auto"/>
        </w:rPr>
        <w:t>. Subject to Section 6(a)(5), the Administrator will determine the time or times at which an Award will vest or become exercisable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132" w:lineRule="exact"/>
        <w:rPr>
          <w:sz w:val="20"/>
          <w:szCs w:val="20"/>
          <w:color w:val="auto"/>
        </w:rPr>
      </w:pPr>
    </w:p>
    <w:p>
      <w:pPr>
        <w:jc w:val="both"/>
        <w:ind w:firstLine="8"/>
        <w:spacing w:after="0" w:line="275" w:lineRule="auto"/>
        <w:tabs>
          <w:tab w:leader="none" w:pos="27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Immediately upon the cessation of the Participant’s Employment and except as provided in (B), (C), and (D)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10" w:lineRule="exact"/>
        <w:rPr>
          <w:rFonts w:ascii="Arial" w:cs="Arial" w:eastAsia="Arial" w:hAnsi="Arial"/>
          <w:sz w:val="16"/>
          <w:szCs w:val="16"/>
          <w:color w:val="auto"/>
        </w:rPr>
      </w:pPr>
    </w:p>
    <w:p>
      <w:pPr>
        <w:jc w:val="both"/>
        <w:ind w:firstLine="8"/>
        <w:spacing w:after="0" w:line="265" w:lineRule="auto"/>
        <w:tabs>
          <w:tab w:leader="none" w:pos="267"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Subject to (C), (D) and (E) below, all Stock Options and SARs held by the Participant or the Participant’s permitted transferees, if any, immediately prior to the cessation of the Participant’s Employment, to the extent then exercisable, will remain exercisable for the lesser of (i) a period of three months and (ii) the period ending on the latest date on which such Stock Option or SAR could have been exercised without regard to this Section 6(a)(4), and will thereupon immediately terminate.</w:t>
      </w:r>
    </w:p>
    <w:p>
      <w:pPr>
        <w:spacing w:after="0" w:line="118" w:lineRule="exact"/>
        <w:rPr>
          <w:rFonts w:ascii="Arial" w:cs="Arial" w:eastAsia="Arial" w:hAnsi="Arial"/>
          <w:sz w:val="16"/>
          <w:szCs w:val="16"/>
          <w:color w:val="auto"/>
        </w:rPr>
      </w:pPr>
    </w:p>
    <w:p>
      <w:pPr>
        <w:jc w:val="both"/>
        <w:ind w:firstLine="8"/>
        <w:spacing w:after="0" w:line="271" w:lineRule="auto"/>
        <w:tabs>
          <w:tab w:leader="none" w:pos="2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Stock Options and SARs held by a Participant or the Participant’s permitted transferees, if any, immediately prior to the cessation of the Participant’s Employment due to his or her death, to the extent then exercisable, will remain exercisable for the lesser of (i) a period of twelve months and (ii) the period ending on the latest date on which such Stock Option or SAR could have been exercised without regard to this Section 6(a)(4), and will thereupon immediately terminate.</w:t>
      </w:r>
    </w:p>
    <w:p>
      <w:pPr>
        <w:spacing w:after="0" w:line="113" w:lineRule="exact"/>
        <w:rPr>
          <w:rFonts w:ascii="Arial" w:cs="Arial" w:eastAsia="Arial" w:hAnsi="Arial"/>
          <w:sz w:val="16"/>
          <w:szCs w:val="16"/>
          <w:color w:val="auto"/>
        </w:rPr>
      </w:pPr>
    </w:p>
    <w:p>
      <w:pPr>
        <w:jc w:val="both"/>
        <w:ind w:firstLine="8"/>
        <w:spacing w:after="0" w:line="265" w:lineRule="auto"/>
        <w:tabs>
          <w:tab w:leader="none" w:pos="2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Stock Options and SARs held by a Participant or the Participant’s permitted transferees, if any, immediately prior to the cessation of the Participant’s Employment due to his or her “permanent and total disability” (within the meaning of Section 22(e)(3) of the Code, to the extent then exercisable, will remain exercisable for the lesser of (i) a period of six months and (ii) the period ending on the latest date on which such Stock Option or SAR could have been exercised without regard to this Section 6(a)(4), and will thereupon immediately terminate.</w:t>
      </w:r>
    </w:p>
    <w:p>
      <w:pPr>
        <w:spacing w:after="0" w:line="132" w:lineRule="exact"/>
        <w:rPr>
          <w:rFonts w:ascii="Arial" w:cs="Arial" w:eastAsia="Arial" w:hAnsi="Arial"/>
          <w:sz w:val="16"/>
          <w:szCs w:val="16"/>
          <w:color w:val="auto"/>
        </w:rPr>
      </w:pPr>
    </w:p>
    <w:p>
      <w:pPr>
        <w:jc w:val="both"/>
        <w:ind w:firstLine="8"/>
        <w:spacing w:after="0" w:line="266" w:lineRule="auto"/>
        <w:tabs>
          <w:tab w:leader="none" w:pos="27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Awards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589280</wp:posOffset>
            </wp:positionV>
            <wp:extent cx="986155" cy="205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8"/>
        <w:spacing w:after="0" w:line="256" w:lineRule="auto"/>
        <w:tabs>
          <w:tab w:leader="none" w:pos="243"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Minimum Vesting; Holding Period</w:t>
      </w:r>
      <w:r>
        <w:rPr>
          <w:rFonts w:ascii="Arial" w:cs="Arial" w:eastAsia="Arial" w:hAnsi="Arial"/>
          <w:sz w:val="16"/>
          <w:szCs w:val="16"/>
          <w:color w:val="auto"/>
        </w:rPr>
        <w:t>. Except as otherwise provided in this Section 6(a)(5), no Award shall be granted with terms providing for any right of</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exercise or lapse of vesting requirements earlier than a date that is at least one (1) year following the date of grant (or, in the case of vesting based upon performance objectives, exercise and vesting restrictions cannot lapse earlier than the one (1) year anniversary measured from the date of the commencement of the period over which performance is measured). Notwithstanding the foregoing, the Administrator may grant up to a maximum of five percent (5%) of the aggregate number of shares available for issuance under the Plan (for purposes of counting shares against the five percent (5%) limitation, the share counting rules under Section 4(a) shall apply) that do not comply with the one (1) year minimum vesting and exercise requirements set forth in the preceding sentence. In addition, (i) Awards granted to non-employee directors need not comply with the one (1) year minimum vesting and exercise requirements so long as the Awards provide for a right of exercise or lapse of any vesting obligations no earlier than the next annual stockholder meeting date following the grant date (provided such annual meeting is at least 50 weeks after the immediately preceding year’s annual meeting) and (ii) Awards granted in connection with a merger or other acquisition as a substitute or replacement award for awards held by grantees of the acquired business need not comply with the one (1) year minimum vesting and exercise requirements. In addition to the minimum vesting and exercise requirements in this Section 6(a)(5), any Awards granted to the Company’s Chief Executive Officer shall be granted with terms providing that the shares issued upon exercise or settlement of any such Award (net of tax withholding) may not be transferred or otherwise disposed of by the Company’s Chief Executive Officer for at least twelve (12) months following the date of such exercise or settlement.</w:t>
      </w:r>
    </w:p>
    <w:p>
      <w:pPr>
        <w:spacing w:after="0" w:line="127" w:lineRule="exact"/>
        <w:rPr>
          <w:rFonts w:ascii="Arial" w:cs="Arial" w:eastAsia="Arial" w:hAnsi="Arial"/>
          <w:sz w:val="16"/>
          <w:szCs w:val="16"/>
          <w:color w:val="auto"/>
        </w:rPr>
      </w:pPr>
    </w:p>
    <w:p>
      <w:pPr>
        <w:jc w:val="both"/>
        <w:ind w:firstLine="8"/>
        <w:spacing w:after="0" w:line="261" w:lineRule="auto"/>
        <w:tabs>
          <w:tab w:leader="none" w:pos="256"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Additional Restrictions</w:t>
      </w:r>
      <w:r>
        <w:rPr>
          <w:rFonts w:ascii="Arial" w:cs="Arial" w:eastAsia="Arial" w:hAnsi="Arial"/>
          <w:sz w:val="16"/>
          <w:szCs w:val="16"/>
          <w:color w:val="auto"/>
        </w:rPr>
        <w:t>. The Administrator may cancel, rescind, withhold or otherwise limit or restrict any Award at any time if the Participant is not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under or gain in respect of any Award in accordance with any applicable Company clawback or recoupment policy, as such policy may be amended and in effect from time to time, or as otherwise required by law or applicable stock exchange listing standards, including, without limitation, Section 10D of the Exchange Act, or any stock exchange or similar rule adopted under said Section.</w:t>
      </w:r>
    </w:p>
    <w:p>
      <w:pPr>
        <w:spacing w:after="0" w:line="135" w:lineRule="exact"/>
        <w:rPr>
          <w:rFonts w:ascii="Arial" w:cs="Arial" w:eastAsia="Arial" w:hAnsi="Arial"/>
          <w:sz w:val="16"/>
          <w:szCs w:val="16"/>
          <w:color w:val="auto"/>
        </w:rPr>
      </w:pPr>
    </w:p>
    <w:p>
      <w:pPr>
        <w:jc w:val="both"/>
        <w:ind w:firstLine="8"/>
        <w:spacing w:after="0" w:line="260" w:lineRule="auto"/>
        <w:tabs>
          <w:tab w:leader="none" w:pos="270"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Taxes</w:t>
      </w:r>
      <w:r>
        <w:rPr>
          <w:rFonts w:ascii="Arial" w:cs="Arial" w:eastAsia="Arial" w:hAnsi="Arial"/>
          <w:sz w:val="16"/>
          <w:szCs w:val="16"/>
          <w:color w:val="auto"/>
        </w:rPr>
        <w:t>. The grant of an Award and the delivery, vesting and retention of Stock, cash or other property under an Award are conditioned upon full</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by the Participant of all tax withholding requirements with respect to the Award. The Administrator will prescribe such rules for the withholding of taxes as it deems necessary or appropriate. The Administrator may, but need not, hold back shares of Stock from an Award or permit a Participant to tender previously owned shares of Stock in satisfaction of tax withholding requirements (only up to the amount permitted that will not cause an adverse accounting consequence or cost).</w:t>
      </w:r>
    </w:p>
    <w:p>
      <w:pPr>
        <w:spacing w:after="0" w:line="123" w:lineRule="exact"/>
        <w:rPr>
          <w:rFonts w:ascii="Arial" w:cs="Arial" w:eastAsia="Arial" w:hAnsi="Arial"/>
          <w:sz w:val="16"/>
          <w:szCs w:val="16"/>
          <w:color w:val="auto"/>
        </w:rPr>
      </w:pPr>
    </w:p>
    <w:p>
      <w:pPr>
        <w:jc w:val="both"/>
        <w:ind w:firstLine="8"/>
        <w:spacing w:after="0" w:line="261" w:lineRule="auto"/>
        <w:tabs>
          <w:tab w:leader="none" w:pos="283"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Dividend Equivalents, Etc</w:t>
      </w:r>
      <w:r>
        <w:rPr>
          <w:rFonts w:ascii="Arial" w:cs="Arial" w:eastAsia="Arial" w:hAnsi="Arial"/>
          <w:sz w:val="16"/>
          <w:szCs w:val="16"/>
          <w:color w:val="auto"/>
        </w:rPr>
        <w:t>. The Administrator may provide for the payment of amounts (on terms and subject to conditions established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will be subject to the same vesting and forfeiture restrictions as apply to the Awards to which they relate.</w:t>
      </w:r>
    </w:p>
    <w:p>
      <w:pPr>
        <w:spacing w:after="0" w:line="135" w:lineRule="exact"/>
        <w:rPr>
          <w:rFonts w:ascii="Arial" w:cs="Arial" w:eastAsia="Arial" w:hAnsi="Arial"/>
          <w:sz w:val="16"/>
          <w:szCs w:val="16"/>
          <w:color w:val="auto"/>
        </w:rPr>
      </w:pPr>
    </w:p>
    <w:p>
      <w:pPr>
        <w:jc w:val="both"/>
        <w:ind w:firstLine="8"/>
        <w:spacing w:after="0" w:line="260" w:lineRule="auto"/>
        <w:tabs>
          <w:tab w:leader="none" w:pos="270"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Rights Limited</w:t>
      </w:r>
      <w:r>
        <w:rPr>
          <w:rFonts w:ascii="Arial" w:cs="Arial" w:eastAsia="Arial" w:hAnsi="Arial"/>
          <w:sz w:val="16"/>
          <w:szCs w:val="16"/>
          <w:color w:val="auto"/>
        </w:rPr>
        <w:t>. Nothing in the Plan or in any Award will be construed as giving any person the right to continued employment or service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its Affiliates, or any rights as a stockholder except as to shares of Stock actually issued under the Plan; nor will anything in the Plan or in any Award affect the right of the Company or its Affiliates to discharge or discipline a Participant at any time.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37" w:lineRule="exact"/>
        <w:rPr>
          <w:rFonts w:ascii="Arial" w:cs="Arial" w:eastAsia="Arial" w:hAnsi="Arial"/>
          <w:sz w:val="16"/>
          <w:szCs w:val="16"/>
          <w:color w:val="auto"/>
        </w:rPr>
      </w:pPr>
    </w:p>
    <w:p>
      <w:pPr>
        <w:jc w:val="both"/>
        <w:ind w:firstLine="8"/>
        <w:spacing w:after="0" w:line="260" w:lineRule="auto"/>
        <w:tabs>
          <w:tab w:leader="none" w:pos="333"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Coordination with Other Plans</w:t>
      </w:r>
      <w:r>
        <w:rPr>
          <w:rFonts w:ascii="Arial" w:cs="Arial" w:eastAsia="Arial" w:hAnsi="Arial"/>
          <w:sz w:val="16"/>
          <w:szCs w:val="16"/>
          <w:color w:val="auto"/>
        </w:rPr>
        <w:t>. Awards under the Plan may be granted in tandem with, or in satisfaction of or substitution for, other Awards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w:t>
      </w:r>
    </w:p>
    <w:p>
      <w:pPr>
        <w:spacing w:after="0" w:line="137" w:lineRule="exact"/>
        <w:rPr>
          <w:rFonts w:ascii="Arial" w:cs="Arial" w:eastAsia="Arial" w:hAnsi="Arial"/>
          <w:sz w:val="16"/>
          <w:szCs w:val="16"/>
          <w:color w:val="auto"/>
        </w:rPr>
      </w:pPr>
    </w:p>
    <w:p>
      <w:pPr>
        <w:ind w:firstLine="8"/>
        <w:spacing w:after="0" w:line="286" w:lineRule="auto"/>
        <w:tabs>
          <w:tab w:leader="none" w:pos="321"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Section</w:t>
      </w:r>
      <w:r>
        <w:rPr>
          <w:rFonts w:ascii="Arial" w:cs="Arial" w:eastAsia="Arial" w:hAnsi="Arial"/>
          <w:sz w:val="16"/>
          <w:szCs w:val="16"/>
          <w:i w:val="1"/>
          <w:iCs w:val="1"/>
          <w:color w:val="auto"/>
        </w:rPr>
        <w:t xml:space="preserve"> 409A</w:t>
      </w:r>
      <w:r>
        <w:rPr>
          <w:rFonts w:ascii="Arial" w:cs="Arial" w:eastAsia="Arial" w:hAnsi="Arial"/>
          <w:sz w:val="16"/>
          <w:szCs w:val="16"/>
          <w:color w:val="auto"/>
        </w:rPr>
        <w:t>. Each Award will contain such terms as the Administrator determines, and will be construed and administered, such that the Award either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qualifies for an exemption from the requirements of Section 409A or satisfies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579120</wp:posOffset>
            </wp:positionV>
            <wp:extent cx="986155"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41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Options and SARs</w:t>
      </w:r>
      <w:r>
        <w:rPr>
          <w:rFonts w:ascii="Arial" w:cs="Arial" w:eastAsia="Arial" w:hAnsi="Arial"/>
          <w:sz w:val="16"/>
          <w:szCs w:val="16"/>
          <w:i w:val="1"/>
          <w:iCs w:val="1"/>
          <w:color w:val="auto"/>
        </w:rPr>
        <w:t>.</w:t>
      </w:r>
    </w:p>
    <w:p>
      <w:pPr>
        <w:spacing w:after="0" w:line="165" w:lineRule="exact"/>
        <w:rPr>
          <w:sz w:val="20"/>
          <w:szCs w:val="20"/>
          <w:color w:val="auto"/>
        </w:rPr>
      </w:pPr>
    </w:p>
    <w:p>
      <w:pPr>
        <w:jc w:val="both"/>
        <w:ind w:firstLine="8"/>
        <w:spacing w:after="0" w:line="265" w:lineRule="auto"/>
        <w:tabs>
          <w:tab w:leader="none" w:pos="243" w:val="left"/>
        </w:tabs>
        <w:numPr>
          <w:ilvl w:val="0"/>
          <w:numId w:val="65"/>
        </w:numPr>
        <w:rPr>
          <w:rFonts w:ascii="Arial" w:cs="Arial" w:eastAsia="Arial" w:hAnsi="Arial"/>
          <w:sz w:val="16"/>
          <w:szCs w:val="16"/>
          <w:color w:val="auto"/>
        </w:rPr>
      </w:pPr>
      <w:r>
        <w:rPr>
          <w:rFonts w:ascii="Arial" w:cs="Arial" w:eastAsia="Arial" w:hAnsi="Arial"/>
          <w:sz w:val="16"/>
          <w:szCs w:val="16"/>
          <w:i w:val="1"/>
          <w:iCs w:val="1"/>
          <w:u w:val="single" w:color="auto"/>
          <w:color w:val="auto"/>
        </w:rPr>
        <w:t>Time And Manner Of Exercise</w:t>
      </w:r>
      <w:r>
        <w:rPr>
          <w:rFonts w:ascii="Arial" w:cs="Arial" w:eastAsia="Arial" w:hAnsi="Arial"/>
          <w:sz w:val="16"/>
          <w:szCs w:val="16"/>
          <w:color w:val="auto"/>
        </w:rPr>
        <w:t>. Unless the Administrator expressly provides otherwise, no Stock Option or SAR will be deemed to have been 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118" w:lineRule="exact"/>
        <w:rPr>
          <w:rFonts w:ascii="Arial" w:cs="Arial" w:eastAsia="Arial" w:hAnsi="Arial"/>
          <w:sz w:val="16"/>
          <w:szCs w:val="16"/>
          <w:color w:val="auto"/>
        </w:rPr>
      </w:pPr>
    </w:p>
    <w:p>
      <w:pPr>
        <w:jc w:val="both"/>
        <w:ind w:firstLine="8"/>
        <w:spacing w:after="0" w:line="258" w:lineRule="auto"/>
        <w:tabs>
          <w:tab w:leader="none" w:pos="243" w:val="left"/>
        </w:tabs>
        <w:numPr>
          <w:ilvl w:val="0"/>
          <w:numId w:val="65"/>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Price</w:t>
      </w:r>
      <w:r>
        <w:rPr>
          <w:rFonts w:ascii="Arial" w:cs="Arial" w:eastAsia="Arial" w:hAnsi="Arial"/>
          <w:sz w:val="16"/>
          <w:szCs w:val="16"/>
          <w:color w:val="auto"/>
        </w:rPr>
        <w:t>. The exercise price (or the base value from which appreciation is to be measured) of each Award requiring exercise will be no less than</w:t>
      </w:r>
      <w:r>
        <w:rPr>
          <w:rFonts w:ascii="Arial" w:cs="Arial" w:eastAsia="Arial" w:hAnsi="Arial"/>
          <w:sz w:val="16"/>
          <w:szCs w:val="16"/>
          <w:i w:val="1"/>
          <w:iCs w:val="1"/>
          <w:color w:val="auto"/>
        </w:rPr>
        <w:t xml:space="preserve"> </w:t>
      </w:r>
      <w:r>
        <w:rPr>
          <w:rFonts w:ascii="Arial" w:cs="Arial" w:eastAsia="Arial" w:hAnsi="Arial"/>
          <w:sz w:val="16"/>
          <w:szCs w:val="16"/>
          <w:color w:val="auto"/>
        </w:rPr>
        <w:t>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Company may not, without obtaining stockholder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w:t>
      </w:r>
    </w:p>
    <w:p>
      <w:pPr>
        <w:spacing w:after="0" w:line="128" w:lineRule="exact"/>
        <w:rPr>
          <w:rFonts w:ascii="Arial" w:cs="Arial" w:eastAsia="Arial" w:hAnsi="Arial"/>
          <w:sz w:val="16"/>
          <w:szCs w:val="16"/>
          <w:color w:val="auto"/>
        </w:rPr>
      </w:pPr>
    </w:p>
    <w:p>
      <w:pPr>
        <w:ind w:right="20" w:firstLine="8"/>
        <w:spacing w:after="0" w:line="286" w:lineRule="auto"/>
        <w:tabs>
          <w:tab w:leader="none" w:pos="243" w:val="left"/>
        </w:tabs>
        <w:numPr>
          <w:ilvl w:val="0"/>
          <w:numId w:val="65"/>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Of Exercise Price</w:t>
      </w:r>
      <w:r>
        <w:rPr>
          <w:rFonts w:ascii="Arial" w:cs="Arial" w:eastAsia="Arial" w:hAnsi="Arial"/>
          <w:sz w:val="16"/>
          <w:szCs w:val="16"/>
          <w:color w:val="auto"/>
        </w:rPr>
        <w:t>. Where the exercise of an Award is to be accompanied by payment, payment of the exercise price will be by cash or check</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to the Administrator or by such other legally permissible means, if any, as may be acceptable to the Administrator.</w:t>
      </w:r>
    </w:p>
    <w:p>
      <w:pPr>
        <w:spacing w:after="0" w:line="115" w:lineRule="exact"/>
        <w:rPr>
          <w:rFonts w:ascii="Arial" w:cs="Arial" w:eastAsia="Arial" w:hAnsi="Arial"/>
          <w:sz w:val="16"/>
          <w:szCs w:val="16"/>
          <w:color w:val="auto"/>
        </w:rPr>
      </w:pPr>
    </w:p>
    <w:p>
      <w:pPr>
        <w:jc w:val="both"/>
        <w:ind w:firstLine="8"/>
        <w:spacing w:after="0" w:line="263" w:lineRule="auto"/>
        <w:tabs>
          <w:tab w:leader="none" w:pos="243" w:val="left"/>
        </w:tabs>
        <w:numPr>
          <w:ilvl w:val="0"/>
          <w:numId w:val="65"/>
        </w:numPr>
        <w:rPr>
          <w:rFonts w:ascii="Arial" w:cs="Arial" w:eastAsia="Arial" w:hAnsi="Arial"/>
          <w:sz w:val="16"/>
          <w:szCs w:val="16"/>
          <w:color w:val="auto"/>
        </w:rPr>
      </w:pPr>
      <w:r>
        <w:rPr>
          <w:rFonts w:ascii="Arial" w:cs="Arial" w:eastAsia="Arial" w:hAnsi="Arial"/>
          <w:sz w:val="16"/>
          <w:szCs w:val="16"/>
          <w:i w:val="1"/>
          <w:iCs w:val="1"/>
          <w:u w:val="single" w:color="auto"/>
          <w:color w:val="auto"/>
        </w:rPr>
        <w:t>Maximum Term</w:t>
      </w:r>
      <w:r>
        <w:rPr>
          <w:rFonts w:ascii="Arial" w:cs="Arial" w:eastAsia="Arial" w:hAnsi="Arial"/>
          <w:sz w:val="16"/>
          <w:szCs w:val="16"/>
          <w:color w:val="auto"/>
        </w:rPr>
        <w:t>. Stock Options and SARs will have a maximum term not to exceed ten (10) years from the date of grant (or five (5) years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in the case of an ISO granted to a ten-percent shareholder described in Section 6(b)(2) above); provided, however, that, if a Participant still holding an outstanding but unexercised NSO or SAR ten (10) years from the date of grant (or, in the case of an NSO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w:t>
      </w:r>
      <w:r>
        <w:rPr>
          <w:rFonts w:ascii="Arial" w:cs="Arial" w:eastAsia="Arial" w:hAnsi="Arial"/>
          <w:sz w:val="21"/>
          <w:szCs w:val="21"/>
          <w:color w:val="auto"/>
          <w:vertAlign w:val="superscript"/>
        </w:rPr>
        <w:t>th</w:t>
      </w:r>
      <w:r>
        <w:rPr>
          <w:rFonts w:ascii="Arial" w:cs="Arial" w:eastAsia="Arial" w:hAnsi="Arial"/>
          <w:sz w:val="16"/>
          <w:szCs w:val="16"/>
          <w:color w:val="auto"/>
        </w:rPr>
        <w:t>) day following the date the Participant is no longer prohibited from engaging in such open market sales.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7. EFFECT OF CERTAIN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Mergers, etc</w:t>
      </w:r>
      <w:r>
        <w:rPr>
          <w:rFonts w:ascii="Arial" w:cs="Arial" w:eastAsia="Arial" w:hAnsi="Arial"/>
          <w:sz w:val="16"/>
          <w:szCs w:val="16"/>
          <w:color w:val="auto"/>
        </w:rPr>
        <w:t>. Except as otherwise provided in an Award agreement, the following provisions will apply in the event of a Covered Transaction:</w:t>
      </w:r>
    </w:p>
    <w:p>
      <w:pPr>
        <w:spacing w:after="0" w:line="181" w:lineRule="exact"/>
        <w:rPr>
          <w:sz w:val="20"/>
          <w:szCs w:val="20"/>
          <w:color w:val="auto"/>
        </w:rPr>
      </w:pPr>
    </w:p>
    <w:p>
      <w:pPr>
        <w:jc w:val="both"/>
        <w:ind w:firstLine="8"/>
        <w:spacing w:after="0" w:line="266" w:lineRule="auto"/>
        <w:tabs>
          <w:tab w:leader="none" w:pos="256" w:val="left"/>
        </w:tabs>
        <w:numPr>
          <w:ilvl w:val="0"/>
          <w:numId w:val="66"/>
        </w:numPr>
        <w:rPr>
          <w:rFonts w:ascii="Arial" w:cs="Arial" w:eastAsia="Arial" w:hAnsi="Arial"/>
          <w:sz w:val="16"/>
          <w:szCs w:val="16"/>
          <w:color w:val="auto"/>
        </w:rPr>
      </w:pPr>
      <w:r>
        <w:rPr>
          <w:rFonts w:ascii="Arial" w:cs="Arial" w:eastAsia="Arial" w:hAnsi="Arial"/>
          <w:sz w:val="16"/>
          <w:szCs w:val="16"/>
          <w:i w:val="1"/>
          <w:iCs w:val="1"/>
          <w:u w:val="single" w:color="auto"/>
          <w:color w:val="auto"/>
        </w:rPr>
        <w:t>Assumption or Substitution</w:t>
      </w:r>
      <w:r>
        <w:rPr>
          <w:rFonts w:ascii="Arial" w:cs="Arial" w:eastAsia="Arial" w:hAnsi="Arial"/>
          <w:sz w:val="16"/>
          <w:szCs w:val="16"/>
          <w:color w:val="auto"/>
        </w:rPr>
        <w:t>. If the Covered Transaction is one in which there is an acquiring or surviving entity, the Administrator may (but,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avoidance of doubt, need not) provide (i) for the assumption or continuation of some or all outstanding Awards or any portion thereof or (ii) for the grant of new awards in substitution therefor by the acquiror or survivor or an affiliate of the acquiror or survivor.</w:t>
      </w:r>
    </w:p>
    <w:p>
      <w:pPr>
        <w:spacing w:after="0" w:line="130" w:lineRule="exact"/>
        <w:rPr>
          <w:rFonts w:ascii="Arial" w:cs="Arial" w:eastAsia="Arial" w:hAnsi="Arial"/>
          <w:sz w:val="16"/>
          <w:szCs w:val="16"/>
          <w:color w:val="auto"/>
        </w:rPr>
      </w:pPr>
    </w:p>
    <w:p>
      <w:pPr>
        <w:jc w:val="both"/>
        <w:ind w:firstLine="8"/>
        <w:spacing w:after="0" w:line="259" w:lineRule="auto"/>
        <w:tabs>
          <w:tab w:leader="none" w:pos="243" w:val="left"/>
        </w:tabs>
        <w:numPr>
          <w:ilvl w:val="0"/>
          <w:numId w:val="66"/>
        </w:numPr>
        <w:rPr>
          <w:rFonts w:ascii="Arial" w:cs="Arial" w:eastAsia="Arial" w:hAnsi="Arial"/>
          <w:sz w:val="16"/>
          <w:szCs w:val="16"/>
          <w:color w:val="auto"/>
        </w:rPr>
      </w:pPr>
      <w:r>
        <w:rPr>
          <w:rFonts w:ascii="Arial" w:cs="Arial" w:eastAsia="Arial" w:hAnsi="Arial"/>
          <w:sz w:val="16"/>
          <w:szCs w:val="16"/>
          <w:i w:val="1"/>
          <w:iCs w:val="1"/>
          <w:u w:val="single" w:color="auto"/>
          <w:color w:val="auto"/>
        </w:rPr>
        <w:t>Cash-Out of Awards</w:t>
      </w:r>
      <w:r>
        <w:rPr>
          <w:rFonts w:ascii="Arial" w:cs="Arial" w:eastAsia="Arial" w:hAnsi="Arial"/>
          <w:sz w:val="16"/>
          <w:szCs w:val="16"/>
          <w:color w:val="auto"/>
        </w:rPr>
        <w:t>. Subject to Section 7(a)(5) below, the Administrator may (but, for the 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(as determined in accordance with this Section 7(a)(2)), the Award may be cancelled with no payment due hereunder.</w:t>
      </w:r>
    </w:p>
    <w:p>
      <w:pPr>
        <w:spacing w:after="0" w:line="126" w:lineRule="exact"/>
        <w:rPr>
          <w:rFonts w:ascii="Arial" w:cs="Arial" w:eastAsia="Arial" w:hAnsi="Arial"/>
          <w:sz w:val="16"/>
          <w:szCs w:val="16"/>
          <w:color w:val="auto"/>
        </w:rPr>
      </w:pPr>
    </w:p>
    <w:p>
      <w:pPr>
        <w:ind w:right="20" w:firstLine="8"/>
        <w:spacing w:after="0" w:line="286" w:lineRule="auto"/>
        <w:tabs>
          <w:tab w:leader="none" w:pos="256" w:val="left"/>
        </w:tabs>
        <w:numPr>
          <w:ilvl w:val="0"/>
          <w:numId w:val="66"/>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 of Certain Awards</w:t>
      </w:r>
      <w:r>
        <w:rPr>
          <w:rFonts w:ascii="Arial" w:cs="Arial" w:eastAsia="Arial" w:hAnsi="Arial"/>
          <w:sz w:val="16"/>
          <w:szCs w:val="16"/>
          <w:color w:val="auto"/>
        </w:rPr>
        <w:t>. Subject to Section 7(a)(6) below, the Administrator may (but, for the avoidance of doubt, need not) provide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requiring exercise will become exercisable, in full or in part and/or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579120</wp:posOffset>
            </wp:positionV>
            <wp:extent cx="986155"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19" w:lineRule="exact"/>
        <w:rPr>
          <w:sz w:val="20"/>
          <w:szCs w:val="20"/>
          <w:color w:val="auto"/>
        </w:rPr>
      </w:pPr>
    </w:p>
    <w:p>
      <w:pPr>
        <w:jc w:val="both"/>
        <w:ind w:firstLine="8"/>
        <w:spacing w:after="0" w:line="262" w:lineRule="auto"/>
        <w:tabs>
          <w:tab w:leader="none" w:pos="243" w:val="left"/>
        </w:tabs>
        <w:numPr>
          <w:ilvl w:val="0"/>
          <w:numId w:val="67"/>
        </w:numPr>
        <w:rPr>
          <w:rFonts w:ascii="Arial" w:cs="Arial" w:eastAsia="Arial" w:hAnsi="Arial"/>
          <w:sz w:val="16"/>
          <w:szCs w:val="16"/>
          <w:color w:val="auto"/>
        </w:rPr>
      </w:pP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Notwithstanding anything herein to the contrary, unless otherwise expressly provided for in the Award agreement or another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 employment or severance agreement or severance plan, or under the terms of a transaction constituting a Change in Control, in the event of a Change in Control, each outstanding Award will fully vest (which, in the case of Performance Awards shall be to their maximal value) and become exercisable immediately prior to the consummation of such Change in Control, and the Administrator shall notify the Participant in writing or electronically that the Award will be fully vested and exercisable for a period of at least fifteen (15) days from the date of such notice, (which notice may be delivered prior to the consummation of the Change in Control) and the Award will terminate upon the expiration of such period if not otherwise assumed or substituted pursuant to Section 7(a)(1) above or cashed-out pursuant to Section 7(a)(2) above.</w:t>
      </w:r>
    </w:p>
    <w:p>
      <w:pPr>
        <w:spacing w:after="0" w:line="119" w:lineRule="exact"/>
        <w:rPr>
          <w:rFonts w:ascii="Arial" w:cs="Arial" w:eastAsia="Arial" w:hAnsi="Arial"/>
          <w:sz w:val="16"/>
          <w:szCs w:val="16"/>
          <w:color w:val="auto"/>
        </w:rPr>
      </w:pPr>
    </w:p>
    <w:p>
      <w:pPr>
        <w:jc w:val="both"/>
        <w:ind w:firstLine="8"/>
        <w:spacing w:after="0" w:line="275" w:lineRule="auto"/>
        <w:tabs>
          <w:tab w:leader="none" w:pos="243" w:val="left"/>
        </w:tabs>
        <w:numPr>
          <w:ilvl w:val="0"/>
          <w:numId w:val="67"/>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of Awards Upon Consummation of Covered Transaction</w:t>
      </w:r>
      <w:r>
        <w:rPr>
          <w:rFonts w:ascii="Arial" w:cs="Arial" w:eastAsia="Arial" w:hAnsi="Arial"/>
          <w:sz w:val="16"/>
          <w:szCs w:val="16"/>
          <w:color w:val="auto"/>
        </w:rPr>
        <w:t>. Except as the Administrator may otherwise determine in any case and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15-day exercise period set forth above in Section 7(a)(4), each Award will automatically terminate (and in the case of outstanding shares of Restricted Stock, will automatically be forfeited) upon consummation of the Covered Transaction, other than Awards assumed pursuant to Section 7(a)(1) above.</w:t>
      </w:r>
    </w:p>
    <w:p>
      <w:pPr>
        <w:spacing w:after="0" w:line="110" w:lineRule="exact"/>
        <w:rPr>
          <w:rFonts w:ascii="Arial" w:cs="Arial" w:eastAsia="Arial" w:hAnsi="Arial"/>
          <w:sz w:val="16"/>
          <w:szCs w:val="16"/>
          <w:color w:val="auto"/>
        </w:rPr>
      </w:pPr>
    </w:p>
    <w:p>
      <w:pPr>
        <w:jc w:val="both"/>
        <w:ind w:firstLine="8"/>
        <w:spacing w:after="0" w:line="259" w:lineRule="auto"/>
        <w:tabs>
          <w:tab w:leader="none" w:pos="243" w:val="left"/>
        </w:tabs>
        <w:numPr>
          <w:ilvl w:val="0"/>
          <w:numId w:val="67"/>
        </w:numPr>
        <w:rPr>
          <w:rFonts w:ascii="Arial" w:cs="Arial" w:eastAsia="Arial" w:hAnsi="Arial"/>
          <w:sz w:val="16"/>
          <w:szCs w:val="16"/>
          <w:color w:val="auto"/>
        </w:rPr>
      </w:pPr>
      <w:r>
        <w:rPr>
          <w:rFonts w:ascii="Arial" w:cs="Arial" w:eastAsia="Arial" w:hAnsi="Arial"/>
          <w:sz w:val="16"/>
          <w:szCs w:val="16"/>
          <w:i w:val="1"/>
          <w:iCs w:val="1"/>
          <w:u w:val="single" w:color="auto"/>
          <w:color w:val="auto"/>
        </w:rPr>
        <w:t>Additional Limitations</w:t>
      </w:r>
      <w:r>
        <w:rPr>
          <w:rFonts w:ascii="Arial" w:cs="Arial" w:eastAsia="Arial" w:hAnsi="Arial"/>
          <w:sz w:val="16"/>
          <w:szCs w:val="16"/>
          <w:color w:val="auto"/>
        </w:rPr>
        <w:t>. Any share of Stock and any cash or other property delivered pursuant to Section 7(a)(2) or Section 7(a)(3) above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26"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6"/>
          <w:szCs w:val="16"/>
          <w:color w:val="auto"/>
        </w:rPr>
      </w:pPr>
      <w:r>
        <w:rPr>
          <w:rFonts w:ascii="Arial" w:cs="Arial" w:eastAsia="Arial" w:hAnsi="Arial"/>
          <w:sz w:val="16"/>
          <w:szCs w:val="16"/>
          <w:i w:val="1"/>
          <w:iCs w:val="1"/>
          <w:u w:val="single" w:color="auto"/>
          <w:color w:val="auto"/>
        </w:rPr>
        <w:t>Changes in and Distributions With Respect to Stock</w:t>
      </w:r>
      <w:r>
        <w:rPr>
          <w:rFonts w:ascii="Arial" w:cs="Arial" w:eastAsia="Arial" w:hAnsi="Arial"/>
          <w:sz w:val="16"/>
          <w:szCs w:val="16"/>
          <w:color w:val="auto"/>
        </w:rPr>
        <w:t>.</w:t>
      </w:r>
    </w:p>
    <w:p>
      <w:pPr>
        <w:spacing w:after="0" w:line="181" w:lineRule="exact"/>
        <w:rPr>
          <w:sz w:val="20"/>
          <w:szCs w:val="20"/>
          <w:color w:val="auto"/>
        </w:rPr>
      </w:pPr>
    </w:p>
    <w:p>
      <w:pPr>
        <w:jc w:val="both"/>
        <w:ind w:firstLine="8"/>
        <w:spacing w:after="0" w:line="261" w:lineRule="auto"/>
        <w:tabs>
          <w:tab w:leader="none" w:pos="256"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Basic Adjustment Provisions</w:t>
      </w:r>
      <w:r>
        <w:rPr>
          <w:rFonts w:ascii="Arial" w:cs="Arial" w:eastAsia="Arial" w:hAnsi="Arial"/>
          <w:sz w:val="16"/>
          <w:szCs w:val="16"/>
          <w:color w:val="auto"/>
        </w:rPr>
        <w:t>. In the event of a stock dividend, stock split or combination of shares (including a reverse stock split),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or other distribution of the Company’s equity securities without the receipt of consideration by the Company,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w:t>
      </w:r>
    </w:p>
    <w:p>
      <w:pPr>
        <w:spacing w:after="0" w:line="122" w:lineRule="exact"/>
        <w:rPr>
          <w:rFonts w:ascii="Arial" w:cs="Arial" w:eastAsia="Arial" w:hAnsi="Arial"/>
          <w:sz w:val="16"/>
          <w:szCs w:val="16"/>
          <w:color w:val="auto"/>
        </w:rPr>
      </w:pPr>
    </w:p>
    <w:p>
      <w:pPr>
        <w:jc w:val="both"/>
        <w:ind w:firstLine="8"/>
        <w:spacing w:after="0" w:line="265" w:lineRule="auto"/>
        <w:tabs>
          <w:tab w:leader="none" w:pos="283"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Certain Other Adjustments</w:t>
      </w:r>
      <w:r>
        <w:rPr>
          <w:rFonts w:ascii="Arial" w:cs="Arial" w:eastAsia="Arial" w:hAnsi="Arial"/>
          <w:sz w:val="16"/>
          <w:szCs w:val="16"/>
          <w:color w:val="auto"/>
        </w:rPr>
        <w:t>. The Administrator may also make adjustments of the type described in Section 7(b)(1) above to take into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to stockholders other than those provided for in Section 7(a) and 7(b)(1), or any other event, if the Administrator determines that adjustments are appropriate to avoid distortion in the operation of the Plan, having due regard for the qualification of ISOs under Section 422 and the requirements of Section 409A, where applicable.</w:t>
      </w:r>
    </w:p>
    <w:p>
      <w:pPr>
        <w:spacing w:after="0" w:line="132" w:lineRule="exact"/>
        <w:rPr>
          <w:rFonts w:ascii="Arial" w:cs="Arial" w:eastAsia="Arial" w:hAnsi="Arial"/>
          <w:sz w:val="16"/>
          <w:szCs w:val="16"/>
          <w:color w:val="auto"/>
        </w:rPr>
      </w:pPr>
    </w:p>
    <w:p>
      <w:pPr>
        <w:ind w:firstLine="8"/>
        <w:spacing w:after="0" w:line="286" w:lineRule="auto"/>
        <w:tabs>
          <w:tab w:leader="none" w:pos="256" w:val="left"/>
        </w:tabs>
        <w:numPr>
          <w:ilvl w:val="0"/>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Continuing Application of Plan Terms</w:t>
      </w:r>
      <w:r>
        <w:rPr>
          <w:rFonts w:ascii="Arial" w:cs="Arial" w:eastAsia="Arial" w:hAnsi="Arial"/>
          <w:sz w:val="16"/>
          <w:szCs w:val="16"/>
          <w:color w:val="auto"/>
        </w:rPr>
        <w:t>. References in the Plan to shares of Stock will be construed to include any stock or securities resulting from an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pursuant to this Section 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8. LEGAL CONDITIONS ON DELIVERY OF STOCK</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584200</wp:posOffset>
            </wp:positionV>
            <wp:extent cx="986155"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41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of the Securities Act of 1933, as amended,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9. AMENDMENT AND TERMINATION</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or unless the Administrator determines in its sole discretion and prior to the date of any Covered Transaction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Any amendments to the Plan will be conditioned upon stockholder approval only to the extent, if any, such approval is required by law (including the Code and applicable stock exchange requirements), as determined by the Administrator.</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10. OTHER COMPENSATION ARRANGEMENTS</w:t>
      </w:r>
    </w:p>
    <w:p>
      <w:pPr>
        <w:spacing w:after="0" w:line="1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existence of the Plan or the grant of any Award will not in any way affect the Company’s right to Award a person bonuses or other compensation in addition to Awards under the Plan.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11. MISCELLANEOUS</w:t>
      </w:r>
    </w:p>
    <w:p>
      <w:pPr>
        <w:spacing w:after="0" w:line="180" w:lineRule="exact"/>
        <w:rPr>
          <w:sz w:val="20"/>
          <w:szCs w:val="20"/>
          <w:color w:val="auto"/>
        </w:rPr>
      </w:pPr>
    </w:p>
    <w:p>
      <w:pPr>
        <w:jc w:val="both"/>
        <w:ind w:firstLine="8"/>
        <w:spacing w:after="0" w:line="257" w:lineRule="auto"/>
        <w:tabs>
          <w:tab w:leader="none" w:pos="243" w:val="left"/>
        </w:tabs>
        <w:numPr>
          <w:ilvl w:val="0"/>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Waiver of Jury Trial</w:t>
      </w:r>
      <w:r>
        <w:rPr>
          <w:rFonts w:ascii="Arial" w:cs="Arial" w:eastAsia="Arial" w:hAnsi="Arial"/>
          <w:sz w:val="16"/>
          <w:szCs w:val="16"/>
          <w:color w:val="auto"/>
        </w:rPr>
        <w:t>. By accepting an Award under the Plan, each Participant waives any right to a trial by jury in any action, proceeding or counterclaim</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38" w:lineRule="exact"/>
        <w:rPr>
          <w:rFonts w:ascii="Arial" w:cs="Arial" w:eastAsia="Arial" w:hAnsi="Arial"/>
          <w:sz w:val="16"/>
          <w:szCs w:val="16"/>
          <w:color w:val="auto"/>
        </w:rPr>
      </w:pPr>
    </w:p>
    <w:p>
      <w:pPr>
        <w:jc w:val="both"/>
        <w:ind w:firstLine="8"/>
        <w:spacing w:after="0" w:line="260" w:lineRule="auto"/>
        <w:tabs>
          <w:tab w:leader="none" w:pos="243" w:val="left"/>
        </w:tabs>
        <w:numPr>
          <w:ilvl w:val="0"/>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Limitation of Liability</w:t>
      </w:r>
      <w:r>
        <w:rPr>
          <w:rFonts w:ascii="Arial" w:cs="Arial" w:eastAsia="Arial" w:hAnsi="Arial"/>
          <w:sz w:val="16"/>
          <w:szCs w:val="16"/>
          <w:color w:val="auto"/>
        </w:rPr>
        <w:t>. Notwithstanding anything to the contrary in the Plan, neither the Company, nor any Affiliate, nor the Administrator, nor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12. ESTABLISHMENT OF SUB-PLANS</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13.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611505</wp:posOffset>
            </wp:positionV>
            <wp:extent cx="986155"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laws of the State of Delaware will govern all questions concerning the construction, validity and interpretation of this Plan, without regard to that state’s conflict of laws rules.</w:t>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EXHIBIT A</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Definition of Terms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when used in the Plan, will have the meanings and be subject to the provisions set forth below:</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except that the Compensation Committee may delegate (i) to one or more of its members (or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other members of the Board (including the full Board)) such of its duties, powers and responsibilities as it may determine; (ii) to one or more officers of the Company the power to grant Awards or perform any of its other duties, power and responsibilities as it may determine, to the extent permitted by Section 152(b) or 157(c) of the Delaware General Corporation Law and Nasdaq Listing Rule 5635(c)(4), provided, however, that the resolution so authorizing such officer or officers shall specify the total number of Awards (if any) such officer or officers may award pursuant to such delegated authority, the time period during which such Awards may be granted and the time period during which the Shares issuable upon exercise or vesting of an Award may be issued, a minimum amount of consideration (if any) for which such Awards may be issued and a minimum amount of consideration for the Stock issuable upon the exercise of an Award, and, unless provided otherwise in such authorizing resolutions, that any such Award shall be subject to the form of Award agreement theretofore approved by the Compensation Committee and, provided, further, that such authorization shall not provide for the grant of Awards to officers or directors of the Company who are subject to the reporting requirements of Section 16(a) of the Exchange Act and no such officer shall designate himself or herself as a recipient of any Awards granted under authority delegated to such officer;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Affiliate</w:t>
      </w:r>
      <w:r>
        <w:rPr>
          <w:rFonts w:ascii="Arial" w:cs="Arial" w:eastAsia="Arial" w:hAnsi="Arial"/>
          <w:sz w:val="16"/>
          <w:szCs w:val="16"/>
          <w:i w:val="1"/>
          <w:iCs w:val="1"/>
          <w:color w:val="auto"/>
        </w:rPr>
        <w:t xml:space="preserve">”: </w:t>
      </w:r>
      <w:r>
        <w:rPr>
          <w:rFonts w:ascii="Arial" w:cs="Arial" w:eastAsia="Arial" w:hAnsi="Arial"/>
          <w:sz w:val="16"/>
          <w:szCs w:val="16"/>
          <w:color w:val="auto"/>
        </w:rPr>
        <w:t>Any corporation or other entity that stands in a relationship to the Company that would result in the Company and such corporation or other entity</w:t>
      </w:r>
      <w:r>
        <w:rPr>
          <w:rFonts w:ascii="Arial" w:cs="Arial" w:eastAsia="Arial" w:hAnsi="Arial"/>
          <w:sz w:val="16"/>
          <w:szCs w:val="16"/>
          <w:i w:val="1"/>
          <w:iCs w:val="1"/>
          <w:color w:val="auto"/>
        </w:rPr>
        <w:t xml:space="preserve"> </w:t>
      </w:r>
      <w:r>
        <w:rPr>
          <w:rFonts w:ascii="Arial" w:cs="Arial" w:eastAsia="Arial" w:hAnsi="Arial"/>
          <w:sz w:val="16"/>
          <w:szCs w:val="16"/>
          <w:color w:val="auto"/>
        </w:rPr>
        <w:t>being treated as one employer under Section 414(b) and Section 414(c) of the Code.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Award</w:t>
      </w:r>
      <w:r>
        <w:rPr>
          <w:rFonts w:ascii="Arial" w:cs="Arial" w:eastAsia="Arial" w:hAnsi="Arial"/>
          <w:sz w:val="16"/>
          <w:szCs w:val="16"/>
          <w:i w:val="1"/>
          <w:iCs w:val="1"/>
          <w:color w:val="auto"/>
        </w:rPr>
        <w:t xml:space="preserve">”: </w:t>
      </w:r>
      <w:r>
        <w:rPr>
          <w:rFonts w:ascii="Arial" w:cs="Arial" w:eastAsia="Arial" w:hAnsi="Arial"/>
          <w:sz w:val="16"/>
          <w:szCs w:val="16"/>
          <w:color w:val="auto"/>
        </w:rPr>
        <w:t>Any or a combination of the following:</w:t>
      </w:r>
    </w:p>
    <w:p>
      <w:pPr>
        <w:spacing w:after="0" w:line="167"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Stock Options.</w:t>
      </w:r>
    </w:p>
    <w:p>
      <w:pPr>
        <w:spacing w:after="0" w:line="180" w:lineRule="exact"/>
        <w:rPr>
          <w:rFonts w:ascii="Arial" w:cs="Arial" w:eastAsia="Arial" w:hAnsi="Arial"/>
          <w:sz w:val="16"/>
          <w:szCs w:val="16"/>
          <w:color w:val="auto"/>
        </w:rPr>
      </w:pPr>
    </w:p>
    <w:p>
      <w:pPr>
        <w:ind w:left="240" w:hanging="232"/>
        <w:spacing w:after="0"/>
        <w:tabs>
          <w:tab w:leader="none" w:pos="2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SARs.</w:t>
      </w:r>
    </w:p>
    <w:p>
      <w:pPr>
        <w:spacing w:after="0" w:line="167" w:lineRule="exact"/>
        <w:rPr>
          <w:rFonts w:ascii="Arial" w:cs="Arial" w:eastAsia="Arial" w:hAnsi="Arial"/>
          <w:sz w:val="16"/>
          <w:szCs w:val="16"/>
          <w:color w:val="auto"/>
        </w:rPr>
      </w:pPr>
    </w:p>
    <w:p>
      <w:pPr>
        <w:ind w:left="260" w:hanging="252"/>
        <w:spacing w:after="0"/>
        <w:tabs>
          <w:tab w:leader="none" w:pos="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Restricted Stock.</w:t>
      </w:r>
    </w:p>
    <w:p>
      <w:pPr>
        <w:spacing w:after="0" w:line="167" w:lineRule="exact"/>
        <w:rPr>
          <w:rFonts w:ascii="Arial" w:cs="Arial" w:eastAsia="Arial" w:hAnsi="Arial"/>
          <w:sz w:val="16"/>
          <w:szCs w:val="16"/>
          <w:color w:val="auto"/>
        </w:rPr>
      </w:pPr>
    </w:p>
    <w:p>
      <w:pPr>
        <w:ind w:left="280" w:hanging="272"/>
        <w:spacing w:after="0"/>
        <w:tabs>
          <w:tab w:leader="none" w:pos="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Unrestricted Stock.</w:t>
      </w:r>
    </w:p>
    <w:p>
      <w:pPr>
        <w:spacing w:after="0" w:line="180" w:lineRule="exact"/>
        <w:rPr>
          <w:rFonts w:ascii="Arial" w:cs="Arial" w:eastAsia="Arial" w:hAnsi="Arial"/>
          <w:sz w:val="16"/>
          <w:szCs w:val="16"/>
          <w:color w:val="auto"/>
        </w:rPr>
      </w:pPr>
    </w:p>
    <w:p>
      <w:pPr>
        <w:ind w:left="240" w:hanging="232"/>
        <w:spacing w:after="0"/>
        <w:tabs>
          <w:tab w:leader="none" w:pos="2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Stock Units, including Restricted Stock Units.</w:t>
      </w:r>
    </w:p>
    <w:p>
      <w:pPr>
        <w:spacing w:after="0" w:line="167" w:lineRule="exact"/>
        <w:rPr>
          <w:rFonts w:ascii="Arial" w:cs="Arial" w:eastAsia="Arial" w:hAnsi="Arial"/>
          <w:sz w:val="16"/>
          <w:szCs w:val="16"/>
          <w:color w:val="auto"/>
        </w:rPr>
      </w:pPr>
    </w:p>
    <w:p>
      <w:pPr>
        <w:ind w:left="280" w:hanging="272"/>
        <w:spacing w:after="0"/>
        <w:tabs>
          <w:tab w:leader="none" w:pos="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Performance Awards.</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Cash Awards.</w:t>
      </w:r>
    </w:p>
    <w:p>
      <w:pPr>
        <w:spacing w:after="0" w:line="180"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Awards (other than Awards described in (i) through (vii) above) that are convertible into or otherwise based on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Board</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Cash Award</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denominated in cash.</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Cause</w:t>
      </w:r>
      <w:r>
        <w:rPr>
          <w:rFonts w:ascii="Arial" w:cs="Arial" w:eastAsia="Arial" w:hAnsi="Arial"/>
          <w:sz w:val="16"/>
          <w:szCs w:val="16"/>
          <w:i w:val="1"/>
          <w:iCs w:val="1"/>
          <w:color w:val="auto"/>
        </w:rPr>
        <w:t xml:space="preserve"> ”: </w:t>
      </w:r>
      <w:r>
        <w:rPr>
          <w:rFonts w:ascii="Arial" w:cs="Arial" w:eastAsia="Arial" w:hAnsi="Arial"/>
          <w:sz w:val="16"/>
          <w:szCs w:val="16"/>
          <w:color w:val="auto"/>
        </w:rPr>
        <w:t>In the case of any Participant who is party to an employment or severance-benefit agreement that contains a definition of “Cause,” the definition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such agreement will apply with respect to such Participant under the Plan for so long as such agreement is in effect.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592455</wp:posOffset>
            </wp:positionV>
            <wp:extent cx="986155"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41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to occur of (i) a “person,” as such term is used in Sections 13(d) and 14(d) of the Exchange Act (other than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one of its subsidiaries or an employee benefit plan of the Company or any of its subsidiaries, including any trustee of such plan acting as trustee) becoming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(ii) a consummation of (x)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(y) the sale or disposition by the Company of all or substantially all the Company’s assets; or</w:t>
      </w:r>
    </w:p>
    <w:p>
      <w:pPr>
        <w:spacing w:after="0" w:line="5" w:lineRule="exact"/>
        <w:rPr>
          <w:sz w:val="20"/>
          <w:szCs w:val="20"/>
          <w:color w:val="auto"/>
        </w:rPr>
      </w:pPr>
    </w:p>
    <w:p>
      <w:pPr>
        <w:jc w:val="both"/>
        <w:ind w:firstLine="8"/>
        <w:spacing w:after="0" w:line="258" w:lineRule="auto"/>
        <w:tabs>
          <w:tab w:leader="none" w:pos="264"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a majority of the directors are Incumbent Directors. “Incumbent Directors” shall mean directors who either (A) are directors of the Company as of the date the Plan is approved by the stockholders,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Code</w:t>
      </w:r>
      <w:r>
        <w:rPr>
          <w:rFonts w:ascii="Arial" w:cs="Arial" w:eastAsia="Arial" w:hAnsi="Arial"/>
          <w:sz w:val="16"/>
          <w:szCs w:val="16"/>
          <w:i w:val="1"/>
          <w:iCs w:val="1"/>
          <w:color w:val="auto"/>
        </w:rPr>
        <w:t xml:space="preserve">”: </w:t>
      </w:r>
      <w:r>
        <w:rPr>
          <w:rFonts w:ascii="Arial" w:cs="Arial" w:eastAsia="Arial" w:hAnsi="Arial"/>
          <w:sz w:val="16"/>
          <w:szCs w:val="16"/>
          <w:color w:val="auto"/>
        </w:rPr>
        <w:t>The U.S. Internal Revenue Code of 1986 as from time to time amended and in effect, or any successor statute as from time to time in effect.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of the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Arrowhead Pharmaceuticals, Inc.</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Covered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Any of (i) a consolidation, merger, or similar transaction or series of related transactions, including a sale or other disposition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Date of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earlier of the date the Plan (for avoidance of doubt, as most recently amended and restated) was approved by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or adopted by the Board, as determined by the Compensation Committee.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Any person who is employed by the Company or an Affiliate.</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 Participant’s employment or other service relationship with the Company and its Affiliates. Employment will be deemed to continue, unless</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593090</wp:posOffset>
            </wp:positionV>
            <wp:extent cx="986155"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1CE"/>
        </w:rPr>
        <w:t xml:space="preserve">2026 PROXY STATEMENT  </w:t>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As of any date, the value of the Stock determined as follows:</w:t>
      </w:r>
    </w:p>
    <w:p>
      <w:pPr>
        <w:spacing w:after="0" w:line="181" w:lineRule="exact"/>
        <w:rPr>
          <w:sz w:val="20"/>
          <w:szCs w:val="20"/>
          <w:color w:val="auto"/>
        </w:rPr>
      </w:pPr>
    </w:p>
    <w:p>
      <w:pPr>
        <w:jc w:val="both"/>
        <w:ind w:left="660" w:hanging="328"/>
        <w:spacing w:after="0" w:line="265"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Stock is listed on any established stock exchange or traded on any established market, the Fair Market Value of a share of Stock as of any date of determination will be, unless otherwise determined by the Board, the closing sales price for such stock as quoted on such exchange or market (or the exchange or market with the greatest volume of trading in the Stock) on the date of determination, as reported in a source the Board deems reliable.</w:t>
      </w:r>
    </w:p>
    <w:p>
      <w:pPr>
        <w:spacing w:after="0" w:line="118" w:lineRule="exact"/>
        <w:rPr>
          <w:rFonts w:ascii="Arial" w:cs="Arial" w:eastAsia="Arial" w:hAnsi="Arial"/>
          <w:sz w:val="16"/>
          <w:szCs w:val="16"/>
          <w:color w:val="auto"/>
        </w:rPr>
      </w:pPr>
    </w:p>
    <w:p>
      <w:pPr>
        <w:ind w:left="660" w:hanging="328"/>
        <w:spacing w:after="0" w:line="304"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Unless otherwise provided by the Board, if there is no closing sales price for the Stock on the date of determination, then the Fair Market Value will be the closing selling price on the last preceding date for which such quotation exists.</w:t>
      </w:r>
    </w:p>
    <w:p>
      <w:pPr>
        <w:spacing w:after="0" w:line="87" w:lineRule="exact"/>
        <w:rPr>
          <w:rFonts w:ascii="Arial" w:cs="Arial" w:eastAsia="Arial" w:hAnsi="Arial"/>
          <w:sz w:val="16"/>
          <w:szCs w:val="16"/>
          <w:color w:val="auto"/>
        </w:rPr>
      </w:pPr>
    </w:p>
    <w:p>
      <w:pPr>
        <w:ind w:left="660" w:hanging="328"/>
        <w:spacing w:after="0" w:line="286" w:lineRule="auto"/>
        <w:tabs>
          <w:tab w:leader="none" w:pos="651"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absence of such markets for the Stock, the Fair Market Value will be determined by the Board in good faith and in a manner that complies with Sections 409A and 422 of the Code.</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ISO</w:t>
      </w:r>
      <w:r>
        <w:rPr>
          <w:rFonts w:ascii="Arial" w:cs="Arial" w:eastAsia="Arial" w:hAnsi="Arial"/>
          <w:sz w:val="16"/>
          <w:szCs w:val="16"/>
          <w:i w:val="1"/>
          <w:iCs w:val="1"/>
          <w:color w:val="auto"/>
        </w:rPr>
        <w:t xml:space="preserve">”: </w:t>
      </w:r>
      <w:r>
        <w:rPr>
          <w:rFonts w:ascii="Arial" w:cs="Arial" w:eastAsia="Arial" w:hAnsi="Arial"/>
          <w:sz w:val="16"/>
          <w:szCs w:val="16"/>
          <w:color w:val="auto"/>
        </w:rPr>
        <w:t>A Stock Option intended to be an “incentive stock option” within the meaning of Section 422. Each Stock Option granted pursuant to the Plan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providing by its terms that it is to be an NSO unless, as of the date of grant, it is expressly designated as an ISO.</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NSO</w:t>
      </w:r>
      <w:r>
        <w:rPr>
          <w:rFonts w:ascii="Arial" w:cs="Arial" w:eastAsia="Arial" w:hAnsi="Arial"/>
          <w:sz w:val="16"/>
          <w:szCs w:val="16"/>
          <w:i w:val="1"/>
          <w:iCs w:val="1"/>
          <w:color w:val="auto"/>
        </w:rPr>
        <w:t xml:space="preserve">”: </w:t>
      </w:r>
      <w:r>
        <w:rPr>
          <w:rFonts w:ascii="Arial" w:cs="Arial" w:eastAsia="Arial" w:hAnsi="Arial"/>
          <w:sz w:val="16"/>
          <w:szCs w:val="16"/>
          <w:color w:val="auto"/>
        </w:rPr>
        <w:t>A Stock Option that is not intended to be an “incentive stock option” within the meaning of Section 422.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 person who is granted an Award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subject to Performance Criteria.</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Performance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criteria, other than the mere continuation of Employment or the mere passage of time, the satisfaction of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for the grant, exercisability, vesting or full enjoyment of an Award. Such criteria may include, without limitation, a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Arrowhead Pharmaceuticals, Inc. 2021 Incentive Plan as from time to time amended and in effect.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Prior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Arrowhead Research Corporation 2013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Stock subject to restrictions requiring that it be redelivered or offered for sale to the Company if specified conditions are not satisfied.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 Stock Unit that is, or as to which the delivery of Stock or cash in lieu of Stock is, subject to the satisfaction of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or other vesting conditions.</w:t>
      </w:r>
    </w:p>
    <w:p>
      <w:pPr>
        <w:spacing w:after="0" w:line="1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SAR</w:t>
      </w:r>
      <w:r>
        <w:rPr>
          <w:rFonts w:ascii="Arial" w:cs="Arial" w:eastAsia="Arial" w:hAnsi="Arial"/>
          <w:sz w:val="16"/>
          <w:szCs w:val="16"/>
          <w:i w:val="1"/>
          <w:iCs w:val="1"/>
          <w:color w:val="auto"/>
        </w:rPr>
        <w:t xml:space="preserve">”: </w:t>
      </w:r>
      <w:r>
        <w:rPr>
          <w:rFonts w:ascii="Arial" w:cs="Arial" w:eastAsia="Arial" w:hAnsi="Arial"/>
          <w:sz w:val="16"/>
          <w:szCs w:val="16"/>
          <w:color w:val="auto"/>
        </w:rPr>
        <w:t>A right entitling the holder upon exercise to receive an amount (payable in cash and/or in shares of Stock of equivalent value) equal to the excess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the shares of Stock subject to the right over the base value from which appreciation under the SAR is to be measured.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of the Code.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Section 422</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621030</wp:posOffset>
            </wp:positionV>
            <wp:extent cx="986155" cy="205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418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Exhibit A - Amended and Restated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of the Company, par value $0.001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entitling the holder to acquire shares of Stock upon payment of the exercise price.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An unfunded and unsecured promise, denominated in shares of Stock, to deliver Stock or cash measured by the value of Stock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Unrestricted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Stock not subject to any restrictions under the terms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929640</wp:posOffset>
            </wp:positionV>
            <wp:extent cx="98615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84" w:name="page85"/>
    <w:bookmarkEnd w:id="84"/>
    <w:p>
      <w:pPr>
        <w:ind w:left="876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9" w:lineRule="exact"/>
        <w:rPr>
          <w:sz w:val="20"/>
          <w:szCs w:val="20"/>
          <w:color w:val="auto"/>
        </w:rPr>
      </w:pPr>
    </w:p>
    <w:p>
      <w:pPr>
        <w:ind w:left="7440"/>
        <w:spacing w:after="0"/>
        <w:tabs>
          <w:tab w:leader="none" w:pos="93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8291830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478155</wp:posOffset>
            </wp:positionV>
            <wp:extent cx="5349240" cy="6883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9240" cy="6883400"/>
                    </a:xfrm>
                    <a:prstGeom prst="rect">
                      <a:avLst/>
                    </a:prstGeom>
                    <a:noFill/>
                  </pic:spPr>
                </pic:pic>
              </a:graphicData>
            </a:graphic>
          </wp:anchor>
        </w:drawing>
      </w:r>
    </w:p>
    <w:p>
      <w:pPr>
        <w:sectPr>
          <w:pgSz w:w="11900" w:h="16838" w:orient="portrait"/>
          <w:cols w:equalWidth="0" w:num="1">
            <w:col w:w="10120"/>
          </w:cols>
          <w:pgMar w:left="1440" w:top="212" w:right="339" w:bottom="1440" w:gutter="0" w:footer="0" w:header="0"/>
        </w:sectPr>
      </w:pPr>
    </w:p>
    <w:bookmarkStart w:id="85" w:name="page86"/>
    <w:bookmarkEnd w:id="85"/>
    <w:p>
      <w:pPr>
        <w:ind w:left="876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9" w:lineRule="exact"/>
        <w:rPr>
          <w:sz w:val="20"/>
          <w:szCs w:val="20"/>
          <w:color w:val="auto"/>
        </w:rPr>
      </w:pPr>
    </w:p>
    <w:p>
      <w:pPr>
        <w:ind w:left="7440"/>
        <w:spacing w:after="0"/>
        <w:tabs>
          <w:tab w:leader="none" w:pos="9340" w:val="left"/>
        </w:tabs>
        <w:rPr>
          <w:sz w:val="20"/>
          <w:szCs w:val="20"/>
          <w:color w:val="auto"/>
        </w:rPr>
      </w:pPr>
      <w:r>
        <w:rPr>
          <w:rFonts w:ascii="Arial" w:cs="Arial" w:eastAsia="Arial" w:hAnsi="Arial"/>
          <w:sz w:val="14"/>
          <w:szCs w:val="14"/>
          <w:b w:val="1"/>
          <w:bCs w:val="1"/>
          <w:color w:val="0071CE"/>
        </w:rPr>
        <w:t>2026 PROXY STATEMENT</w:t>
      </w:r>
      <w:r>
        <w:rPr>
          <w:sz w:val="20"/>
          <w:szCs w:val="20"/>
          <w:color w:val="auto"/>
        </w:rPr>
        <w:tab/>
      </w:r>
      <w:r>
        <w:rPr>
          <w:rFonts w:ascii="Arial" w:cs="Arial" w:eastAsia="Arial" w:hAnsi="Arial"/>
          <w:sz w:val="14"/>
          <w:szCs w:val="14"/>
          <w:b w:val="1"/>
          <w:bCs w:val="1"/>
          <w:i w:val="1"/>
          <w:iCs w:val="1"/>
          <w:color w:val="3FAE2A"/>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478155</wp:posOffset>
            </wp:positionV>
            <wp:extent cx="5349240" cy="6883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49240" cy="6883400"/>
                    </a:xfrm>
                    <a:prstGeom prst="rect">
                      <a:avLst/>
                    </a:prstGeom>
                    <a:noFill/>
                  </pic:spPr>
                </pic:pic>
              </a:graphicData>
            </a:graphic>
          </wp:anchor>
        </w:drawing>
      </w:r>
    </w:p>
    <w:sectPr>
      <w:pgSz w:w="11900" w:h="16838" w:orient="portrait"/>
      <w:cols w:equalWidth="0" w:num="1">
        <w:col w:w="10120"/>
      </w:cols>
      <w:pgMar w:left="1440" w:top="2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4"/>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
      <w:numFmt w:val="bullet"/>
      <w:start w:val="1"/>
    </w:lvl>
    <w:lvl w:ilvl="1">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lvl w:ilvl="1">
      <w:lvlJc w:val="left"/>
      <w:lvlText w:val="◦"/>
      <w:numFmt w:val="bullet"/>
      <w:start w:val="1"/>
    </w:lvl>
  </w:abstractNum>
  <w:abstractNum w:abstractNumId="23">
    <w:nsid w:val="32FFF902"/>
    <w:multiLevelType w:val="hybridMultilevel"/>
    <w:lvl w:ilvl="0">
      <w:lvlJc w:val="left"/>
      <w:lvlText w:val="•"/>
      <w:numFmt w:val="bullet"/>
      <w:start w:val="1"/>
    </w:lvl>
    <w:lvl w:ilvl="1">
      <w:lvlJc w:val="left"/>
      <w:lvlText w:val="(%2)"/>
      <w:numFmt w:val="decimal"/>
      <w:start w:val="2"/>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lvl w:ilvl="1">
      <w:lvlJc w:val="left"/>
      <w:lvlText w:val="(%2)"/>
      <w:numFmt w:val="decimal"/>
      <w:start w:val="1"/>
    </w:lvl>
  </w:abstractNum>
  <w:abstractNum w:abstractNumId="38">
    <w:nsid w:val="275AC794"/>
    <w:multiLevelType w:val="hybridMultilevel"/>
    <w:lvl w:ilvl="0">
      <w:lvlJc w:val="left"/>
      <w:lvlText w:val="(%1)"/>
      <w:numFmt w:val="decimal"/>
      <w:start w:val="3"/>
    </w:lvl>
    <w:lvl w:ilvl="1">
      <w:lvlJc w:val="left"/>
      <w:lvlText w:val="%2"/>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endash "/>
      <w:numFmt w:val="bullet"/>
      <w:start w:val="1"/>
    </w:lvl>
    <w:lvl w:ilvl="1">
      <w:lvlJc w:val="left"/>
      <w:lvlText w:val="\endash "/>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5"/>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2"/>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3"/>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5"/>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upperLetter"/>
      <w:start w:val="1"/>
    </w:lvl>
  </w:abstractNum>
  <w:abstractNum w:abstractNumId="62">
    <w:nsid w:val="5DB70AE5"/>
    <w:multiLevelType w:val="hybridMultilevel"/>
    <w:lvl w:ilvl="0">
      <w:lvlJc w:val="left"/>
      <w:lvlText w:val="(%1)"/>
      <w:numFmt w:val="decimal"/>
      <w:start w:val="5"/>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4"/>
    </w:lvl>
  </w:abstractNum>
  <w:abstractNum w:abstractNumId="67">
    <w:nsid w:val="98A3148"/>
    <w:multiLevelType w:val="hybridMultilevel"/>
    <w:lvl w:ilvl="0">
      <w:lvlJc w:val="left"/>
      <w:lvlText w:val="(%1)"/>
      <w:numFmt w:val="lowerLetter"/>
      <w:start w:val="2"/>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1)"/>
      <w:numFmt w:val="lowerRoman"/>
      <w:start w:val="1"/>
    </w:lvl>
  </w:abstractNum>
  <w:abstractNum w:abstractNumId="71">
    <w:nsid w:val="168E121F"/>
    <w:multiLevelType w:val="hybridMultilevel"/>
    <w:lvl w:ilvl="0">
      <w:lvlJc w:val="left"/>
      <w:lvlText w:val="(%1)"/>
      <w:numFmt w:val="lowerRoman"/>
      <w:start w:val="3"/>
    </w:lvl>
  </w:abstractNum>
  <w:abstractNum w:abstractNumId="72">
    <w:nsid w:val="1EBA5D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2026-01-27T05:12:16Z</dcterms:created>
  <dcterms:modified xsi:type="dcterms:W3CDTF">2026-01-27T05:12:16Z</dcterms:modified>
</cp:coreProperties>
</file>