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UNDER SECTION 13 OR 15(d) OF THE SECURITIES EXCHANGE ACT OF 1934</w:t>
      </w:r>
    </w:p>
    <w:p>
      <w:pPr>
        <w:spacing w:after="0" w:line="109" w:lineRule="exact"/>
        <w:rPr>
          <w:rFonts w:ascii="MS PGothic" w:cs="MS PGothic" w:eastAsia="MS PGothic" w:hAnsi="MS PGothic"/>
          <w:sz w:val="18"/>
          <w:szCs w:val="18"/>
          <w:color w:val="auto"/>
          <w:highlight w:val="black"/>
        </w:rPr>
      </w:pPr>
    </w:p>
    <w:p>
      <w:pPr>
        <w:ind w:left="406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September 30, 2021.</w:t>
      </w:r>
    </w:p>
    <w:p>
      <w:pPr>
        <w:spacing w:after="0" w:line="12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UNDER SECTION 13 OR 15(d) OF THE SECURITIES EXCHANGE ACT OF 1934</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3360" w:type="dxa"/>
            <w:vAlign w:val="bottom"/>
            <w:gridSpan w:val="2"/>
          </w:tcPr>
          <w:p>
            <w:pPr>
              <w:ind w:left="780"/>
              <w:spacing w:after="0"/>
              <w:rPr>
                <w:sz w:val="20"/>
                <w:szCs w:val="20"/>
                <w:color w:val="auto"/>
              </w:rPr>
            </w:pPr>
            <w:r>
              <w:rPr>
                <w:rFonts w:ascii="Arial" w:cs="Arial" w:eastAsia="Arial" w:hAnsi="Arial"/>
                <w:sz w:val="16"/>
                <w:szCs w:val="16"/>
                <w:b w:val="1"/>
                <w:bCs w:val="1"/>
                <w:color w:val="auto"/>
              </w:rPr>
              <w:t>For the transition period from</w:t>
            </w:r>
          </w:p>
        </w:tc>
        <w:tc>
          <w:tcPr>
            <w:tcW w:w="4640" w:type="dxa"/>
            <w:vAlign w:val="bottom"/>
            <w:gridSpan w:val="2"/>
          </w:tcPr>
          <w:p>
            <w:pPr>
              <w:ind w:left="40"/>
              <w:spacing w:after="0"/>
              <w:rPr>
                <w:sz w:val="20"/>
                <w:szCs w:val="20"/>
                <w:color w:val="auto"/>
              </w:rPr>
            </w:pPr>
            <w:r>
              <w:rPr>
                <w:rFonts w:ascii="Arial" w:cs="Arial" w:eastAsia="Arial" w:hAnsi="Arial"/>
                <w:sz w:val="16"/>
                <w:szCs w:val="16"/>
                <w:b w:val="1"/>
                <w:bCs w:val="1"/>
                <w:color w:val="auto"/>
              </w:rPr>
              <w:t>to</w:t>
            </w:r>
          </w:p>
        </w:tc>
      </w:tr>
      <w:tr>
        <w:trPr>
          <w:trHeight w:val="310"/>
        </w:trPr>
        <w:tc>
          <w:tcPr>
            <w:tcW w:w="3240" w:type="dxa"/>
            <w:vAlign w:val="bottom"/>
          </w:tcPr>
          <w:p>
            <w:pPr>
              <w:spacing w:after="0"/>
              <w:rPr>
                <w:sz w:val="24"/>
                <w:szCs w:val="24"/>
                <w:color w:val="auto"/>
              </w:rPr>
            </w:pPr>
          </w:p>
        </w:tc>
        <w:tc>
          <w:tcPr>
            <w:tcW w:w="8000" w:type="dxa"/>
            <w:vAlign w:val="bottom"/>
            <w:gridSpan w:val="4"/>
          </w:tcPr>
          <w:p>
            <w:pPr>
              <w:jc w:val="center"/>
              <w:ind w:right="3171"/>
              <w:spacing w:after="0"/>
              <w:rPr>
                <w:sz w:val="20"/>
                <w:szCs w:val="20"/>
                <w:color w:val="auto"/>
              </w:rPr>
            </w:pPr>
            <w:r>
              <w:rPr>
                <w:rFonts w:ascii="Arial" w:cs="Arial" w:eastAsia="Arial" w:hAnsi="Arial"/>
                <w:sz w:val="16"/>
                <w:szCs w:val="16"/>
                <w:b w:val="1"/>
                <w:bCs w:val="1"/>
                <w:color w:val="auto"/>
                <w:w w:val="91"/>
              </w:rPr>
              <w:t>Commission file number 001-38042</w:t>
            </w:r>
          </w:p>
        </w:tc>
      </w:tr>
      <w:tr>
        <w:trPr>
          <w:trHeight w:val="101"/>
        </w:trPr>
        <w:tc>
          <w:tcPr>
            <w:tcW w:w="4500" w:type="dxa"/>
            <w:vAlign w:val="bottom"/>
            <w:gridSpan w:val="2"/>
          </w:tcPr>
          <w:p>
            <w:pPr>
              <w:spacing w:after="0"/>
              <w:rPr>
                <w:sz w:val="8"/>
                <w:szCs w:val="8"/>
                <w:color w:val="auto"/>
              </w:rPr>
            </w:pPr>
          </w:p>
        </w:tc>
        <w:tc>
          <w:tcPr>
            <w:tcW w:w="2240" w:type="dxa"/>
            <w:vAlign w:val="bottom"/>
            <w:tcBorders>
              <w:bottom w:val="single" w:sz="8" w:color="auto"/>
            </w:tcBorders>
            <w:gridSpan w:val="2"/>
          </w:tcPr>
          <w:p>
            <w:pPr>
              <w:spacing w:after="0"/>
              <w:rPr>
                <w:sz w:val="8"/>
                <w:szCs w:val="8"/>
                <w:color w:val="auto"/>
              </w:rPr>
            </w:pPr>
          </w:p>
        </w:tc>
        <w:tc>
          <w:tcPr>
            <w:tcW w:w="4500" w:type="dxa"/>
            <w:vAlign w:val="bottom"/>
          </w:tcPr>
          <w:p>
            <w:pPr>
              <w:spacing w:after="0"/>
              <w:rPr>
                <w:sz w:val="8"/>
                <w:szCs w:val="8"/>
                <w:color w:val="auto"/>
              </w:rPr>
            </w:pPr>
          </w:p>
        </w:tc>
      </w:tr>
      <w:tr>
        <w:trPr>
          <w:trHeight w:val="344"/>
        </w:trPr>
        <w:tc>
          <w:tcPr>
            <w:tcW w:w="11240" w:type="dxa"/>
            <w:vAlign w:val="bottom"/>
            <w:gridSpan w:val="5"/>
          </w:tcPr>
          <w:p>
            <w:pPr>
              <w:jc w:val="center"/>
              <w:spacing w:after="0"/>
              <w:rPr>
                <w:sz w:val="20"/>
                <w:szCs w:val="20"/>
                <w:color w:val="auto"/>
              </w:rPr>
            </w:pPr>
            <w:r>
              <w:rPr>
                <w:rFonts w:ascii="Arial" w:cs="Arial" w:eastAsia="Arial" w:hAnsi="Arial"/>
                <w:sz w:val="26"/>
                <w:szCs w:val="26"/>
                <w:b w:val="1"/>
                <w:bCs w:val="1"/>
                <w:color w:val="auto"/>
              </w:rPr>
              <w:t>ARROWHEAD PHARMACEUTICALS, INC.</w:t>
            </w:r>
          </w:p>
        </w:tc>
      </w:tr>
      <w:tr>
        <w:trPr>
          <w:trHeight w:val="210"/>
        </w:trPr>
        <w:tc>
          <w:tcPr>
            <w:tcW w:w="3240" w:type="dxa"/>
            <w:vAlign w:val="bottom"/>
          </w:tcPr>
          <w:p>
            <w:pPr>
              <w:spacing w:after="0"/>
              <w:rPr>
                <w:sz w:val="18"/>
                <w:szCs w:val="18"/>
                <w:color w:val="auto"/>
              </w:rPr>
            </w:pPr>
          </w:p>
        </w:tc>
        <w:tc>
          <w:tcPr>
            <w:tcW w:w="8000" w:type="dxa"/>
            <w:vAlign w:val="bottom"/>
            <w:gridSpan w:val="4"/>
          </w:tcPr>
          <w:p>
            <w:pPr>
              <w:jc w:val="center"/>
              <w:ind w:right="315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100"/>
        </w:trPr>
        <w:tc>
          <w:tcPr>
            <w:tcW w:w="3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r>
      <w:tr>
        <w:trPr>
          <w:trHeight w:val="259"/>
        </w:trPr>
        <w:tc>
          <w:tcPr>
            <w:tcW w:w="3240" w:type="dxa"/>
            <w:vAlign w:val="bottom"/>
          </w:tcPr>
          <w:p>
            <w:pPr>
              <w:jc w:val="center"/>
              <w:ind w:left="2316"/>
              <w:spacing w:after="0"/>
              <w:rPr>
                <w:sz w:val="20"/>
                <w:szCs w:val="20"/>
                <w:color w:val="auto"/>
              </w:rPr>
            </w:pPr>
            <w:r>
              <w:rPr>
                <w:rFonts w:ascii="Arial" w:cs="Arial" w:eastAsia="Arial" w:hAnsi="Arial"/>
                <w:sz w:val="16"/>
                <w:szCs w:val="16"/>
                <w:b w:val="1"/>
                <w:bCs w:val="1"/>
                <w:color w:val="auto"/>
                <w:w w:val="91"/>
              </w:rPr>
              <w:t>Delaware</w:t>
            </w:r>
          </w:p>
        </w:tc>
        <w:tc>
          <w:tcPr>
            <w:tcW w:w="12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4640" w:type="dxa"/>
            <w:vAlign w:val="bottom"/>
            <w:gridSpan w:val="2"/>
          </w:tcPr>
          <w:p>
            <w:pPr>
              <w:jc w:val="right"/>
              <w:ind w:right="2291"/>
              <w:spacing w:after="0"/>
              <w:rPr>
                <w:sz w:val="20"/>
                <w:szCs w:val="20"/>
                <w:color w:val="auto"/>
              </w:rPr>
            </w:pPr>
            <w:r>
              <w:rPr>
                <w:rFonts w:ascii="Arial" w:cs="Arial" w:eastAsia="Arial" w:hAnsi="Arial"/>
                <w:sz w:val="16"/>
                <w:szCs w:val="16"/>
                <w:b w:val="1"/>
                <w:bCs w:val="1"/>
                <w:color w:val="auto"/>
              </w:rPr>
              <w:t>46-0408024</w:t>
            </w:r>
          </w:p>
        </w:tc>
      </w:tr>
      <w:tr>
        <w:trPr>
          <w:trHeight w:val="164"/>
        </w:trPr>
        <w:tc>
          <w:tcPr>
            <w:tcW w:w="6600" w:type="dxa"/>
            <w:vAlign w:val="bottom"/>
            <w:gridSpan w:val="3"/>
          </w:tcPr>
          <w:p>
            <w:pPr>
              <w:jc w:val="center"/>
              <w:ind w:right="884"/>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140" w:type="dxa"/>
            <w:vAlign w:val="bottom"/>
          </w:tcPr>
          <w:p>
            <w:pPr>
              <w:spacing w:after="0"/>
              <w:rPr>
                <w:sz w:val="14"/>
                <w:szCs w:val="14"/>
                <w:color w:val="auto"/>
              </w:rPr>
            </w:pPr>
          </w:p>
        </w:tc>
        <w:tc>
          <w:tcPr>
            <w:tcW w:w="4500" w:type="dxa"/>
            <w:vAlign w:val="bottom"/>
          </w:tcPr>
          <w:p>
            <w:pPr>
              <w:jc w:val="center"/>
              <w:ind w:right="951"/>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245"/>
        </w:trPr>
        <w:tc>
          <w:tcPr>
            <w:tcW w:w="3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740" w:type="dxa"/>
            <w:vAlign w:val="bottom"/>
            <w:gridSpan w:val="3"/>
          </w:tcPr>
          <w:p>
            <w:pPr>
              <w:jc w:val="center"/>
              <w:ind w:right="4431"/>
              <w:spacing w:after="0"/>
              <w:rPr>
                <w:sz w:val="20"/>
                <w:szCs w:val="20"/>
                <w:color w:val="auto"/>
              </w:rPr>
            </w:pPr>
            <w:r>
              <w:rPr>
                <w:rFonts w:ascii="Arial" w:cs="Arial" w:eastAsia="Arial" w:hAnsi="Arial"/>
                <w:sz w:val="16"/>
                <w:szCs w:val="16"/>
                <w:b w:val="1"/>
                <w:bCs w:val="1"/>
                <w:color w:val="auto"/>
                <w:w w:val="91"/>
              </w:rPr>
              <w:t>177 E. Colorado Blvd, Suite 700</w:t>
            </w:r>
          </w:p>
        </w:tc>
      </w:tr>
      <w:tr>
        <w:trPr>
          <w:trHeight w:val="203"/>
        </w:trPr>
        <w:tc>
          <w:tcPr>
            <w:tcW w:w="3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00" w:type="dxa"/>
            <w:vAlign w:val="bottom"/>
          </w:tcPr>
          <w:p>
            <w:pPr>
              <w:jc w:val="center"/>
              <w:ind w:left="64"/>
              <w:spacing w:after="0"/>
              <w:rPr>
                <w:sz w:val="20"/>
                <w:szCs w:val="20"/>
                <w:color w:val="auto"/>
              </w:rPr>
            </w:pPr>
            <w:r>
              <w:rPr>
                <w:rFonts w:ascii="Arial" w:cs="Arial" w:eastAsia="Arial" w:hAnsi="Arial"/>
                <w:sz w:val="16"/>
                <w:szCs w:val="16"/>
                <w:b w:val="1"/>
                <w:bCs w:val="1"/>
                <w:color w:val="auto"/>
                <w:w w:val="91"/>
              </w:rPr>
              <w:t>Pasadena, California 91105</w:t>
            </w:r>
          </w:p>
        </w:tc>
        <w:tc>
          <w:tcPr>
            <w:tcW w:w="140" w:type="dxa"/>
            <w:vAlign w:val="bottom"/>
          </w:tcPr>
          <w:p>
            <w:pPr>
              <w:spacing w:after="0"/>
              <w:rPr>
                <w:sz w:val="17"/>
                <w:szCs w:val="17"/>
                <w:color w:val="auto"/>
              </w:rPr>
            </w:pPr>
          </w:p>
        </w:tc>
        <w:tc>
          <w:tcPr>
            <w:tcW w:w="4500" w:type="dxa"/>
            <w:vAlign w:val="bottom"/>
          </w:tcPr>
          <w:p>
            <w:pPr>
              <w:spacing w:after="0"/>
              <w:rPr>
                <w:sz w:val="17"/>
                <w:szCs w:val="17"/>
                <w:color w:val="auto"/>
              </w:rPr>
            </w:pPr>
          </w:p>
        </w:tc>
      </w:tr>
      <w:tr>
        <w:trPr>
          <w:trHeight w:val="198"/>
        </w:trPr>
        <w:tc>
          <w:tcPr>
            <w:tcW w:w="3240" w:type="dxa"/>
            <w:vAlign w:val="bottom"/>
          </w:tcPr>
          <w:p>
            <w:pPr>
              <w:spacing w:after="0"/>
              <w:rPr>
                <w:sz w:val="17"/>
                <w:szCs w:val="17"/>
                <w:color w:val="auto"/>
              </w:rPr>
            </w:pPr>
          </w:p>
        </w:tc>
        <w:tc>
          <w:tcPr>
            <w:tcW w:w="3360" w:type="dxa"/>
            <w:vAlign w:val="bottom"/>
            <w:gridSpan w:val="2"/>
          </w:tcPr>
          <w:p>
            <w:pPr>
              <w:jc w:val="center"/>
              <w:ind w:left="1342"/>
              <w:spacing w:after="0"/>
              <w:rPr>
                <w:sz w:val="20"/>
                <w:szCs w:val="20"/>
                <w:color w:val="auto"/>
              </w:rPr>
            </w:pPr>
            <w:r>
              <w:rPr>
                <w:rFonts w:ascii="Arial" w:cs="Arial" w:eastAsia="Arial" w:hAnsi="Arial"/>
                <w:sz w:val="16"/>
                <w:szCs w:val="16"/>
                <w:b w:val="1"/>
                <w:bCs w:val="1"/>
                <w:color w:val="auto"/>
                <w:w w:val="93"/>
              </w:rPr>
              <w:t>(626) 304-3400</w:t>
            </w:r>
          </w:p>
        </w:tc>
        <w:tc>
          <w:tcPr>
            <w:tcW w:w="140" w:type="dxa"/>
            <w:vAlign w:val="bottom"/>
          </w:tcPr>
          <w:p>
            <w:pPr>
              <w:spacing w:after="0"/>
              <w:rPr>
                <w:sz w:val="17"/>
                <w:szCs w:val="17"/>
                <w:color w:val="auto"/>
              </w:rPr>
            </w:pPr>
          </w:p>
        </w:tc>
        <w:tc>
          <w:tcPr>
            <w:tcW w:w="4500" w:type="dxa"/>
            <w:vAlign w:val="bottom"/>
          </w:tcPr>
          <w:p>
            <w:pPr>
              <w:spacing w:after="0"/>
              <w:rPr>
                <w:sz w:val="17"/>
                <w:szCs w:val="17"/>
                <w:color w:val="auto"/>
              </w:rPr>
            </w:pPr>
          </w:p>
        </w:tc>
      </w:tr>
      <w:tr>
        <w:trPr>
          <w:trHeight w:val="164"/>
        </w:trPr>
        <w:tc>
          <w:tcPr>
            <w:tcW w:w="3240" w:type="dxa"/>
            <w:vAlign w:val="bottom"/>
          </w:tcPr>
          <w:p>
            <w:pPr>
              <w:spacing w:after="0"/>
              <w:rPr>
                <w:sz w:val="14"/>
                <w:szCs w:val="14"/>
                <w:color w:val="auto"/>
              </w:rPr>
            </w:pPr>
          </w:p>
        </w:tc>
        <w:tc>
          <w:tcPr>
            <w:tcW w:w="8000" w:type="dxa"/>
            <w:vAlign w:val="bottom"/>
            <w:gridSpan w:val="4"/>
          </w:tcPr>
          <w:p>
            <w:pPr>
              <w:jc w:val="center"/>
              <w:ind w:right="3171"/>
              <w:spacing w:after="0"/>
              <w:rPr>
                <w:sz w:val="20"/>
                <w:szCs w:val="20"/>
                <w:color w:val="auto"/>
              </w:rPr>
            </w:pPr>
            <w:r>
              <w:rPr>
                <w:rFonts w:ascii="Arial" w:cs="Arial" w:eastAsia="Arial" w:hAnsi="Arial"/>
                <w:sz w:val="13"/>
                <w:szCs w:val="13"/>
                <w:b w:val="1"/>
                <w:bCs w:val="1"/>
                <w:color w:val="auto"/>
                <w:w w:val="86"/>
              </w:rPr>
              <w:t>(Address and telephone number of principal executive offices)</w:t>
            </w:r>
          </w:p>
        </w:tc>
      </w:tr>
      <w:tr>
        <w:trPr>
          <w:trHeight w:val="83"/>
        </w:trPr>
        <w:tc>
          <w:tcPr>
            <w:tcW w:w="3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240" w:type="dxa"/>
            <w:vAlign w:val="bottom"/>
            <w:tcBorders>
              <w:bottom w:val="single" w:sz="8" w:color="auto"/>
            </w:tcBorders>
            <w:gridSpan w:val="2"/>
          </w:tcPr>
          <w:p>
            <w:pPr>
              <w:spacing w:after="0"/>
              <w:rPr>
                <w:sz w:val="7"/>
                <w:szCs w:val="7"/>
                <w:color w:val="auto"/>
              </w:rPr>
            </w:pPr>
          </w:p>
        </w:tc>
        <w:tc>
          <w:tcPr>
            <w:tcW w:w="4500" w:type="dxa"/>
            <w:vAlign w:val="bottom"/>
          </w:tcPr>
          <w:p>
            <w:pPr>
              <w:spacing w:after="0"/>
              <w:rPr>
                <w:sz w:val="7"/>
                <w:szCs w:val="7"/>
                <w:color w:val="auto"/>
              </w:rPr>
            </w:pPr>
          </w:p>
        </w:tc>
      </w:tr>
      <w:tr>
        <w:trPr>
          <w:trHeight w:val="298"/>
        </w:trPr>
        <w:tc>
          <w:tcPr>
            <w:tcW w:w="3240" w:type="dxa"/>
            <w:vAlign w:val="bottom"/>
          </w:tcPr>
          <w:p>
            <w:pPr>
              <w:spacing w:after="0"/>
              <w:rPr>
                <w:sz w:val="24"/>
                <w:szCs w:val="24"/>
                <w:color w:val="auto"/>
              </w:rPr>
            </w:pPr>
          </w:p>
        </w:tc>
        <w:tc>
          <w:tcPr>
            <w:tcW w:w="8000" w:type="dxa"/>
            <w:vAlign w:val="bottom"/>
            <w:gridSpan w:val="4"/>
          </w:tcPr>
          <w:p>
            <w:pPr>
              <w:jc w:val="center"/>
              <w:ind w:right="3171"/>
              <w:spacing w:after="0"/>
              <w:rPr>
                <w:sz w:val="20"/>
                <w:szCs w:val="20"/>
                <w:color w:val="auto"/>
              </w:rPr>
            </w:pPr>
            <w:r>
              <w:rPr>
                <w:rFonts w:ascii="Arial" w:cs="Arial" w:eastAsia="Arial" w:hAnsi="Arial"/>
                <w:sz w:val="16"/>
                <w:szCs w:val="16"/>
                <w:b w:val="1"/>
                <w:bCs w:val="1"/>
                <w:color w:val="auto"/>
                <w:w w:val="90"/>
              </w:rPr>
              <w:t>Securities registered pursuant to Section 12(b) of the Exchange Act:</w:t>
            </w:r>
          </w:p>
        </w:tc>
      </w:tr>
      <w:tr>
        <w:trPr>
          <w:trHeight w:val="208"/>
        </w:trPr>
        <w:tc>
          <w:tcPr>
            <w:tcW w:w="3240" w:type="dxa"/>
            <w:vAlign w:val="bottom"/>
            <w:tcBorders>
              <w:bottom w:val="single" w:sz="8" w:color="auto"/>
            </w:tcBorders>
          </w:tcPr>
          <w:p>
            <w:pPr>
              <w:jc w:val="center"/>
              <w:ind w:left="816"/>
              <w:spacing w:after="0"/>
              <w:rPr>
                <w:sz w:val="20"/>
                <w:szCs w:val="20"/>
                <w:color w:val="auto"/>
              </w:rPr>
            </w:pPr>
            <w:r>
              <w:rPr>
                <w:rFonts w:ascii="Arial" w:cs="Arial" w:eastAsia="Arial" w:hAnsi="Arial"/>
                <w:sz w:val="13"/>
                <w:szCs w:val="13"/>
                <w:b w:val="1"/>
                <w:bCs w:val="1"/>
                <w:color w:val="auto"/>
                <w:w w:val="83"/>
              </w:rPr>
              <w:t>Title of each class</w:t>
            </w:r>
          </w:p>
        </w:tc>
        <w:tc>
          <w:tcPr>
            <w:tcW w:w="1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Trading Symbol(s)</w:t>
            </w:r>
          </w:p>
        </w:tc>
        <w:tc>
          <w:tcPr>
            <w:tcW w:w="14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ind w:left="1220"/>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204"/>
        </w:trPr>
        <w:tc>
          <w:tcPr>
            <w:tcW w:w="3240" w:type="dxa"/>
            <w:vAlign w:val="bottom"/>
          </w:tcPr>
          <w:p>
            <w:pPr>
              <w:jc w:val="center"/>
              <w:ind w:left="796"/>
              <w:spacing w:after="0"/>
              <w:rPr>
                <w:sz w:val="20"/>
                <w:szCs w:val="20"/>
                <w:color w:val="auto"/>
              </w:rPr>
            </w:pPr>
            <w:r>
              <w:rPr>
                <w:rFonts w:ascii="Arial" w:cs="Arial" w:eastAsia="Arial" w:hAnsi="Arial"/>
                <w:sz w:val="16"/>
                <w:szCs w:val="16"/>
                <w:b w:val="1"/>
                <w:bCs w:val="1"/>
                <w:color w:val="auto"/>
                <w:w w:val="91"/>
              </w:rPr>
              <w:t>Common Stock, $0.001 par value</w:t>
            </w:r>
          </w:p>
        </w:tc>
        <w:tc>
          <w:tcPr>
            <w:tcW w:w="126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ARWR</w:t>
            </w:r>
          </w:p>
        </w:tc>
        <w:tc>
          <w:tcPr>
            <w:tcW w:w="140" w:type="dxa"/>
            <w:vAlign w:val="bottom"/>
          </w:tcPr>
          <w:p>
            <w:pPr>
              <w:spacing w:after="0"/>
              <w:rPr>
                <w:sz w:val="17"/>
                <w:szCs w:val="17"/>
                <w:color w:val="auto"/>
              </w:rPr>
            </w:pPr>
          </w:p>
        </w:tc>
        <w:tc>
          <w:tcPr>
            <w:tcW w:w="4500" w:type="dxa"/>
            <w:vAlign w:val="bottom"/>
          </w:tcPr>
          <w:p>
            <w:pPr>
              <w:ind w:left="1220"/>
              <w:spacing w:after="0"/>
              <w:rPr>
                <w:sz w:val="20"/>
                <w:szCs w:val="20"/>
                <w:color w:val="auto"/>
              </w:rPr>
            </w:pPr>
            <w:r>
              <w:rPr>
                <w:rFonts w:ascii="Arial" w:cs="Arial" w:eastAsia="Arial" w:hAnsi="Arial"/>
                <w:sz w:val="16"/>
                <w:szCs w:val="16"/>
                <w:b w:val="1"/>
                <w:bCs w:val="1"/>
                <w:color w:val="auto"/>
              </w:rPr>
              <w:t>The Nasdaq Global Select Market</w:t>
            </w:r>
          </w:p>
        </w:tc>
      </w:tr>
    </w:tbl>
    <w:p>
      <w:pPr>
        <w:spacing w:after="0" w:line="95" w:lineRule="exact"/>
        <w:rPr>
          <w:sz w:val="24"/>
          <w:szCs w:val="24"/>
          <w:color w:val="auto"/>
        </w:rPr>
      </w:pPr>
    </w:p>
    <w:p>
      <w:pPr>
        <w:ind w:left="3660"/>
        <w:spacing w:after="0"/>
        <w:rPr>
          <w:sz w:val="20"/>
          <w:szCs w:val="20"/>
          <w:color w:val="auto"/>
        </w:rPr>
      </w:pPr>
      <w:r>
        <w:rPr>
          <w:rFonts w:ascii="Arial" w:cs="Arial" w:eastAsia="Arial" w:hAnsi="Arial"/>
          <w:sz w:val="13"/>
          <w:szCs w:val="13"/>
          <w:b w:val="1"/>
          <w:bCs w:val="1"/>
          <w:color w:val="auto"/>
        </w:rPr>
        <w:t>Securities registered pursuant to Section 12(g) of the Exchange Act: None</w:t>
      </w:r>
    </w:p>
    <w:p>
      <w:pPr>
        <w:spacing w:after="0" w:line="32" w:lineRule="exact"/>
        <w:rPr>
          <w:sz w:val="24"/>
          <w:szCs w:val="24"/>
          <w:color w:val="auto"/>
        </w:rPr>
      </w:pPr>
    </w:p>
    <w:p>
      <w:pPr>
        <w:ind w:left="520" w:right="4040"/>
        <w:spacing w:after="0" w:line="201" w:lineRule="exact"/>
        <w:rPr>
          <w:sz w:val="20"/>
          <w:szCs w:val="20"/>
          <w:color w:val="auto"/>
        </w:rPr>
      </w:pPr>
      <w:r>
        <w:rPr>
          <w:rFonts w:ascii="Arial" w:cs="Arial" w:eastAsia="Arial" w:hAnsi="Arial"/>
          <w:sz w:val="10"/>
          <w:szCs w:val="10"/>
          <w:color w:val="auto"/>
        </w:rPr>
        <w:t xml:space="preserve">Indicate by a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a check mark if the registrant is not required to file reports pursuant to Section 13 or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6" w:lineRule="exact"/>
        <w:rPr>
          <w:sz w:val="24"/>
          <w:szCs w:val="24"/>
          <w:color w:val="auto"/>
        </w:rPr>
      </w:pPr>
    </w:p>
    <w:p>
      <w:pPr>
        <w:ind w:right="80" w:firstLine="51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400" w:firstLine="51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right="220" w:firstLine="51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p>
      <w:pPr>
        <w:ind w:right="1940"/>
        <w:spacing w:after="0" w:line="174"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Non-accelerated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Smaller reporting company </w:t>
      </w:r>
      <w:r>
        <w:rPr>
          <w:rFonts w:ascii="MS PGothic" w:cs="MS PGothic" w:eastAsia="MS PGothic" w:hAnsi="MS PGothic"/>
          <w:sz w:val="13"/>
          <w:szCs w:val="13"/>
          <w:color w:val="auto"/>
        </w:rPr>
        <w:t>☐</w:t>
      </w:r>
      <w:r>
        <w:rPr>
          <w:rFonts w:ascii="Arial" w:cs="Arial" w:eastAsia="Arial" w:hAnsi="Arial"/>
          <w:sz w:val="13"/>
          <w:szCs w:val="13"/>
          <w:color w:val="auto"/>
        </w:rPr>
        <w:t xml:space="preserve"> Emerging growth company </w:t>
      </w:r>
      <w:r>
        <w:rPr>
          <w:rFonts w:ascii="MS PGothic" w:cs="MS PGothic" w:eastAsia="MS PGothic" w:hAnsi="MS PGothic"/>
          <w:sz w:val="13"/>
          <w:szCs w:val="13"/>
          <w:color w:val="auto"/>
        </w:rPr>
        <w:t>☐</w:t>
      </w:r>
    </w:p>
    <w:p>
      <w:pPr>
        <w:spacing w:after="0" w:line="256" w:lineRule="exact"/>
        <w:rPr>
          <w:sz w:val="24"/>
          <w:szCs w:val="24"/>
          <w:color w:val="auto"/>
        </w:rPr>
      </w:pPr>
    </w:p>
    <w:p>
      <w:pPr>
        <w:ind w:right="400" w:firstLine="51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 w:lineRule="exact"/>
        <w:rPr>
          <w:sz w:val="24"/>
          <w:szCs w:val="24"/>
          <w:color w:val="auto"/>
        </w:rPr>
      </w:pPr>
    </w:p>
    <w:p>
      <w:pPr>
        <w:ind w:right="240" w:firstLine="51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 w:lineRule="exact"/>
        <w:rPr>
          <w:sz w:val="24"/>
          <w:szCs w:val="24"/>
          <w:color w:val="auto"/>
        </w:rPr>
      </w:pPr>
    </w:p>
    <w:p>
      <w:pPr>
        <w:ind w:left="52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4" w:lineRule="exact"/>
        <w:rPr>
          <w:sz w:val="24"/>
          <w:szCs w:val="24"/>
          <w:color w:val="auto"/>
        </w:rPr>
      </w:pPr>
    </w:p>
    <w:p>
      <w:pPr>
        <w:ind w:right="20" w:firstLine="510"/>
        <w:spacing w:after="0" w:line="230" w:lineRule="auto"/>
        <w:rPr>
          <w:sz w:val="20"/>
          <w:szCs w:val="20"/>
          <w:color w:val="auto"/>
        </w:rPr>
      </w:pPr>
      <w:r>
        <w:rPr>
          <w:rFonts w:ascii="Arial" w:cs="Arial" w:eastAsia="Arial" w:hAnsi="Arial"/>
          <w:sz w:val="13"/>
          <w:szCs w:val="13"/>
          <w:color w:val="auto"/>
        </w:rPr>
        <w:t>The aggregate market value of issuer’s voting and non-voting outstanding Common Stock held by non-affiliates was approximately $5.9 billion based upon the closing stock price of issuer’s Common Stock on March 31, 2021. Shares of common stock held by each officer and director and by each person who is known to own 10% or more of the outstanding Common Stock have been excluded in that such persons may be deemed to be affiliates of the Company. This determination of affiliate status is not necessarily a conclusive determination for other purposes.</w:t>
      </w:r>
    </w:p>
    <w:p>
      <w:pPr>
        <w:spacing w:after="0" w:line="29" w:lineRule="exact"/>
        <w:rPr>
          <w:sz w:val="24"/>
          <w:szCs w:val="24"/>
          <w:color w:val="auto"/>
        </w:rPr>
      </w:pPr>
    </w:p>
    <w:p>
      <w:pPr>
        <w:ind w:left="520"/>
        <w:spacing w:after="0"/>
        <w:rPr>
          <w:sz w:val="20"/>
          <w:szCs w:val="20"/>
          <w:color w:val="auto"/>
        </w:rPr>
      </w:pPr>
      <w:r>
        <w:rPr>
          <w:rFonts w:ascii="Arial" w:cs="Arial" w:eastAsia="Arial" w:hAnsi="Arial"/>
          <w:sz w:val="13"/>
          <w:szCs w:val="13"/>
          <w:color w:val="auto"/>
        </w:rPr>
        <w:t>As of November 15, 2021, 104,525,708 shares of the issuer’s Common Stock were issued and outstanding.</w:t>
      </w:r>
    </w:p>
    <w:p>
      <w:pPr>
        <w:spacing w:after="0" w:line="11" w:lineRule="exact"/>
        <w:rPr>
          <w:sz w:val="24"/>
          <w:szCs w:val="24"/>
          <w:color w:val="auto"/>
        </w:rPr>
      </w:pPr>
    </w:p>
    <w:p>
      <w:pPr>
        <w:ind w:left="44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41" w:lineRule="exact"/>
        <w:rPr>
          <w:sz w:val="24"/>
          <w:szCs w:val="24"/>
          <w:color w:val="auto"/>
        </w:rPr>
      </w:pPr>
    </w:p>
    <w:p>
      <w:pPr>
        <w:ind w:left="560"/>
        <w:spacing w:after="0"/>
        <w:rPr>
          <w:sz w:val="20"/>
          <w:szCs w:val="20"/>
          <w:color w:val="auto"/>
        </w:rPr>
      </w:pPr>
      <w:r>
        <w:rPr>
          <w:rFonts w:ascii="Arial" w:cs="Arial" w:eastAsia="Arial" w:hAnsi="Arial"/>
          <w:sz w:val="13"/>
          <w:szCs w:val="13"/>
          <w:color w:val="auto"/>
        </w:rPr>
        <w:t>Portions of the Definitive Proxy Statement to be filed for Arrowhead Pharmaceuticals Inc.’s 2022 Annual Meeting of Stockholders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w:t>
            </w:r>
            <w:r>
              <w:rPr>
                <w:rFonts w:ascii="Arial" w:cs="Arial" w:eastAsia="Arial" w:hAnsi="Arial"/>
                <w:sz w:val="13"/>
                <w:szCs w:val="13"/>
                <w:color w:val="auto"/>
              </w:rPr>
              <w:t>.</w:t>
            </w:r>
          </w:p>
        </w:tc>
        <w:tc>
          <w:tcPr>
            <w:tcW w:w="640" w:type="dxa"/>
            <w:vAlign w:val="bottom"/>
            <w:tcBorders>
              <w:bottom w:val="single" w:sz="8" w:color="0000EE"/>
            </w:tcBorders>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B</w:t>
              </w:r>
              <w:r>
                <w:rPr>
                  <w:rFonts w:ascii="Arial" w:cs="Arial" w:eastAsia="Arial" w:hAnsi="Arial"/>
                  <w:sz w:val="13"/>
                  <w:szCs w:val="13"/>
                  <w:color w:val="0000EE"/>
                  <w:w w:val="89"/>
                </w:rPr>
                <w:t>USINESS</w:t>
              </w:r>
            </w:hyperlink>
          </w:p>
        </w:tc>
        <w:tc>
          <w:tcPr>
            <w:tcW w:w="9020" w:type="dxa"/>
            <w:vAlign w:val="bottom"/>
            <w:gridSpan w:val="21"/>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1A.</w:t>
            </w:r>
          </w:p>
        </w:tc>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R</w:t>
              </w:r>
              <w:r>
                <w:rPr>
                  <w:rFonts w:ascii="Arial" w:cs="Arial" w:eastAsia="Arial" w:hAnsi="Arial"/>
                  <w:sz w:val="13"/>
                  <w:szCs w:val="13"/>
                  <w:color w:val="0000EE"/>
                  <w:w w:val="92"/>
                </w:rPr>
                <w:t>ISK</w:t>
              </w:r>
              <w:r>
                <w:rPr>
                  <w:rFonts w:ascii="Arial" w:cs="Arial" w:eastAsia="Arial" w:hAnsi="Arial"/>
                  <w:sz w:val="18"/>
                  <w:szCs w:val="18"/>
                  <w:color w:val="0000EE"/>
                  <w:w w:val="92"/>
                </w:rPr>
                <w:t xml:space="preserve"> F</w:t>
              </w:r>
              <w:r>
                <w:rPr>
                  <w:rFonts w:ascii="Arial" w:cs="Arial" w:eastAsia="Arial" w:hAnsi="Arial"/>
                  <w:sz w:val="13"/>
                  <w:szCs w:val="13"/>
                  <w:color w:val="0000EE"/>
                  <w:w w:val="92"/>
                </w:rPr>
                <w:t>ACTORS</w:t>
              </w:r>
            </w:hyperlink>
          </w:p>
        </w:tc>
        <w:tc>
          <w:tcPr>
            <w:tcW w:w="8680" w:type="dxa"/>
            <w:vAlign w:val="bottom"/>
            <w:gridSpan w:val="19"/>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1B.</w:t>
            </w:r>
          </w:p>
        </w:tc>
        <w:tc>
          <w:tcPr>
            <w:tcW w:w="220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U</w:t>
              </w:r>
              <w:r>
                <w:rPr>
                  <w:rFonts w:ascii="Arial" w:cs="Arial" w:eastAsia="Arial" w:hAnsi="Arial"/>
                  <w:sz w:val="13"/>
                  <w:szCs w:val="13"/>
                  <w:color w:val="0000EE"/>
                  <w:w w:val="95"/>
                </w:rPr>
                <w:t>NRESOLVED</w:t>
              </w:r>
              <w:r>
                <w:rPr>
                  <w:rFonts w:ascii="Arial" w:cs="Arial" w:eastAsia="Arial" w:hAnsi="Arial"/>
                  <w:sz w:val="18"/>
                  <w:szCs w:val="18"/>
                  <w:color w:val="0000EE"/>
                  <w:w w:val="95"/>
                </w:rPr>
                <w:t xml:space="preserve"> S</w:t>
              </w:r>
              <w:r>
                <w:rPr>
                  <w:rFonts w:ascii="Arial" w:cs="Arial" w:eastAsia="Arial" w:hAnsi="Arial"/>
                  <w:sz w:val="13"/>
                  <w:szCs w:val="13"/>
                  <w:color w:val="0000EE"/>
                  <w:w w:val="95"/>
                </w:rPr>
                <w:t>TAFF</w:t>
              </w:r>
              <w:r>
                <w:rPr>
                  <w:rFonts w:ascii="Arial" w:cs="Arial" w:eastAsia="Arial" w:hAnsi="Arial"/>
                  <w:sz w:val="18"/>
                  <w:szCs w:val="18"/>
                  <w:color w:val="0000EE"/>
                  <w:w w:val="95"/>
                </w:rPr>
                <w:t xml:space="preserve"> C</w:t>
              </w:r>
              <w:r>
                <w:rPr>
                  <w:rFonts w:ascii="Arial" w:cs="Arial" w:eastAsia="Arial" w:hAnsi="Arial"/>
                  <w:sz w:val="13"/>
                  <w:szCs w:val="13"/>
                  <w:color w:val="0000EE"/>
                  <w:w w:val="95"/>
                </w:rPr>
                <w:t>OMMENTS</w:t>
              </w:r>
            </w:hyperlink>
          </w:p>
        </w:tc>
        <w:tc>
          <w:tcPr>
            <w:tcW w:w="7460" w:type="dxa"/>
            <w:vAlign w:val="bottom"/>
            <w:gridSpan w:val="1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2.</w:t>
            </w:r>
          </w:p>
        </w:tc>
        <w:tc>
          <w:tcPr>
            <w:tcW w:w="7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P</w:t>
              </w:r>
              <w:r>
                <w:rPr>
                  <w:rFonts w:ascii="Arial" w:cs="Arial" w:eastAsia="Arial" w:hAnsi="Arial"/>
                  <w:sz w:val="13"/>
                  <w:szCs w:val="13"/>
                  <w:color w:val="0000EE"/>
                  <w:w w:val="87"/>
                </w:rPr>
                <w:t>ROPERTIES</w:t>
              </w:r>
            </w:hyperlink>
          </w:p>
        </w:tc>
        <w:tc>
          <w:tcPr>
            <w:tcW w:w="8880" w:type="dxa"/>
            <w:vAlign w:val="bottom"/>
            <w:gridSpan w:val="20"/>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3.</w:t>
            </w:r>
          </w:p>
        </w:tc>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L</w:t>
              </w:r>
              <w:r>
                <w:rPr>
                  <w:rFonts w:ascii="Arial" w:cs="Arial" w:eastAsia="Arial" w:hAnsi="Arial"/>
                  <w:sz w:val="13"/>
                  <w:szCs w:val="13"/>
                  <w:color w:val="0000EE"/>
                  <w:w w:val="95"/>
                </w:rPr>
                <w:t>EGAL</w:t>
              </w:r>
              <w:r>
                <w:rPr>
                  <w:rFonts w:ascii="Arial" w:cs="Arial" w:eastAsia="Arial" w:hAnsi="Arial"/>
                  <w:sz w:val="18"/>
                  <w:szCs w:val="18"/>
                  <w:color w:val="0000EE"/>
                  <w:w w:val="95"/>
                </w:rPr>
                <w:t xml:space="preserve"> P</w:t>
              </w:r>
              <w:r>
                <w:rPr>
                  <w:rFonts w:ascii="Arial" w:cs="Arial" w:eastAsia="Arial" w:hAnsi="Arial"/>
                  <w:sz w:val="13"/>
                  <w:szCs w:val="13"/>
                  <w:color w:val="0000EE"/>
                  <w:w w:val="95"/>
                </w:rPr>
                <w:t>ROCEEDINGS</w:t>
              </w:r>
            </w:hyperlink>
          </w:p>
        </w:tc>
        <w:tc>
          <w:tcPr>
            <w:tcW w:w="8220" w:type="dxa"/>
            <w:vAlign w:val="bottom"/>
            <w:gridSpan w:val="1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4.</w:t>
            </w:r>
          </w:p>
        </w:tc>
        <w:tc>
          <w:tcPr>
            <w:tcW w:w="9660" w:type="dxa"/>
            <w:vAlign w:val="bottom"/>
            <w:gridSpan w:val="2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w:t>
              </w:r>
              <w:r>
                <w:rPr>
                  <w:rFonts w:ascii="Arial" w:cs="Arial" w:eastAsia="Arial" w:hAnsi="Arial"/>
                  <w:sz w:val="13"/>
                  <w:szCs w:val="13"/>
                  <w:color w:val="0000EE"/>
                </w:rPr>
                <w:t>INE</w:t>
              </w:r>
              <w:r>
                <w:rPr>
                  <w:rFonts w:ascii="Arial" w:cs="Arial" w:eastAsia="Arial" w:hAnsi="Arial"/>
                  <w:sz w:val="18"/>
                  <w:szCs w:val="18"/>
                  <w:color w:val="0000EE"/>
                </w:rPr>
                <w:t xml:space="preserve"> S</w:t>
              </w:r>
              <w:r>
                <w:rPr>
                  <w:rFonts w:ascii="Arial" w:cs="Arial" w:eastAsia="Arial" w:hAnsi="Arial"/>
                  <w:sz w:val="13"/>
                  <w:szCs w:val="13"/>
                  <w:color w:val="0000EE"/>
                </w:rPr>
                <w:t>AFETY</w:t>
              </w:r>
              <w:r>
                <w:rPr>
                  <w:rFonts w:ascii="Arial" w:cs="Arial" w:eastAsia="Arial" w:hAnsi="Arial"/>
                  <w:sz w:val="18"/>
                  <w:szCs w:val="18"/>
                  <w:color w:val="0000EE"/>
                </w:rPr>
                <w:t xml:space="preserve"> D</w:t>
              </w:r>
              <w:r>
                <w:rPr>
                  <w:rFonts w:ascii="Arial" w:cs="Arial" w:eastAsia="Arial" w:hAnsi="Arial"/>
                  <w:sz w:val="13"/>
                  <w:szCs w:val="13"/>
                  <w:color w:val="0000EE"/>
                </w:rPr>
                <w:t>ISCLOSURES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453"/>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5.</w:t>
            </w:r>
          </w:p>
        </w:tc>
        <w:tc>
          <w:tcPr>
            <w:tcW w:w="966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w:t>
              </w:r>
              <w:r>
                <w:rPr>
                  <w:rFonts w:ascii="Arial" w:cs="Arial" w:eastAsia="Arial" w:hAnsi="Arial"/>
                  <w:sz w:val="13"/>
                  <w:szCs w:val="13"/>
                  <w:color w:val="0000EE"/>
                </w:rPr>
                <w:t>ARKET FOR THE</w:t>
              </w:r>
              <w:r>
                <w:rPr>
                  <w:rFonts w:ascii="Arial" w:cs="Arial" w:eastAsia="Arial" w:hAnsi="Arial"/>
                  <w:sz w:val="18"/>
                  <w:szCs w:val="18"/>
                  <w:color w:val="0000EE"/>
                </w:rPr>
                <w:t xml:space="preserve"> R</w:t>
              </w:r>
              <w:r>
                <w:rPr>
                  <w:rFonts w:ascii="Arial" w:cs="Arial" w:eastAsia="Arial" w:hAnsi="Arial"/>
                  <w:sz w:val="13"/>
                  <w:szCs w:val="13"/>
                  <w:color w:val="0000EE"/>
                </w:rPr>
                <w:t>EGISTRANT</w:t>
              </w:r>
              <w:r>
                <w:rPr>
                  <w:rFonts w:ascii="Arial" w:cs="Arial" w:eastAsia="Arial" w:hAnsi="Arial"/>
                  <w:sz w:val="18"/>
                  <w:szCs w:val="18"/>
                  <w:color w:val="0000EE"/>
                </w:rPr>
                <w:t>’</w:t>
              </w:r>
              <w:r>
                <w:rPr>
                  <w:rFonts w:ascii="Arial" w:cs="Arial" w:eastAsia="Arial" w:hAnsi="Arial"/>
                  <w:sz w:val="13"/>
                  <w:szCs w:val="13"/>
                  <w:color w:val="0000EE"/>
                </w:rPr>
                <w:t>S</w:t>
              </w:r>
              <w:r>
                <w:rPr>
                  <w:rFonts w:ascii="Arial" w:cs="Arial" w:eastAsia="Arial" w:hAnsi="Arial"/>
                  <w:sz w:val="18"/>
                  <w:szCs w:val="18"/>
                  <w:color w:val="0000EE"/>
                </w:rPr>
                <w:t xml:space="preserve"> C</w:t>
              </w:r>
              <w:r>
                <w:rPr>
                  <w:rFonts w:ascii="Arial" w:cs="Arial" w:eastAsia="Arial" w:hAnsi="Arial"/>
                  <w:sz w:val="13"/>
                  <w:szCs w:val="13"/>
                  <w:color w:val="0000EE"/>
                </w:rPr>
                <w:t>OMMON</w:t>
              </w:r>
              <w:r>
                <w:rPr>
                  <w:rFonts w:ascii="Arial" w:cs="Arial" w:eastAsia="Arial" w:hAnsi="Arial"/>
                  <w:sz w:val="18"/>
                  <w:szCs w:val="18"/>
                  <w:color w:val="0000EE"/>
                </w:rPr>
                <w:t xml:space="preserve"> E</w:t>
              </w:r>
              <w:r>
                <w:rPr>
                  <w:rFonts w:ascii="Arial" w:cs="Arial" w:eastAsia="Arial" w:hAnsi="Arial"/>
                  <w:sz w:val="13"/>
                  <w:szCs w:val="13"/>
                  <w:color w:val="0000EE"/>
                </w:rPr>
                <w:t>QUITY</w:t>
              </w:r>
              <w:r>
                <w:rPr>
                  <w:rFonts w:ascii="Arial" w:cs="Arial" w:eastAsia="Arial" w:hAnsi="Arial"/>
                  <w:sz w:val="18"/>
                  <w:szCs w:val="18"/>
                  <w:color w:val="0000EE"/>
                </w:rPr>
                <w:t>, R</w:t>
              </w:r>
              <w:r>
                <w:rPr>
                  <w:rFonts w:ascii="Arial" w:cs="Arial" w:eastAsia="Arial" w:hAnsi="Arial"/>
                  <w:sz w:val="13"/>
                  <w:szCs w:val="13"/>
                  <w:color w:val="0000EE"/>
                </w:rPr>
                <w:t>ELATED</w:t>
              </w:r>
              <w:r>
                <w:rPr>
                  <w:rFonts w:ascii="Arial" w:cs="Arial" w:eastAsia="Arial" w:hAnsi="Arial"/>
                  <w:sz w:val="18"/>
                  <w:szCs w:val="18"/>
                  <w:color w:val="0000EE"/>
                </w:rPr>
                <w:t xml:space="preserve"> S</w:t>
              </w:r>
              <w:r>
                <w:rPr>
                  <w:rFonts w:ascii="Arial" w:cs="Arial" w:eastAsia="Arial" w:hAnsi="Arial"/>
                  <w:sz w:val="13"/>
                  <w:szCs w:val="13"/>
                  <w:color w:val="0000EE"/>
                </w:rPr>
                <w:t>TOCKHOLDER</w:t>
              </w:r>
              <w:r>
                <w:rPr>
                  <w:rFonts w:ascii="Arial" w:cs="Arial" w:eastAsia="Arial" w:hAnsi="Arial"/>
                  <w:sz w:val="18"/>
                  <w:szCs w:val="18"/>
                  <w:color w:val="0000EE"/>
                </w:rPr>
                <w:t xml:space="preserve"> M</w:t>
              </w:r>
              <w:r>
                <w:rPr>
                  <w:rFonts w:ascii="Arial" w:cs="Arial" w:eastAsia="Arial" w:hAnsi="Arial"/>
                  <w:sz w:val="13"/>
                  <w:szCs w:val="13"/>
                  <w:color w:val="0000EE"/>
                </w:rPr>
                <w:t>ATTERS AND</w:t>
              </w:r>
              <w:r>
                <w:rPr>
                  <w:rFonts w:ascii="Arial" w:cs="Arial" w:eastAsia="Arial" w:hAnsi="Arial"/>
                  <w:sz w:val="18"/>
                  <w:szCs w:val="18"/>
                  <w:color w:val="0000EE"/>
                </w:rPr>
                <w:t xml:space="preserve"> I</w:t>
              </w:r>
              <w:r>
                <w:rPr>
                  <w:rFonts w:ascii="Arial" w:cs="Arial" w:eastAsia="Arial" w:hAnsi="Arial"/>
                  <w:sz w:val="13"/>
                  <w:szCs w:val="13"/>
                  <w:color w:val="0000EE"/>
                </w:rPr>
                <w:t>SSUER</w:t>
              </w:r>
              <w:r>
                <w:rPr>
                  <w:rFonts w:ascii="Arial" w:cs="Arial" w:eastAsia="Arial" w:hAnsi="Arial"/>
                  <w:sz w:val="18"/>
                  <w:szCs w:val="18"/>
                  <w:color w:val="0000EE"/>
                </w:rPr>
                <w:t xml:space="preserve"> P</w:t>
              </w:r>
              <w:r>
                <w:rPr>
                  <w:rFonts w:ascii="Arial" w:cs="Arial" w:eastAsia="Arial" w:hAnsi="Arial"/>
                  <w:sz w:val="13"/>
                  <w:szCs w:val="13"/>
                  <w:color w:val="0000EE"/>
                </w:rPr>
                <w:t>URCHASES OF</w:t>
              </w:r>
              <w:r>
                <w:rPr>
                  <w:rFonts w:ascii="Arial" w:cs="Arial" w:eastAsia="Arial" w:hAnsi="Arial"/>
                  <w:sz w:val="18"/>
                  <w:szCs w:val="18"/>
                  <w:color w:val="0000EE"/>
                </w:rPr>
                <w:t xml:space="preserve"> E</w:t>
              </w:r>
              <w:r>
                <w:rPr>
                  <w:rFonts w:ascii="Arial" w:cs="Arial" w:eastAsia="Arial" w:hAnsi="Arial"/>
                  <w:sz w:val="13"/>
                  <w:szCs w:val="13"/>
                  <w:color w:val="0000EE"/>
                </w:rPr>
                <w:t>QUITY</w:t>
              </w:r>
              <w:r>
                <w:rPr>
                  <w:rFonts w:ascii="Arial" w:cs="Arial" w:eastAsia="Arial" w:hAnsi="Arial"/>
                  <w:sz w:val="18"/>
                  <w:szCs w:val="18"/>
                  <w:color w:val="0000EE"/>
                </w:rPr>
                <w:t xml:space="preserve"> S</w:t>
              </w:r>
              <w:r>
                <w:rPr>
                  <w:rFonts w:ascii="Arial" w:cs="Arial" w:eastAsia="Arial" w:hAnsi="Arial"/>
                  <w:sz w:val="13"/>
                  <w:szCs w:val="13"/>
                  <w:color w:val="0000EE"/>
                </w:rPr>
                <w:t>ECURITIES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6.</w:t>
            </w: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0"/>
              </w:rPr>
            </w:pPr>
            <w:hyperlink w:anchor="page52">
              <w:r>
                <w:rPr>
                  <w:rFonts w:ascii="Arial" w:cs="Arial" w:eastAsia="Arial" w:hAnsi="Arial"/>
                  <w:sz w:val="18"/>
                  <w:szCs w:val="18"/>
                  <w:color w:val="0000EE"/>
                  <w:w w:val="80"/>
                </w:rPr>
                <w:t>Reserved</w:t>
              </w:r>
            </w:hyperlink>
          </w:p>
        </w:tc>
        <w:tc>
          <w:tcPr>
            <w:tcW w:w="8680" w:type="dxa"/>
            <w:vAlign w:val="bottom"/>
            <w:tcBorders>
              <w:top w:val="single" w:sz="8" w:color="0000EE"/>
            </w:tcBorders>
            <w:gridSpan w:val="20"/>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7.</w:t>
            </w:r>
          </w:p>
        </w:tc>
        <w:tc>
          <w:tcPr>
            <w:tcW w:w="9660" w:type="dxa"/>
            <w:vAlign w:val="bottom"/>
            <w:gridSpan w:val="2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M</w:t>
              </w:r>
              <w:r>
                <w:rPr>
                  <w:rFonts w:ascii="Arial" w:cs="Arial" w:eastAsia="Arial" w:hAnsi="Arial"/>
                  <w:sz w:val="13"/>
                  <w:szCs w:val="13"/>
                  <w:color w:val="0000EE"/>
                </w:rPr>
                <w:t>ANAGEMENT</w:t>
              </w:r>
              <w:r>
                <w:rPr>
                  <w:rFonts w:ascii="Arial" w:cs="Arial" w:eastAsia="Arial" w:hAnsi="Arial"/>
                  <w:sz w:val="18"/>
                  <w:szCs w:val="18"/>
                  <w:color w:val="0000EE"/>
                </w:rPr>
                <w:t>’</w:t>
              </w:r>
              <w:r>
                <w:rPr>
                  <w:rFonts w:ascii="Arial" w:cs="Arial" w:eastAsia="Arial" w:hAnsi="Arial"/>
                  <w:sz w:val="13"/>
                  <w:szCs w:val="13"/>
                  <w:color w:val="0000EE"/>
                </w:rPr>
                <w:t>S</w:t>
              </w:r>
              <w:r>
                <w:rPr>
                  <w:rFonts w:ascii="Arial" w:cs="Arial" w:eastAsia="Arial" w:hAnsi="Arial"/>
                  <w:sz w:val="18"/>
                  <w:szCs w:val="18"/>
                  <w:color w:val="0000EE"/>
                </w:rPr>
                <w:t xml:space="preserve"> D</w:t>
              </w:r>
              <w:r>
                <w:rPr>
                  <w:rFonts w:ascii="Arial" w:cs="Arial" w:eastAsia="Arial" w:hAnsi="Arial"/>
                  <w:sz w:val="13"/>
                  <w:szCs w:val="13"/>
                  <w:color w:val="0000EE"/>
                </w:rPr>
                <w:t>ISCUSSION AND</w:t>
              </w:r>
              <w:r>
                <w:rPr>
                  <w:rFonts w:ascii="Arial" w:cs="Arial" w:eastAsia="Arial" w:hAnsi="Arial"/>
                  <w:sz w:val="18"/>
                  <w:szCs w:val="18"/>
                  <w:color w:val="0000EE"/>
                </w:rPr>
                <w:t xml:space="preserve"> A</w:t>
              </w:r>
              <w:r>
                <w:rPr>
                  <w:rFonts w:ascii="Arial" w:cs="Arial" w:eastAsia="Arial" w:hAnsi="Arial"/>
                  <w:sz w:val="13"/>
                  <w:szCs w:val="13"/>
                  <w:color w:val="0000EE"/>
                </w:rPr>
                <w:t>NALYSIS OF</w:t>
              </w:r>
              <w:r>
                <w:rPr>
                  <w:rFonts w:ascii="Arial" w:cs="Arial" w:eastAsia="Arial" w:hAnsi="Arial"/>
                  <w:sz w:val="18"/>
                  <w:szCs w:val="18"/>
                  <w:color w:val="0000EE"/>
                </w:rPr>
                <w:t xml:space="preserve"> F</w:t>
              </w:r>
              <w:r>
                <w:rPr>
                  <w:rFonts w:ascii="Arial" w:cs="Arial" w:eastAsia="Arial" w:hAnsi="Arial"/>
                  <w:sz w:val="13"/>
                  <w:szCs w:val="13"/>
                  <w:color w:val="0000EE"/>
                </w:rPr>
                <w:t>INANCIAL</w:t>
              </w:r>
              <w:r>
                <w:rPr>
                  <w:rFonts w:ascii="Arial" w:cs="Arial" w:eastAsia="Arial" w:hAnsi="Arial"/>
                  <w:sz w:val="18"/>
                  <w:szCs w:val="18"/>
                  <w:color w:val="0000EE"/>
                </w:rPr>
                <w:t xml:space="preserve"> C</w:t>
              </w:r>
              <w:r>
                <w:rPr>
                  <w:rFonts w:ascii="Arial" w:cs="Arial" w:eastAsia="Arial" w:hAnsi="Arial"/>
                  <w:sz w:val="13"/>
                  <w:szCs w:val="13"/>
                  <w:color w:val="0000EE"/>
                </w:rPr>
                <w:t>ONDITION AND</w:t>
              </w:r>
              <w:r>
                <w:rPr>
                  <w:rFonts w:ascii="Arial" w:cs="Arial" w:eastAsia="Arial" w:hAnsi="Arial"/>
                  <w:sz w:val="18"/>
                  <w:szCs w:val="18"/>
                  <w:color w:val="0000EE"/>
                </w:rPr>
                <w:t xml:space="preserve"> R</w:t>
              </w:r>
              <w:r>
                <w:rPr>
                  <w:rFonts w:ascii="Arial" w:cs="Arial" w:eastAsia="Arial" w:hAnsi="Arial"/>
                  <w:sz w:val="13"/>
                  <w:szCs w:val="13"/>
                  <w:color w:val="0000EE"/>
                </w:rPr>
                <w:t>ESULTS OF</w:t>
              </w:r>
              <w:r>
                <w:rPr>
                  <w:rFonts w:ascii="Arial" w:cs="Arial" w:eastAsia="Arial" w:hAnsi="Arial"/>
                  <w:sz w:val="18"/>
                  <w:szCs w:val="18"/>
                  <w:color w:val="0000EE"/>
                </w:rPr>
                <w:t xml:space="preserve"> O</w:t>
              </w:r>
              <w:r>
                <w:rPr>
                  <w:rFonts w:ascii="Arial" w:cs="Arial" w:eastAsia="Arial" w:hAnsi="Arial"/>
                  <w:sz w:val="13"/>
                  <w:szCs w:val="13"/>
                  <w:color w:val="0000EE"/>
                </w:rPr>
                <w:t>PERATIONS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7A.</w:t>
            </w:r>
          </w:p>
        </w:tc>
        <w:tc>
          <w:tcPr>
            <w:tcW w:w="48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Q</w:t>
              </w:r>
              <w:r>
                <w:rPr>
                  <w:rFonts w:ascii="Arial" w:cs="Arial" w:eastAsia="Arial" w:hAnsi="Arial"/>
                  <w:sz w:val="13"/>
                  <w:szCs w:val="13"/>
                  <w:color w:val="0000EE"/>
                </w:rPr>
                <w:t>UANTITATIVE AND</w:t>
              </w:r>
              <w:r>
                <w:rPr>
                  <w:rFonts w:ascii="Arial" w:cs="Arial" w:eastAsia="Arial" w:hAnsi="Arial"/>
                  <w:sz w:val="18"/>
                  <w:szCs w:val="18"/>
                  <w:color w:val="0000EE"/>
                </w:rPr>
                <w:t xml:space="preserve"> Q</w:t>
              </w:r>
              <w:r>
                <w:rPr>
                  <w:rFonts w:ascii="Arial" w:cs="Arial" w:eastAsia="Arial" w:hAnsi="Arial"/>
                  <w:sz w:val="13"/>
                  <w:szCs w:val="13"/>
                  <w:color w:val="0000EE"/>
                </w:rPr>
                <w:t>UALITATIVE</w:t>
              </w:r>
              <w:r>
                <w:rPr>
                  <w:rFonts w:ascii="Arial" w:cs="Arial" w:eastAsia="Arial" w:hAnsi="Arial"/>
                  <w:sz w:val="18"/>
                  <w:szCs w:val="18"/>
                  <w:color w:val="0000EE"/>
                </w:rPr>
                <w:t xml:space="preserve"> D</w:t>
              </w:r>
              <w:r>
                <w:rPr>
                  <w:rFonts w:ascii="Arial" w:cs="Arial" w:eastAsia="Arial" w:hAnsi="Arial"/>
                  <w:sz w:val="13"/>
                  <w:szCs w:val="13"/>
                  <w:color w:val="0000EE"/>
                </w:rPr>
                <w:t>ISCLOSURES</w:t>
              </w:r>
              <w:r>
                <w:rPr>
                  <w:rFonts w:ascii="Arial" w:cs="Arial" w:eastAsia="Arial" w:hAnsi="Arial"/>
                  <w:sz w:val="18"/>
                  <w:szCs w:val="18"/>
                  <w:color w:val="0000EE"/>
                </w:rPr>
                <w:t xml:space="preserve"> A</w:t>
              </w:r>
              <w:r>
                <w:rPr>
                  <w:rFonts w:ascii="Arial" w:cs="Arial" w:eastAsia="Arial" w:hAnsi="Arial"/>
                  <w:sz w:val="13"/>
                  <w:szCs w:val="13"/>
                  <w:color w:val="0000EE"/>
                </w:rPr>
                <w:t>BOUT</w:t>
              </w:r>
              <w:r>
                <w:rPr>
                  <w:rFonts w:ascii="Arial" w:cs="Arial" w:eastAsia="Arial" w:hAnsi="Arial"/>
                  <w:sz w:val="18"/>
                  <w:szCs w:val="18"/>
                  <w:color w:val="0000EE"/>
                </w:rPr>
                <w:t xml:space="preserve"> M</w:t>
              </w:r>
              <w:r>
                <w:rPr>
                  <w:rFonts w:ascii="Arial" w:cs="Arial" w:eastAsia="Arial" w:hAnsi="Arial"/>
                  <w:sz w:val="13"/>
                  <w:szCs w:val="13"/>
                  <w:color w:val="0000EE"/>
                </w:rPr>
                <w:t>ARKET</w:t>
              </w:r>
              <w:r>
                <w:rPr>
                  <w:rFonts w:ascii="Arial" w:cs="Arial" w:eastAsia="Arial" w:hAnsi="Arial"/>
                  <w:sz w:val="18"/>
                  <w:szCs w:val="18"/>
                  <w:color w:val="0000EE"/>
                </w:rPr>
                <w:t xml:space="preserve"> R</w:t>
              </w:r>
              <w:r>
                <w:rPr>
                  <w:rFonts w:ascii="Arial" w:cs="Arial" w:eastAsia="Arial" w:hAnsi="Arial"/>
                  <w:sz w:val="13"/>
                  <w:szCs w:val="13"/>
                  <w:color w:val="0000EE"/>
                </w:rPr>
                <w:t>ISK</w:t>
              </w:r>
            </w:hyperlink>
          </w:p>
        </w:tc>
        <w:tc>
          <w:tcPr>
            <w:tcW w:w="2160" w:type="dxa"/>
            <w:vAlign w:val="bottom"/>
            <w:tcBorders>
              <w:top w:val="single" w:sz="8" w:color="0000EE"/>
            </w:tcBorders>
            <w:gridSpan w:val="2"/>
          </w:tcPr>
          <w:p>
            <w:pPr>
              <w:spacing w:after="0"/>
              <w:rPr>
                <w:sz w:val="17"/>
                <w:szCs w:val="17"/>
                <w:color w:val="auto"/>
              </w:rPr>
            </w:pPr>
          </w:p>
        </w:tc>
        <w:tc>
          <w:tcPr>
            <w:tcW w:w="266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8.</w:t>
            </w:r>
          </w:p>
        </w:tc>
        <w:tc>
          <w:tcPr>
            <w:tcW w:w="3620" w:type="dxa"/>
            <w:vAlign w:val="bottom"/>
            <w:tcBorders>
              <w:bottom w:val="single" w:sz="8" w:color="0000EE"/>
            </w:tcBorders>
            <w:gridSpan w:val="13"/>
          </w:tcPr>
          <w:p>
            <w:pPr>
              <w:spacing w:after="0" w:line="196" w:lineRule="exact"/>
              <w:rPr>
                <w:rFonts w:ascii="Arial" w:cs="Arial" w:eastAsia="Arial" w:hAnsi="Arial"/>
                <w:sz w:val="18"/>
                <w:szCs w:val="18"/>
                <w:color w:val="0000EE"/>
                <w:w w:val="98"/>
              </w:rPr>
            </w:pPr>
            <w:hyperlink w:anchor="page64">
              <w:r>
                <w:rPr>
                  <w:rFonts w:ascii="Arial" w:cs="Arial" w:eastAsia="Arial" w:hAnsi="Arial"/>
                  <w:sz w:val="18"/>
                  <w:szCs w:val="18"/>
                  <w:color w:val="0000EE"/>
                  <w:w w:val="98"/>
                </w:rPr>
                <w:t>F</w:t>
              </w:r>
              <w:r>
                <w:rPr>
                  <w:rFonts w:ascii="Arial" w:cs="Arial" w:eastAsia="Arial" w:hAnsi="Arial"/>
                  <w:sz w:val="13"/>
                  <w:szCs w:val="13"/>
                  <w:color w:val="0000EE"/>
                  <w:w w:val="98"/>
                </w:rPr>
                <w:t>INANCIAL</w:t>
              </w:r>
              <w:r>
                <w:rPr>
                  <w:rFonts w:ascii="Arial" w:cs="Arial" w:eastAsia="Arial" w:hAnsi="Arial"/>
                  <w:sz w:val="18"/>
                  <w:szCs w:val="18"/>
                  <w:color w:val="0000EE"/>
                  <w:w w:val="98"/>
                </w:rPr>
                <w:t xml:space="preserve"> S</w:t>
              </w:r>
              <w:r>
                <w:rPr>
                  <w:rFonts w:ascii="Arial" w:cs="Arial" w:eastAsia="Arial" w:hAnsi="Arial"/>
                  <w:sz w:val="13"/>
                  <w:szCs w:val="13"/>
                  <w:color w:val="0000EE"/>
                  <w:w w:val="98"/>
                </w:rPr>
                <w:t>TATEMENTS AND</w:t>
              </w:r>
              <w:r>
                <w:rPr>
                  <w:rFonts w:ascii="Arial" w:cs="Arial" w:eastAsia="Arial" w:hAnsi="Arial"/>
                  <w:sz w:val="18"/>
                  <w:szCs w:val="18"/>
                  <w:color w:val="0000EE"/>
                  <w:w w:val="98"/>
                </w:rPr>
                <w:t xml:space="preserve"> S</w:t>
              </w:r>
              <w:r>
                <w:rPr>
                  <w:rFonts w:ascii="Arial" w:cs="Arial" w:eastAsia="Arial" w:hAnsi="Arial"/>
                  <w:sz w:val="13"/>
                  <w:szCs w:val="13"/>
                  <w:color w:val="0000EE"/>
                  <w:w w:val="98"/>
                </w:rPr>
                <w:t>UPPLEMENTARY</w:t>
              </w:r>
              <w:r>
                <w:rPr>
                  <w:rFonts w:ascii="Arial" w:cs="Arial" w:eastAsia="Arial" w:hAnsi="Arial"/>
                  <w:sz w:val="18"/>
                  <w:szCs w:val="18"/>
                  <w:color w:val="0000EE"/>
                  <w:w w:val="98"/>
                </w:rPr>
                <w:t xml:space="preserve"> D</w:t>
              </w:r>
              <w:r>
                <w:rPr>
                  <w:rFonts w:ascii="Arial" w:cs="Arial" w:eastAsia="Arial" w:hAnsi="Arial"/>
                  <w:sz w:val="13"/>
                  <w:szCs w:val="13"/>
                  <w:color w:val="0000EE"/>
                  <w:w w:val="98"/>
                </w:rPr>
                <w:t>ATA</w:t>
              </w:r>
            </w:hyperlink>
          </w:p>
        </w:tc>
        <w:tc>
          <w:tcPr>
            <w:tcW w:w="6040" w:type="dxa"/>
            <w:vAlign w:val="bottom"/>
            <w:gridSpan w:val="9"/>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9.</w:t>
            </w:r>
          </w:p>
        </w:tc>
        <w:tc>
          <w:tcPr>
            <w:tcW w:w="9660" w:type="dxa"/>
            <w:vAlign w:val="bottom"/>
            <w:gridSpan w:val="2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w:t>
              </w:r>
              <w:r>
                <w:rPr>
                  <w:rFonts w:ascii="Arial" w:cs="Arial" w:eastAsia="Arial" w:hAnsi="Arial"/>
                  <w:sz w:val="13"/>
                  <w:szCs w:val="13"/>
                  <w:color w:val="0000EE"/>
                </w:rPr>
                <w:t>HANGES IN AND</w:t>
              </w:r>
              <w:r>
                <w:rPr>
                  <w:rFonts w:ascii="Arial" w:cs="Arial" w:eastAsia="Arial" w:hAnsi="Arial"/>
                  <w:sz w:val="18"/>
                  <w:szCs w:val="18"/>
                  <w:color w:val="0000EE"/>
                </w:rPr>
                <w:t xml:space="preserve"> D</w:t>
              </w:r>
              <w:r>
                <w:rPr>
                  <w:rFonts w:ascii="Arial" w:cs="Arial" w:eastAsia="Arial" w:hAnsi="Arial"/>
                  <w:sz w:val="13"/>
                  <w:szCs w:val="13"/>
                  <w:color w:val="0000EE"/>
                </w:rPr>
                <w:t>ISAGREEMENTS WITH</w:t>
              </w:r>
              <w:r>
                <w:rPr>
                  <w:rFonts w:ascii="Arial" w:cs="Arial" w:eastAsia="Arial" w:hAnsi="Arial"/>
                  <w:sz w:val="18"/>
                  <w:szCs w:val="18"/>
                  <w:color w:val="0000EE"/>
                </w:rPr>
                <w:t xml:space="preserve"> A</w:t>
              </w:r>
              <w:r>
                <w:rPr>
                  <w:rFonts w:ascii="Arial" w:cs="Arial" w:eastAsia="Arial" w:hAnsi="Arial"/>
                  <w:sz w:val="13"/>
                  <w:szCs w:val="13"/>
                  <w:color w:val="0000EE"/>
                </w:rPr>
                <w:t>CCOUNTANTS ON</w:t>
              </w:r>
              <w:r>
                <w:rPr>
                  <w:rFonts w:ascii="Arial" w:cs="Arial" w:eastAsia="Arial" w:hAnsi="Arial"/>
                  <w:sz w:val="18"/>
                  <w:szCs w:val="18"/>
                  <w:color w:val="0000EE"/>
                </w:rPr>
                <w:t xml:space="preserve"> A</w:t>
              </w:r>
              <w:r>
                <w:rPr>
                  <w:rFonts w:ascii="Arial" w:cs="Arial" w:eastAsia="Arial" w:hAnsi="Arial"/>
                  <w:sz w:val="13"/>
                  <w:szCs w:val="13"/>
                  <w:color w:val="0000EE"/>
                </w:rPr>
                <w:t>CCOUNTING AND</w:t>
              </w:r>
              <w:r>
                <w:rPr>
                  <w:rFonts w:ascii="Arial" w:cs="Arial" w:eastAsia="Arial" w:hAnsi="Arial"/>
                  <w:sz w:val="18"/>
                  <w:szCs w:val="18"/>
                  <w:color w:val="0000EE"/>
                </w:rPr>
                <w:t xml:space="preserve"> F</w:t>
              </w:r>
              <w:r>
                <w:rPr>
                  <w:rFonts w:ascii="Arial" w:cs="Arial" w:eastAsia="Arial" w:hAnsi="Arial"/>
                  <w:sz w:val="13"/>
                  <w:szCs w:val="13"/>
                  <w:color w:val="0000EE"/>
                </w:rPr>
                <w:t>INANCIAL</w:t>
              </w:r>
              <w:r>
                <w:rPr>
                  <w:rFonts w:ascii="Arial" w:cs="Arial" w:eastAsia="Arial" w:hAnsi="Arial"/>
                  <w:sz w:val="18"/>
                  <w:szCs w:val="18"/>
                  <w:color w:val="0000EE"/>
                </w:rPr>
                <w:t xml:space="preserve"> D</w:t>
              </w:r>
              <w:r>
                <w:rPr>
                  <w:rFonts w:ascii="Arial" w:cs="Arial" w:eastAsia="Arial" w:hAnsi="Arial"/>
                  <w:sz w:val="13"/>
                  <w:szCs w:val="13"/>
                  <w:color w:val="0000EE"/>
                </w:rPr>
                <w:t>ISCLOSURE</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9A.</w:t>
            </w:r>
          </w:p>
        </w:tc>
        <w:tc>
          <w:tcPr>
            <w:tcW w:w="20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64">
              <w:r>
                <w:rPr>
                  <w:rFonts w:ascii="Arial" w:cs="Arial" w:eastAsia="Arial" w:hAnsi="Arial"/>
                  <w:sz w:val="18"/>
                  <w:szCs w:val="18"/>
                  <w:color w:val="0000EE"/>
                  <w:w w:val="95"/>
                </w:rPr>
                <w:t>C</w:t>
              </w:r>
              <w:r>
                <w:rPr>
                  <w:rFonts w:ascii="Arial" w:cs="Arial" w:eastAsia="Arial" w:hAnsi="Arial"/>
                  <w:sz w:val="13"/>
                  <w:szCs w:val="13"/>
                  <w:color w:val="0000EE"/>
                  <w:w w:val="95"/>
                </w:rPr>
                <w:t>ONTROLS AND</w:t>
              </w:r>
              <w:r>
                <w:rPr>
                  <w:rFonts w:ascii="Arial" w:cs="Arial" w:eastAsia="Arial" w:hAnsi="Arial"/>
                  <w:sz w:val="18"/>
                  <w:szCs w:val="18"/>
                  <w:color w:val="0000EE"/>
                  <w:w w:val="95"/>
                </w:rPr>
                <w:t xml:space="preserve"> P</w:t>
              </w:r>
              <w:r>
                <w:rPr>
                  <w:rFonts w:ascii="Arial" w:cs="Arial" w:eastAsia="Arial" w:hAnsi="Arial"/>
                  <w:sz w:val="13"/>
                  <w:szCs w:val="13"/>
                  <w:color w:val="0000EE"/>
                  <w:w w:val="95"/>
                </w:rPr>
                <w:t>ROCEDURES</w:t>
              </w:r>
            </w:hyperlink>
          </w:p>
        </w:tc>
        <w:tc>
          <w:tcPr>
            <w:tcW w:w="5080" w:type="dxa"/>
            <w:vAlign w:val="bottom"/>
            <w:tcBorders>
              <w:top w:val="single" w:sz="8" w:color="0000EE"/>
            </w:tcBorders>
            <w:gridSpan w:val="11"/>
          </w:tcPr>
          <w:p>
            <w:pPr>
              <w:spacing w:after="0"/>
              <w:rPr>
                <w:sz w:val="17"/>
                <w:szCs w:val="17"/>
                <w:color w:val="auto"/>
              </w:rPr>
            </w:pPr>
          </w:p>
        </w:tc>
        <w:tc>
          <w:tcPr>
            <w:tcW w:w="2580" w:type="dxa"/>
            <w:vAlign w:val="bottom"/>
            <w:gridSpan w:val="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9B.</w:t>
            </w:r>
          </w:p>
        </w:tc>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65">
              <w:r>
                <w:rPr>
                  <w:rFonts w:ascii="Arial" w:cs="Arial" w:eastAsia="Arial" w:hAnsi="Arial"/>
                  <w:sz w:val="18"/>
                  <w:szCs w:val="18"/>
                  <w:color w:val="0000EE"/>
                  <w:w w:val="96"/>
                </w:rPr>
                <w:t>O</w:t>
              </w:r>
              <w:r>
                <w:rPr>
                  <w:rFonts w:ascii="Arial" w:cs="Arial" w:eastAsia="Arial" w:hAnsi="Arial"/>
                  <w:sz w:val="13"/>
                  <w:szCs w:val="13"/>
                  <w:color w:val="0000EE"/>
                  <w:w w:val="96"/>
                </w:rPr>
                <w:t>THER</w:t>
              </w:r>
              <w:r>
                <w:rPr>
                  <w:rFonts w:ascii="Arial" w:cs="Arial" w:eastAsia="Arial" w:hAnsi="Arial"/>
                  <w:sz w:val="18"/>
                  <w:szCs w:val="18"/>
                  <w:color w:val="0000EE"/>
                  <w:w w:val="96"/>
                </w:rPr>
                <w:t xml:space="preserve"> I</w:t>
              </w:r>
              <w:r>
                <w:rPr>
                  <w:rFonts w:ascii="Arial" w:cs="Arial" w:eastAsia="Arial" w:hAnsi="Arial"/>
                  <w:sz w:val="13"/>
                  <w:szCs w:val="13"/>
                  <w:color w:val="0000EE"/>
                  <w:w w:val="96"/>
                </w:rPr>
                <w:t>NFORMATION</w:t>
              </w:r>
            </w:hyperlink>
          </w:p>
        </w:tc>
        <w:tc>
          <w:tcPr>
            <w:tcW w:w="8220" w:type="dxa"/>
            <w:vAlign w:val="bottom"/>
            <w:gridSpan w:val="1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9C.</w:t>
            </w:r>
          </w:p>
        </w:tc>
        <w:tc>
          <w:tcPr>
            <w:tcW w:w="9660" w:type="dxa"/>
            <w:vAlign w:val="bottom"/>
            <w:gridSpan w:val="22"/>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D</w:t>
              </w:r>
              <w:r>
                <w:rPr>
                  <w:rFonts w:ascii="Arial" w:cs="Arial" w:eastAsia="Arial" w:hAnsi="Arial"/>
                  <w:sz w:val="10"/>
                  <w:szCs w:val="10"/>
                  <w:color w:val="0000EE"/>
                </w:rPr>
                <w:t>ISCLOSURE</w:t>
              </w:r>
              <w:r>
                <w:rPr>
                  <w:rFonts w:ascii="Arial" w:cs="Arial" w:eastAsia="Arial" w:hAnsi="Arial"/>
                  <w:sz w:val="16"/>
                  <w:szCs w:val="16"/>
                  <w:color w:val="0000EE"/>
                </w:rPr>
                <w:t xml:space="preserve"> R</w:t>
              </w:r>
              <w:r>
                <w:rPr>
                  <w:rFonts w:ascii="Arial" w:cs="Arial" w:eastAsia="Arial" w:hAnsi="Arial"/>
                  <w:sz w:val="10"/>
                  <w:szCs w:val="10"/>
                  <w:color w:val="0000EE"/>
                </w:rPr>
                <w:t>EGARDING</w:t>
              </w:r>
              <w:r>
                <w:rPr>
                  <w:rFonts w:ascii="Arial" w:cs="Arial" w:eastAsia="Arial" w:hAnsi="Arial"/>
                  <w:sz w:val="16"/>
                  <w:szCs w:val="16"/>
                  <w:color w:val="0000EE"/>
                </w:rPr>
                <w:t xml:space="preserve"> F</w:t>
              </w:r>
              <w:r>
                <w:rPr>
                  <w:rFonts w:ascii="Arial" w:cs="Arial" w:eastAsia="Arial" w:hAnsi="Arial"/>
                  <w:sz w:val="10"/>
                  <w:szCs w:val="10"/>
                  <w:color w:val="0000EE"/>
                </w:rPr>
                <w:t>OREIGN</w:t>
              </w:r>
              <w:r>
                <w:rPr>
                  <w:rFonts w:ascii="Arial" w:cs="Arial" w:eastAsia="Arial" w:hAnsi="Arial"/>
                  <w:sz w:val="16"/>
                  <w:szCs w:val="16"/>
                  <w:color w:val="0000EE"/>
                </w:rPr>
                <w:t xml:space="preserve"> J</w:t>
              </w:r>
              <w:r>
                <w:rPr>
                  <w:rFonts w:ascii="Arial" w:cs="Arial" w:eastAsia="Arial" w:hAnsi="Arial"/>
                  <w:sz w:val="10"/>
                  <w:szCs w:val="10"/>
                  <w:color w:val="0000EE"/>
                </w:rPr>
                <w:t>URSIDICTIONS</w:t>
              </w:r>
              <w:r>
                <w:rPr>
                  <w:rFonts w:ascii="Arial" w:cs="Arial" w:eastAsia="Arial" w:hAnsi="Arial"/>
                  <w:sz w:val="16"/>
                  <w:szCs w:val="16"/>
                  <w:color w:val="0000EE"/>
                </w:rPr>
                <w:t xml:space="preserve"> T</w:t>
              </w:r>
              <w:r>
                <w:rPr>
                  <w:rFonts w:ascii="Arial" w:cs="Arial" w:eastAsia="Arial" w:hAnsi="Arial"/>
                  <w:sz w:val="10"/>
                  <w:szCs w:val="10"/>
                  <w:color w:val="0000EE"/>
                </w:rPr>
                <w:t>HAT</w:t>
              </w:r>
              <w:r>
                <w:rPr>
                  <w:rFonts w:ascii="Arial" w:cs="Arial" w:eastAsia="Arial" w:hAnsi="Arial"/>
                  <w:sz w:val="16"/>
                  <w:szCs w:val="16"/>
                  <w:color w:val="0000EE"/>
                </w:rPr>
                <w:t xml:space="preserve"> P</w:t>
              </w:r>
              <w:r>
                <w:rPr>
                  <w:rFonts w:ascii="Arial" w:cs="Arial" w:eastAsia="Arial" w:hAnsi="Arial"/>
                  <w:sz w:val="10"/>
                  <w:szCs w:val="10"/>
                  <w:color w:val="0000EE"/>
                </w:rPr>
                <w:t>REVENT</w:t>
              </w:r>
              <w:r>
                <w:rPr>
                  <w:rFonts w:ascii="Arial" w:cs="Arial" w:eastAsia="Arial" w:hAnsi="Arial"/>
                  <w:sz w:val="16"/>
                  <w:szCs w:val="16"/>
                  <w:color w:val="0000EE"/>
                </w:rPr>
                <w:t xml:space="preserve"> I</w:t>
              </w:r>
              <w:r>
                <w:rPr>
                  <w:rFonts w:ascii="Arial" w:cs="Arial" w:eastAsia="Arial" w:hAnsi="Arial"/>
                  <w:sz w:val="10"/>
                  <w:szCs w:val="10"/>
                  <w:color w:val="0000EE"/>
                </w:rPr>
                <w:t>NSPECTIONS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453"/>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10.</w:t>
            </w:r>
          </w:p>
        </w:tc>
        <w:tc>
          <w:tcPr>
            <w:tcW w:w="9660" w:type="dxa"/>
            <w:vAlign w:val="bottom"/>
            <w:gridSpan w:val="22"/>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D</w:t>
              </w:r>
              <w:r>
                <w:rPr>
                  <w:rFonts w:ascii="Arial" w:cs="Arial" w:eastAsia="Arial" w:hAnsi="Arial"/>
                  <w:sz w:val="13"/>
                  <w:szCs w:val="13"/>
                  <w:color w:val="0000EE"/>
                </w:rPr>
                <w:t>IRECTORS</w:t>
              </w:r>
              <w:r>
                <w:rPr>
                  <w:rFonts w:ascii="Arial" w:cs="Arial" w:eastAsia="Arial" w:hAnsi="Arial"/>
                  <w:sz w:val="18"/>
                  <w:szCs w:val="18"/>
                  <w:color w:val="0000EE"/>
                </w:rPr>
                <w:t>, E</w:t>
              </w:r>
              <w:r>
                <w:rPr>
                  <w:rFonts w:ascii="Arial" w:cs="Arial" w:eastAsia="Arial" w:hAnsi="Arial"/>
                  <w:sz w:val="13"/>
                  <w:szCs w:val="13"/>
                  <w:color w:val="0000EE"/>
                </w:rPr>
                <w:t>XECUTIVE</w:t>
              </w:r>
              <w:r>
                <w:rPr>
                  <w:rFonts w:ascii="Arial" w:cs="Arial" w:eastAsia="Arial" w:hAnsi="Arial"/>
                  <w:sz w:val="18"/>
                  <w:szCs w:val="18"/>
                  <w:color w:val="0000EE"/>
                </w:rPr>
                <w:t xml:space="preserve"> O</w:t>
              </w:r>
              <w:r>
                <w:rPr>
                  <w:rFonts w:ascii="Arial" w:cs="Arial" w:eastAsia="Arial" w:hAnsi="Arial"/>
                  <w:sz w:val="13"/>
                  <w:szCs w:val="13"/>
                  <w:color w:val="0000EE"/>
                </w:rPr>
                <w:t>FFICERS</w:t>
              </w:r>
              <w:r>
                <w:rPr>
                  <w:rFonts w:ascii="Arial" w:cs="Arial" w:eastAsia="Arial" w:hAnsi="Arial"/>
                  <w:sz w:val="18"/>
                  <w:szCs w:val="18"/>
                  <w:color w:val="0000EE"/>
                </w:rPr>
                <w:t xml:space="preserve">, </w:t>
              </w:r>
              <w:r>
                <w:rPr>
                  <w:rFonts w:ascii="Arial" w:cs="Arial" w:eastAsia="Arial" w:hAnsi="Arial"/>
                  <w:sz w:val="13"/>
                  <w:szCs w:val="13"/>
                  <w:color w:val="0000EE"/>
                </w:rPr>
                <w:t>AND</w:t>
              </w:r>
              <w:r>
                <w:rPr>
                  <w:rFonts w:ascii="Arial" w:cs="Arial" w:eastAsia="Arial" w:hAnsi="Arial"/>
                  <w:sz w:val="18"/>
                  <w:szCs w:val="18"/>
                  <w:color w:val="0000EE"/>
                </w:rPr>
                <w:t xml:space="preserve"> C</w:t>
              </w:r>
              <w:r>
                <w:rPr>
                  <w:rFonts w:ascii="Arial" w:cs="Arial" w:eastAsia="Arial" w:hAnsi="Arial"/>
                  <w:sz w:val="13"/>
                  <w:szCs w:val="13"/>
                  <w:color w:val="0000EE"/>
                </w:rPr>
                <w:t>ORPORATE</w:t>
              </w:r>
              <w:r>
                <w:rPr>
                  <w:rFonts w:ascii="Arial" w:cs="Arial" w:eastAsia="Arial" w:hAnsi="Arial"/>
                  <w:sz w:val="18"/>
                  <w:szCs w:val="18"/>
                  <w:color w:val="0000EE"/>
                </w:rPr>
                <w:t xml:space="preserve"> G</w:t>
              </w:r>
              <w:r>
                <w:rPr>
                  <w:rFonts w:ascii="Arial" w:cs="Arial" w:eastAsia="Arial" w:hAnsi="Arial"/>
                  <w:sz w:val="13"/>
                  <w:szCs w:val="13"/>
                  <w:color w:val="0000EE"/>
                </w:rPr>
                <w:t>OVERNANCE</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11.</w:t>
            </w:r>
          </w:p>
        </w:tc>
        <w:tc>
          <w:tcPr>
            <w:tcW w:w="45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E</w:t>
              </w:r>
              <w:r>
                <w:rPr>
                  <w:rFonts w:ascii="Arial" w:cs="Arial" w:eastAsia="Arial" w:hAnsi="Arial"/>
                  <w:sz w:val="13"/>
                  <w:szCs w:val="13"/>
                  <w:color w:val="0000EE"/>
                </w:rPr>
                <w:t>XECUTIVE</w:t>
              </w:r>
              <w:r>
                <w:rPr>
                  <w:rFonts w:ascii="Arial" w:cs="Arial" w:eastAsia="Arial" w:hAnsi="Arial"/>
                  <w:sz w:val="18"/>
                  <w:szCs w:val="18"/>
                  <w:color w:val="0000EE"/>
                </w:rPr>
                <w:t xml:space="preserve"> C</w:t>
              </w:r>
              <w:r>
                <w:rPr>
                  <w:rFonts w:ascii="Arial" w:cs="Arial" w:eastAsia="Arial" w:hAnsi="Arial"/>
                  <w:sz w:val="13"/>
                  <w:szCs w:val="13"/>
                  <w:color w:val="0000EE"/>
                </w:rPr>
                <w:t>OMPENSATION</w:t>
              </w:r>
            </w:hyperlink>
          </w:p>
        </w:tc>
        <w:tc>
          <w:tcPr>
            <w:tcW w:w="5080" w:type="dxa"/>
            <w:vAlign w:val="bottom"/>
            <w:gridSpan w:val="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12.</w:t>
            </w:r>
          </w:p>
        </w:tc>
        <w:tc>
          <w:tcPr>
            <w:tcW w:w="9660" w:type="dxa"/>
            <w:vAlign w:val="bottom"/>
            <w:gridSpan w:val="22"/>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w:t>
              </w:r>
              <w:r>
                <w:rPr>
                  <w:rFonts w:ascii="Arial" w:cs="Arial" w:eastAsia="Arial" w:hAnsi="Arial"/>
                  <w:sz w:val="13"/>
                  <w:szCs w:val="13"/>
                  <w:color w:val="0000EE"/>
                </w:rPr>
                <w:t>ECURITY</w:t>
              </w:r>
              <w:r>
                <w:rPr>
                  <w:rFonts w:ascii="Arial" w:cs="Arial" w:eastAsia="Arial" w:hAnsi="Arial"/>
                  <w:sz w:val="18"/>
                  <w:szCs w:val="18"/>
                  <w:color w:val="0000EE"/>
                </w:rPr>
                <w:t xml:space="preserve"> O</w:t>
              </w:r>
              <w:r>
                <w:rPr>
                  <w:rFonts w:ascii="Arial" w:cs="Arial" w:eastAsia="Arial" w:hAnsi="Arial"/>
                  <w:sz w:val="13"/>
                  <w:szCs w:val="13"/>
                  <w:color w:val="0000EE"/>
                </w:rPr>
                <w:t>WNERSHIP OF</w:t>
              </w:r>
              <w:r>
                <w:rPr>
                  <w:rFonts w:ascii="Arial" w:cs="Arial" w:eastAsia="Arial" w:hAnsi="Arial"/>
                  <w:sz w:val="18"/>
                  <w:szCs w:val="18"/>
                  <w:color w:val="0000EE"/>
                </w:rPr>
                <w:t xml:space="preserve"> C</w:t>
              </w:r>
              <w:r>
                <w:rPr>
                  <w:rFonts w:ascii="Arial" w:cs="Arial" w:eastAsia="Arial" w:hAnsi="Arial"/>
                  <w:sz w:val="13"/>
                  <w:szCs w:val="13"/>
                  <w:color w:val="0000EE"/>
                </w:rPr>
                <w:t>ERTAIN</w:t>
              </w:r>
              <w:r>
                <w:rPr>
                  <w:rFonts w:ascii="Arial" w:cs="Arial" w:eastAsia="Arial" w:hAnsi="Arial"/>
                  <w:sz w:val="18"/>
                  <w:szCs w:val="18"/>
                  <w:color w:val="0000EE"/>
                </w:rPr>
                <w:t xml:space="preserve"> B</w:t>
              </w:r>
              <w:r>
                <w:rPr>
                  <w:rFonts w:ascii="Arial" w:cs="Arial" w:eastAsia="Arial" w:hAnsi="Arial"/>
                  <w:sz w:val="13"/>
                  <w:szCs w:val="13"/>
                  <w:color w:val="0000EE"/>
                </w:rPr>
                <w:t>ENEFICIAL</w:t>
              </w:r>
              <w:r>
                <w:rPr>
                  <w:rFonts w:ascii="Arial" w:cs="Arial" w:eastAsia="Arial" w:hAnsi="Arial"/>
                  <w:sz w:val="18"/>
                  <w:szCs w:val="18"/>
                  <w:color w:val="0000EE"/>
                </w:rPr>
                <w:t xml:space="preserve"> O</w:t>
              </w:r>
              <w:r>
                <w:rPr>
                  <w:rFonts w:ascii="Arial" w:cs="Arial" w:eastAsia="Arial" w:hAnsi="Arial"/>
                  <w:sz w:val="13"/>
                  <w:szCs w:val="13"/>
                  <w:color w:val="0000EE"/>
                </w:rPr>
                <w:t>WNERS AND</w:t>
              </w:r>
              <w:r>
                <w:rPr>
                  <w:rFonts w:ascii="Arial" w:cs="Arial" w:eastAsia="Arial" w:hAnsi="Arial"/>
                  <w:sz w:val="18"/>
                  <w:szCs w:val="18"/>
                  <w:color w:val="0000EE"/>
                </w:rPr>
                <w:t xml:space="preserve"> M</w:t>
              </w:r>
              <w:r>
                <w:rPr>
                  <w:rFonts w:ascii="Arial" w:cs="Arial" w:eastAsia="Arial" w:hAnsi="Arial"/>
                  <w:sz w:val="13"/>
                  <w:szCs w:val="13"/>
                  <w:color w:val="0000EE"/>
                </w:rPr>
                <w:t>ANAGEMENT AND</w:t>
              </w:r>
              <w:r>
                <w:rPr>
                  <w:rFonts w:ascii="Arial" w:cs="Arial" w:eastAsia="Arial" w:hAnsi="Arial"/>
                  <w:sz w:val="18"/>
                  <w:szCs w:val="18"/>
                  <w:color w:val="0000EE"/>
                </w:rPr>
                <w:t xml:space="preserve"> R</w:t>
              </w:r>
              <w:r>
                <w:rPr>
                  <w:rFonts w:ascii="Arial" w:cs="Arial" w:eastAsia="Arial" w:hAnsi="Arial"/>
                  <w:sz w:val="13"/>
                  <w:szCs w:val="13"/>
                  <w:color w:val="0000EE"/>
                </w:rPr>
                <w:t>ELATED</w:t>
              </w:r>
              <w:r>
                <w:rPr>
                  <w:rFonts w:ascii="Arial" w:cs="Arial" w:eastAsia="Arial" w:hAnsi="Arial"/>
                  <w:sz w:val="18"/>
                  <w:szCs w:val="18"/>
                  <w:color w:val="0000EE"/>
                </w:rPr>
                <w:t xml:space="preserve"> S</w:t>
              </w:r>
              <w:r>
                <w:rPr>
                  <w:rFonts w:ascii="Arial" w:cs="Arial" w:eastAsia="Arial" w:hAnsi="Arial"/>
                  <w:sz w:val="13"/>
                  <w:szCs w:val="13"/>
                  <w:color w:val="0000EE"/>
                </w:rPr>
                <w:t>TOCKHOLDERS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13.</w:t>
            </w:r>
          </w:p>
        </w:tc>
        <w:tc>
          <w:tcPr>
            <w:tcW w:w="57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8"/>
              </w:rPr>
            </w:pPr>
            <w:hyperlink w:anchor="page66">
              <w:r>
                <w:rPr>
                  <w:rFonts w:ascii="Arial" w:cs="Arial" w:eastAsia="Arial" w:hAnsi="Arial"/>
                  <w:sz w:val="18"/>
                  <w:szCs w:val="18"/>
                  <w:color w:val="0000EE"/>
                  <w:w w:val="98"/>
                </w:rPr>
                <w:t>C</w:t>
              </w:r>
              <w:r>
                <w:rPr>
                  <w:rFonts w:ascii="Arial" w:cs="Arial" w:eastAsia="Arial" w:hAnsi="Arial"/>
                  <w:sz w:val="13"/>
                  <w:szCs w:val="13"/>
                  <w:color w:val="0000EE"/>
                  <w:w w:val="98"/>
                </w:rPr>
                <w:t>ERTAIN</w:t>
              </w:r>
              <w:r>
                <w:rPr>
                  <w:rFonts w:ascii="Arial" w:cs="Arial" w:eastAsia="Arial" w:hAnsi="Arial"/>
                  <w:sz w:val="18"/>
                  <w:szCs w:val="18"/>
                  <w:color w:val="0000EE"/>
                  <w:w w:val="98"/>
                </w:rPr>
                <w:t xml:space="preserve"> R</w:t>
              </w:r>
              <w:r>
                <w:rPr>
                  <w:rFonts w:ascii="Arial" w:cs="Arial" w:eastAsia="Arial" w:hAnsi="Arial"/>
                  <w:sz w:val="13"/>
                  <w:szCs w:val="13"/>
                  <w:color w:val="0000EE"/>
                  <w:w w:val="98"/>
                </w:rPr>
                <w:t>ELATIONSHIPS</w:t>
              </w:r>
              <w:r>
                <w:rPr>
                  <w:rFonts w:ascii="Arial" w:cs="Arial" w:eastAsia="Arial" w:hAnsi="Arial"/>
                  <w:sz w:val="18"/>
                  <w:szCs w:val="18"/>
                  <w:color w:val="0000EE"/>
                  <w:w w:val="98"/>
                </w:rPr>
                <w:t>, R</w:t>
              </w:r>
              <w:r>
                <w:rPr>
                  <w:rFonts w:ascii="Arial" w:cs="Arial" w:eastAsia="Arial" w:hAnsi="Arial"/>
                  <w:sz w:val="13"/>
                  <w:szCs w:val="13"/>
                  <w:color w:val="0000EE"/>
                  <w:w w:val="98"/>
                </w:rPr>
                <w:t>ELATED</w:t>
              </w:r>
              <w:r>
                <w:rPr>
                  <w:rFonts w:ascii="Arial" w:cs="Arial" w:eastAsia="Arial" w:hAnsi="Arial"/>
                  <w:sz w:val="18"/>
                  <w:szCs w:val="18"/>
                  <w:color w:val="0000EE"/>
                  <w:w w:val="98"/>
                </w:rPr>
                <w:t xml:space="preserve"> T</w:t>
              </w:r>
              <w:r>
                <w:rPr>
                  <w:rFonts w:ascii="Arial" w:cs="Arial" w:eastAsia="Arial" w:hAnsi="Arial"/>
                  <w:sz w:val="13"/>
                  <w:szCs w:val="13"/>
                  <w:color w:val="0000EE"/>
                  <w:w w:val="98"/>
                </w:rPr>
                <w:t>RANSACTIONS AND</w:t>
              </w:r>
              <w:r>
                <w:rPr>
                  <w:rFonts w:ascii="Arial" w:cs="Arial" w:eastAsia="Arial" w:hAnsi="Arial"/>
                  <w:sz w:val="18"/>
                  <w:szCs w:val="18"/>
                  <w:color w:val="0000EE"/>
                  <w:w w:val="98"/>
                </w:rPr>
                <w:t xml:space="preserve"> D</w:t>
              </w:r>
              <w:r>
                <w:rPr>
                  <w:rFonts w:ascii="Arial" w:cs="Arial" w:eastAsia="Arial" w:hAnsi="Arial"/>
                  <w:sz w:val="13"/>
                  <w:szCs w:val="13"/>
                  <w:color w:val="0000EE"/>
                  <w:w w:val="98"/>
                </w:rPr>
                <w:t>IRECTORS</w:t>
              </w:r>
              <w:r>
                <w:rPr>
                  <w:rFonts w:ascii="Arial" w:cs="Arial" w:eastAsia="Arial" w:hAnsi="Arial"/>
                  <w:sz w:val="18"/>
                  <w:szCs w:val="18"/>
                  <w:color w:val="0000EE"/>
                  <w:w w:val="98"/>
                </w:rPr>
                <w:t xml:space="preserve"> I</w:t>
              </w:r>
              <w:r>
                <w:rPr>
                  <w:rFonts w:ascii="Arial" w:cs="Arial" w:eastAsia="Arial" w:hAnsi="Arial"/>
                  <w:sz w:val="13"/>
                  <w:szCs w:val="13"/>
                  <w:color w:val="0000EE"/>
                  <w:w w:val="98"/>
                </w:rPr>
                <w:t>NDEPENDENCE</w:t>
              </w:r>
            </w:hyperlink>
          </w:p>
        </w:tc>
        <w:tc>
          <w:tcPr>
            <w:tcW w:w="1680" w:type="dxa"/>
            <w:vAlign w:val="bottom"/>
            <w:tcBorders>
              <w:top w:val="single" w:sz="8" w:color="0000EE"/>
            </w:tcBorders>
            <w:gridSpan w:val="3"/>
          </w:tcPr>
          <w:p>
            <w:pPr>
              <w:spacing w:after="0"/>
              <w:rPr>
                <w:sz w:val="17"/>
                <w:szCs w:val="17"/>
                <w:color w:val="auto"/>
              </w:rPr>
            </w:pPr>
          </w:p>
        </w:tc>
        <w:tc>
          <w:tcPr>
            <w:tcW w:w="224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14.</w:t>
            </w:r>
          </w:p>
        </w:tc>
        <w:tc>
          <w:tcPr>
            <w:tcW w:w="9660" w:type="dxa"/>
            <w:vAlign w:val="bottom"/>
            <w:gridSpan w:val="22"/>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P</w:t>
              </w:r>
              <w:r>
                <w:rPr>
                  <w:rFonts w:ascii="Arial" w:cs="Arial" w:eastAsia="Arial" w:hAnsi="Arial"/>
                  <w:sz w:val="13"/>
                  <w:szCs w:val="13"/>
                  <w:color w:val="0000EE"/>
                </w:rPr>
                <w:t>RINCIPAL</w:t>
              </w:r>
              <w:r>
                <w:rPr>
                  <w:rFonts w:ascii="Arial" w:cs="Arial" w:eastAsia="Arial" w:hAnsi="Arial"/>
                  <w:sz w:val="18"/>
                  <w:szCs w:val="18"/>
                  <w:color w:val="0000EE"/>
                </w:rPr>
                <w:t xml:space="preserve"> A</w:t>
              </w:r>
              <w:r>
                <w:rPr>
                  <w:rFonts w:ascii="Arial" w:cs="Arial" w:eastAsia="Arial" w:hAnsi="Arial"/>
                  <w:sz w:val="13"/>
                  <w:szCs w:val="13"/>
                  <w:color w:val="0000EE"/>
                </w:rPr>
                <w:t>CCOUNTANT</w:t>
              </w:r>
              <w:r>
                <w:rPr>
                  <w:rFonts w:ascii="Arial" w:cs="Arial" w:eastAsia="Arial" w:hAnsi="Arial"/>
                  <w:sz w:val="18"/>
                  <w:szCs w:val="18"/>
                  <w:color w:val="0000EE"/>
                </w:rPr>
                <w:t xml:space="preserve"> F</w:t>
              </w:r>
              <w:r>
                <w:rPr>
                  <w:rFonts w:ascii="Arial" w:cs="Arial" w:eastAsia="Arial" w:hAnsi="Arial"/>
                  <w:sz w:val="13"/>
                  <w:szCs w:val="13"/>
                  <w:color w:val="0000EE"/>
                </w:rPr>
                <w:t>EES AND</w:t>
              </w:r>
              <w:r>
                <w:rPr>
                  <w:rFonts w:ascii="Arial" w:cs="Arial" w:eastAsia="Arial" w:hAnsi="Arial"/>
                  <w:sz w:val="18"/>
                  <w:szCs w:val="18"/>
                  <w:color w:val="0000EE"/>
                </w:rPr>
                <w:t xml:space="preserve"> S</w:t>
              </w:r>
              <w:r>
                <w:rPr>
                  <w:rFonts w:ascii="Arial" w:cs="Arial" w:eastAsia="Arial" w:hAnsi="Arial"/>
                  <w:sz w:val="13"/>
                  <w:szCs w:val="13"/>
                  <w:color w:val="0000EE"/>
                </w:rPr>
                <w:t>ERVICES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453"/>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15.</w:t>
            </w:r>
          </w:p>
        </w:tc>
        <w:tc>
          <w:tcPr>
            <w:tcW w:w="344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66">
              <w:r>
                <w:rPr>
                  <w:rFonts w:ascii="Arial" w:cs="Arial" w:eastAsia="Arial" w:hAnsi="Arial"/>
                  <w:sz w:val="18"/>
                  <w:szCs w:val="18"/>
                  <w:color w:val="0000EE"/>
                  <w:w w:val="99"/>
                </w:rPr>
                <w:t>E</w:t>
              </w:r>
              <w:r>
                <w:rPr>
                  <w:rFonts w:ascii="Arial" w:cs="Arial" w:eastAsia="Arial" w:hAnsi="Arial"/>
                  <w:sz w:val="13"/>
                  <w:szCs w:val="13"/>
                  <w:color w:val="0000EE"/>
                  <w:w w:val="99"/>
                </w:rPr>
                <w:t>XHIBITS AND</w:t>
              </w:r>
              <w:r>
                <w:rPr>
                  <w:rFonts w:ascii="Arial" w:cs="Arial" w:eastAsia="Arial" w:hAnsi="Arial"/>
                  <w:sz w:val="18"/>
                  <w:szCs w:val="18"/>
                  <w:color w:val="0000EE"/>
                  <w:w w:val="99"/>
                </w:rPr>
                <w:t xml:space="preserve"> F</w:t>
              </w:r>
              <w:r>
                <w:rPr>
                  <w:rFonts w:ascii="Arial" w:cs="Arial" w:eastAsia="Arial" w:hAnsi="Arial"/>
                  <w:sz w:val="13"/>
                  <w:szCs w:val="13"/>
                  <w:color w:val="0000EE"/>
                  <w:w w:val="99"/>
                </w:rPr>
                <w:t>INANCIAL</w:t>
              </w:r>
              <w:r>
                <w:rPr>
                  <w:rFonts w:ascii="Arial" w:cs="Arial" w:eastAsia="Arial" w:hAnsi="Arial"/>
                  <w:sz w:val="18"/>
                  <w:szCs w:val="18"/>
                  <w:color w:val="0000EE"/>
                  <w:w w:val="99"/>
                </w:rPr>
                <w:t xml:space="preserve"> S</w:t>
              </w:r>
              <w:r>
                <w:rPr>
                  <w:rFonts w:ascii="Arial" w:cs="Arial" w:eastAsia="Arial" w:hAnsi="Arial"/>
                  <w:sz w:val="13"/>
                  <w:szCs w:val="13"/>
                  <w:color w:val="0000EE"/>
                  <w:w w:val="99"/>
                </w:rPr>
                <w:t>TATEMENT</w:t>
              </w:r>
              <w:r>
                <w:rPr>
                  <w:rFonts w:ascii="Arial" w:cs="Arial" w:eastAsia="Arial" w:hAnsi="Arial"/>
                  <w:sz w:val="18"/>
                  <w:szCs w:val="18"/>
                  <w:color w:val="0000EE"/>
                  <w:w w:val="99"/>
                </w:rPr>
                <w:t xml:space="preserve"> S</w:t>
              </w:r>
              <w:r>
                <w:rPr>
                  <w:rFonts w:ascii="Arial" w:cs="Arial" w:eastAsia="Arial" w:hAnsi="Arial"/>
                  <w:sz w:val="13"/>
                  <w:szCs w:val="13"/>
                  <w:color w:val="0000EE"/>
                  <w:w w:val="99"/>
                </w:rPr>
                <w:t>CHEDULES</w:t>
              </w:r>
            </w:hyperlink>
          </w:p>
        </w:tc>
        <w:tc>
          <w:tcPr>
            <w:tcW w:w="6220" w:type="dxa"/>
            <w:vAlign w:val="bottom"/>
            <w:gridSpan w:val="11"/>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TEM</w:t>
            </w:r>
            <w:r>
              <w:rPr>
                <w:rFonts w:ascii="Arial" w:cs="Arial" w:eastAsia="Arial" w:hAnsi="Arial"/>
                <w:sz w:val="18"/>
                <w:szCs w:val="18"/>
                <w:color w:val="auto"/>
              </w:rPr>
              <w:t xml:space="preserve"> 16.</w:t>
            </w:r>
          </w:p>
        </w:tc>
        <w:tc>
          <w:tcPr>
            <w:tcW w:w="1300" w:type="dxa"/>
            <w:vAlign w:val="bottom"/>
            <w:tcBorders>
              <w:bottom w:val="single" w:sz="8" w:color="0000EE"/>
            </w:tcBorders>
            <w:gridSpan w:val="4"/>
          </w:tcPr>
          <w:p>
            <w:pPr>
              <w:spacing w:after="0"/>
              <w:rPr>
                <w:rFonts w:ascii="Arial" w:cs="Arial" w:eastAsia="Arial" w:hAnsi="Arial"/>
                <w:sz w:val="16"/>
                <w:szCs w:val="16"/>
                <w:color w:val="0000EE"/>
                <w:w w:val="97"/>
              </w:rPr>
            </w:pPr>
            <w:hyperlink w:anchor="page70">
              <w:r>
                <w:rPr>
                  <w:rFonts w:ascii="Arial" w:cs="Arial" w:eastAsia="Arial" w:hAnsi="Arial"/>
                  <w:sz w:val="16"/>
                  <w:szCs w:val="16"/>
                  <w:color w:val="0000EE"/>
                  <w:w w:val="97"/>
                </w:rPr>
                <w:t>F</w:t>
              </w:r>
              <w:r>
                <w:rPr>
                  <w:rFonts w:ascii="Arial" w:cs="Arial" w:eastAsia="Arial" w:hAnsi="Arial"/>
                  <w:sz w:val="10"/>
                  <w:szCs w:val="10"/>
                  <w:color w:val="0000EE"/>
                  <w:w w:val="97"/>
                </w:rPr>
                <w:t>ORM</w:t>
              </w:r>
              <w:r>
                <w:rPr>
                  <w:rFonts w:ascii="Arial" w:cs="Arial" w:eastAsia="Arial" w:hAnsi="Arial"/>
                  <w:sz w:val="16"/>
                  <w:szCs w:val="16"/>
                  <w:color w:val="0000EE"/>
                  <w:w w:val="97"/>
                </w:rPr>
                <w:t xml:space="preserve"> 10-K S</w:t>
              </w:r>
              <w:r>
                <w:rPr>
                  <w:rFonts w:ascii="Arial" w:cs="Arial" w:eastAsia="Arial" w:hAnsi="Arial"/>
                  <w:sz w:val="10"/>
                  <w:szCs w:val="10"/>
                  <w:color w:val="0000EE"/>
                  <w:w w:val="97"/>
                </w:rPr>
                <w:t>UMMARY</w:t>
              </w:r>
            </w:hyperlink>
          </w:p>
        </w:tc>
        <w:tc>
          <w:tcPr>
            <w:tcW w:w="8360" w:type="dxa"/>
            <w:vAlign w:val="bottom"/>
            <w:gridSpan w:val="1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412"/>
        </w:trPr>
        <w:tc>
          <w:tcPr>
            <w:tcW w:w="10660" w:type="dxa"/>
            <w:vAlign w:val="bottom"/>
            <w:gridSpan w:val="2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SIGNATURE</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1000" w:type="dxa"/>
            <w:vAlign w:val="bottom"/>
            <w:tcBorders>
              <w:right w:val="single" w:sz="8" w:color="0000EE"/>
            </w:tcBorders>
            <w:shd w:val="clear" w:color="auto" w:fill="0000EE"/>
          </w:tcPr>
          <w:p>
            <w:pPr>
              <w:spacing w:after="0" w:line="20" w:lineRule="exact"/>
              <w:rPr>
                <w:sz w:val="1"/>
                <w:szCs w:val="1"/>
                <w:color w:val="auto"/>
              </w:rPr>
            </w:pPr>
          </w:p>
        </w:tc>
        <w:tc>
          <w:tcPr>
            <w:tcW w:w="3560" w:type="dxa"/>
            <w:vAlign w:val="bottom"/>
            <w:gridSpan w:val="12"/>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0660" w:type="dxa"/>
            <w:vAlign w:val="bottom"/>
            <w:gridSpan w:val="2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INDEX TO FINANCIAL STATEMENTS AND SCHEDULES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51"/>
        </w:trPr>
        <w:tc>
          <w:tcPr>
            <w:tcW w:w="100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900" w:type="dxa"/>
            <w:vAlign w:val="bottom"/>
            <w:tcBorders>
              <w:top w:val="single" w:sz="8" w:color="0000EE"/>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i w:val="1"/>
          <w:iCs w:val="1"/>
          <w:color w:val="auto"/>
        </w:rPr>
        <w:t>This Annual Report on Form 10-K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“intend,” “plan,” “project,”“could,” “estimate,” “target,” “forecast,”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7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In addition, many of these risks and uncertainties may be amplified by global business and economic conditions, including the COVID-19 pandemic. As such, our actual results may differ significantly from those expressed in any forward-looking statements. Factors that may cause or contribute to such differences include, but are not limited to, those discussed in more detail in Item 1 (Business) and 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and Arrowhead Australia Pty Ltd (“Arrowhead Australia”), (4) the term “Common Stock” refers to Arrowhead’s Common Stock, (5) the term “Preferred Stock” refers to Arrowhead’s Preferred Stock and (6) the term “Stockholder(s)” refers to the holders of Arrowhead Common Stock.</w:t>
      </w:r>
    </w:p>
    <w:p>
      <w:pPr>
        <w:spacing w:after="0" w:line="2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Arrowhead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-24765</wp:posOffset>
            </wp:positionV>
            <wp:extent cx="6172200" cy="1809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180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Pipeline Overview</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Arrowhead is focused on developing innovative drugs for diseases with a genetic basis, typically characterized by the overproduction of one or more proteins that are involved with disease. The depth and versatility of our RNAi technologies enables us to potentially address conditions in virtually any therapeutic area and pursue disease targets that are not otherwise addressable by small molecules and biologics. Arrowhead is focused on bringing the promise of RNAi to address diseases outside of the liver and our pipeline now includes disease targets in the liver, lung, muscle, and solid tumors.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363220</wp:posOffset>
            </wp:positionV>
            <wp:extent cx="5854700" cy="2768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547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ARO-APOC3</w:t>
      </w:r>
    </w:p>
    <w:p>
      <w:pPr>
        <w:spacing w:after="0" w:line="121" w:lineRule="exact"/>
        <w:rPr>
          <w:sz w:val="20"/>
          <w:szCs w:val="20"/>
          <w:color w:val="auto"/>
        </w:rPr>
      </w:pPr>
    </w:p>
    <w:p>
      <w:pPr>
        <w:jc w:val="both"/>
        <w:ind w:right="180" w:firstLine="510"/>
        <w:spacing w:after="0" w:line="259" w:lineRule="auto"/>
        <w:rPr>
          <w:sz w:val="20"/>
          <w:szCs w:val="20"/>
          <w:color w:val="auto"/>
        </w:rPr>
      </w:pPr>
      <w:r>
        <w:rPr>
          <w:rFonts w:ascii="Arial" w:cs="Arial" w:eastAsia="Arial" w:hAnsi="Arial"/>
          <w:sz w:val="18"/>
          <w:szCs w:val="18"/>
          <w:color w:val="auto"/>
        </w:rPr>
        <w:t>ARO-APOC3 is designed to reduce production of Apolipoprotein C-III (apoC-III), a component of triglyceride rich lipoproteins (TRLs) including VLDL and chylomicrons and a key regulator of triglyceride metabolism. We believe that knocking down the hepatic production of apoC-III may result in reduced VLDL synthesis and assembly, enhanced breakdown of TRLs, and better clearance of VLDL and chylomicron remnants. Arrowhead is currently investigating ARO-APOC3 in two Phase 2b and one Phase 3 clinical trial.</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Hypertriglyceridemia</w:t>
      </w:r>
    </w:p>
    <w:p>
      <w:pPr>
        <w:spacing w:after="0" w:line="121"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Elevated triglyceride levels are an independent risk factor for cardiovascular disease. Severely elevated triglycerides (often over 2,000 mg/dL) in patients with familial chylomicronemia syndrome (FCS), a rare genetic disorder, can result in potentially fatal acute pancreatitis.</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Clinical Trials</w:t>
      </w:r>
    </w:p>
    <w:p>
      <w:pPr>
        <w:spacing w:after="0" w:line="117" w:lineRule="exact"/>
        <w:rPr>
          <w:sz w:val="20"/>
          <w:szCs w:val="20"/>
          <w:color w:val="auto"/>
        </w:rPr>
      </w:pPr>
    </w:p>
    <w:p>
      <w:pPr>
        <w:ind w:left="520" w:right="300"/>
        <w:spacing w:after="0" w:line="261" w:lineRule="auto"/>
        <w:rPr>
          <w:sz w:val="20"/>
          <w:szCs w:val="20"/>
          <w:color w:val="auto"/>
        </w:rPr>
      </w:pPr>
      <w:r>
        <w:rPr>
          <w:rFonts w:ascii="Arial" w:cs="Arial" w:eastAsia="Arial" w:hAnsi="Arial"/>
          <w:sz w:val="18"/>
          <w:szCs w:val="18"/>
          <w:b w:val="1"/>
          <w:bCs w:val="1"/>
          <w:color w:val="auto"/>
        </w:rPr>
        <w:t>Study Name: Study of ARO-APOC3 in Healthy Volunteers, Hypertriglyceridemic Patients and Patients with Familial Chylomicronemia Syndrome (FCS)</w:t>
      </w:r>
    </w:p>
    <w:p>
      <w:pPr>
        <w:ind w:left="520"/>
        <w:spacing w:after="0" w:line="255" w:lineRule="auto"/>
        <w:rPr>
          <w:sz w:val="20"/>
          <w:szCs w:val="20"/>
          <w:color w:val="auto"/>
        </w:rPr>
      </w:pPr>
      <w:r>
        <w:rPr>
          <w:rFonts w:ascii="Arial" w:cs="Arial" w:eastAsia="Arial" w:hAnsi="Arial"/>
          <w:sz w:val="18"/>
          <w:szCs w:val="18"/>
          <w:color w:val="auto"/>
        </w:rPr>
        <w:t>A Phase 1 Single and Multiple Dose-Escalating Study to Evaluate the Safety, Tolerability, Pharmacokinetics and Pharmacodynamic Effects of ARO-APOC3 in Adult Healthy Volunteers as Well as in Severely Hypertriglyceridemic Patients and Patients With Familial Chylomicronemia Syndrome ClinicalTrials.gov Identifier: NCT03783377</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Study Name: Study to Evaluate ARO-APOC3 in Adults With Severe Hypertriglyceridemia</w:t>
      </w:r>
    </w:p>
    <w:p>
      <w:pPr>
        <w:spacing w:after="0" w:line="27" w:lineRule="exact"/>
        <w:rPr>
          <w:sz w:val="20"/>
          <w:szCs w:val="20"/>
          <w:color w:val="auto"/>
        </w:rPr>
      </w:pPr>
    </w:p>
    <w:p>
      <w:pPr>
        <w:ind w:left="520" w:right="1440"/>
        <w:spacing w:after="0" w:line="250" w:lineRule="auto"/>
        <w:rPr>
          <w:sz w:val="20"/>
          <w:szCs w:val="20"/>
          <w:color w:val="auto"/>
        </w:rPr>
      </w:pPr>
      <w:r>
        <w:rPr>
          <w:rFonts w:ascii="Arial" w:cs="Arial" w:eastAsia="Arial" w:hAnsi="Arial"/>
          <w:sz w:val="18"/>
          <w:szCs w:val="18"/>
          <w:color w:val="auto"/>
        </w:rPr>
        <w:t>A Double-Blind, Placebo-Controlled Phase 2b Study to Evaluate the Efficacy and Safety of ARO-APOC3 in Adults With Severe Hypertriglyceridemia</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ClinicalTrials.gov Identifier: NCT04720534</w:t>
      </w:r>
    </w:p>
    <w:p>
      <w:pPr>
        <w:spacing w:after="0" w:line="31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Study Name: Study of ARO-APOC3 in Adults With Mixed Dyslipidemia</w:t>
      </w:r>
    </w:p>
    <w:p>
      <w:pPr>
        <w:spacing w:after="0" w:line="27" w:lineRule="exact"/>
        <w:rPr>
          <w:sz w:val="20"/>
          <w:szCs w:val="20"/>
          <w:color w:val="auto"/>
        </w:rPr>
      </w:pPr>
    </w:p>
    <w:p>
      <w:pPr>
        <w:ind w:left="520" w:right="440"/>
        <w:spacing w:after="0" w:line="260" w:lineRule="auto"/>
        <w:rPr>
          <w:sz w:val="20"/>
          <w:szCs w:val="20"/>
          <w:color w:val="auto"/>
        </w:rPr>
      </w:pPr>
      <w:r>
        <w:rPr>
          <w:rFonts w:ascii="Arial" w:cs="Arial" w:eastAsia="Arial" w:hAnsi="Arial"/>
          <w:sz w:val="18"/>
          <w:szCs w:val="18"/>
          <w:color w:val="auto"/>
        </w:rPr>
        <w:t>A Double-Blind, Placebo-Controlled Phase 2b Study to Evaluate the Efficacy and Safety of ARO-APOC3 in Adults With Mixed Dyslipidemia ClinicalTrials.gov Identifier: NCT04998201</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Study Name: Study of ARO-APOC3 in Adults With Familial Chylomicronemia Syndrome (FCS)</w:t>
      </w:r>
    </w:p>
    <w:p>
      <w:pPr>
        <w:spacing w:after="0" w:line="27" w:lineRule="exact"/>
        <w:rPr>
          <w:sz w:val="20"/>
          <w:szCs w:val="20"/>
          <w:color w:val="auto"/>
        </w:rPr>
      </w:pPr>
    </w:p>
    <w:p>
      <w:pPr>
        <w:ind w:left="520" w:right="1820"/>
        <w:spacing w:after="0" w:line="260" w:lineRule="auto"/>
        <w:rPr>
          <w:sz w:val="20"/>
          <w:szCs w:val="20"/>
          <w:color w:val="auto"/>
        </w:rPr>
      </w:pPr>
      <w:r>
        <w:rPr>
          <w:rFonts w:ascii="Arial" w:cs="Arial" w:eastAsia="Arial" w:hAnsi="Arial"/>
          <w:sz w:val="18"/>
          <w:szCs w:val="18"/>
          <w:color w:val="auto"/>
        </w:rPr>
        <w:t>A Phase 3 Study to Evaluate the Efficacy and Safety of ARO-APOC3 in Adults With Familial Chylomicronemia Syndrome ClinicalTrials.gov Identifier: NCT05089084</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ARO-ANG3</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ARO-ANG3 is designed to reduce production of angiopoietin-like protein 3 (ANGPTL3), a liver synthesized inhibitor of lipoprotein lipase and endothelial lipase. ANGPTL3 inhibition has been shown to lower serum LDL, serum and liver triglyceride and has genetic validation as a novel target for cardiovascular disease. Arrowhead is currently investigating ARO-ANG3 in a Phase 2b clinical trial.</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Dyslipidemia and Hypertriglyceridemia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Dyslipidemia and hypertriglyceridemia are risk factors for atherosclerotic coronary heart disease and cardiovascular events.</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Study Name: Study of ARO-ANG3 in Healthy Volunteers and in Dyslipidemic Patients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Phase 1 Single and Multiple Dose Study to Evaluate the Safety, Tolerability, Pharmacokinetics and Pharmacodynamic Effects of ARO-ANG3 in</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Adult Healthy Volunteers and in Dyslipidemic Patients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ClinicalTrials.gov Identifier: NCT03747224</w:t>
      </w:r>
    </w:p>
    <w:p>
      <w:pPr>
        <w:spacing w:after="0" w:line="31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Study Name: Study of ARO-ANG3 in Adults With Mixed Dyslipidemia</w:t>
      </w:r>
    </w:p>
    <w:p>
      <w:pPr>
        <w:spacing w:after="0" w:line="27" w:lineRule="exact"/>
        <w:rPr>
          <w:sz w:val="20"/>
          <w:szCs w:val="20"/>
          <w:color w:val="auto"/>
        </w:rPr>
      </w:pPr>
    </w:p>
    <w:p>
      <w:pPr>
        <w:ind w:left="520" w:right="600"/>
        <w:spacing w:after="0" w:line="260" w:lineRule="auto"/>
        <w:rPr>
          <w:sz w:val="20"/>
          <w:szCs w:val="20"/>
          <w:color w:val="auto"/>
        </w:rPr>
      </w:pPr>
      <w:r>
        <w:rPr>
          <w:rFonts w:ascii="Arial" w:cs="Arial" w:eastAsia="Arial" w:hAnsi="Arial"/>
          <w:sz w:val="18"/>
          <w:szCs w:val="18"/>
          <w:color w:val="auto"/>
        </w:rPr>
        <w:t>A Double-blind, Placebo-controlled Phase 2b Study to Evaluate the Efficacy and Safety of ARO-ANG3 in Adults With Mixed Dyslipidemia ClinicalTrials.gov Identifier: NCT04832971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ARO-ENaC</w:t>
      </w:r>
    </w:p>
    <w:p>
      <w:pPr>
        <w:spacing w:after="0" w:line="121"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ARO-ENaC is designed to reduce production of the epithelial sodium channel alpha subunit (αENaC) in the airways of the lung. In cystic fibrosis patients, increased ENaC activity contributes to airway dehydration and reduced mucociliary transport. Arrowhead is currently investigating ARO-ENaC in a Phase 1/2a clinical trial, in which new enrollment was paused in July 2021 pending results from non-clinical chronic toxicology studies.</w:t>
      </w:r>
    </w:p>
    <w:p>
      <w:pPr>
        <w:spacing w:after="0" w:line="25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Cystic Fibrosis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Cystic fibrosis (CF) is a rare disease caused by a genetic mutation that leads to mucus buildup in the lungs and pancreas. In CF lung disease, patients can have difficulty breathing and experience frequent and persistent lung infections.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Clinical Trials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Study Name: Study of ARO-ENaC in Healthy Volunteers and in Patients With Cystic Fibrosis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Phase 1/2a Dose-Escalating Study to Evaluate the Safety, Tolerability and Pharmacokinetic Effects of ARO-ENaC in Normal Healthy Volunteers</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and Safety, Tolerability and Efficacy in Patients With Cystic Fibrosis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ClinicalTrials.gov Identifier: NCT04375514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ARO-HSD</w:t>
      </w:r>
    </w:p>
    <w:p>
      <w:pPr>
        <w:spacing w:after="0" w:line="121" w:lineRule="exact"/>
        <w:rPr>
          <w:sz w:val="20"/>
          <w:szCs w:val="20"/>
          <w:color w:val="auto"/>
        </w:rPr>
      </w:pPr>
    </w:p>
    <w:p>
      <w:pPr>
        <w:ind w:right="240" w:firstLine="510"/>
        <w:spacing w:after="0" w:line="311" w:lineRule="auto"/>
        <w:rPr>
          <w:sz w:val="20"/>
          <w:szCs w:val="20"/>
          <w:color w:val="auto"/>
        </w:rPr>
      </w:pPr>
      <w:r>
        <w:rPr>
          <w:rFonts w:ascii="Arial" w:cs="Arial" w:eastAsia="Arial" w:hAnsi="Arial"/>
          <w:sz w:val="16"/>
          <w:szCs w:val="16"/>
          <w:color w:val="auto"/>
        </w:rPr>
        <w:t>ARO-HSD is designed to reduce production of HSD17B13, a hydroxysteroid dehydrogenase involved in the metabolism of hormones, fatty acids and bile acids. Published human genetic data indicate that a loss of function mutation in HSD17B13 provides strong protection against nonalcoholic steatohepatitis (NASH) cirrhosis and alcoholic hepatitis and cirrhosis. Arrowhead is currently investigating ARO-HSD in a Phase 1/2a clinical trial.</w:t>
      </w:r>
    </w:p>
    <w:p>
      <w:pPr>
        <w:spacing w:after="0" w:line="25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Nonalcoholic Steatohepatitis</w:t>
      </w:r>
    </w:p>
    <w:p>
      <w:pPr>
        <w:spacing w:after="0" w:line="12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Nonalcoholic steatohepatitis (NASH) is liver inflammation and damage caused by a buildup of fat in the liver. This can cause scarring of the liver and in advanced cases can lead to cirrhosis.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Clinical Trials</w:t>
      </w:r>
    </w:p>
    <w:p>
      <w:pPr>
        <w:spacing w:after="0" w:line="117" w:lineRule="exact"/>
        <w:rPr>
          <w:sz w:val="20"/>
          <w:szCs w:val="20"/>
          <w:color w:val="auto"/>
        </w:rPr>
      </w:pPr>
    </w:p>
    <w:p>
      <w:pPr>
        <w:ind w:left="520" w:right="280"/>
        <w:spacing w:after="0" w:line="261" w:lineRule="auto"/>
        <w:rPr>
          <w:sz w:val="20"/>
          <w:szCs w:val="20"/>
          <w:color w:val="auto"/>
        </w:rPr>
      </w:pPr>
      <w:r>
        <w:rPr>
          <w:rFonts w:ascii="Arial" w:cs="Arial" w:eastAsia="Arial" w:hAnsi="Arial"/>
          <w:sz w:val="18"/>
          <w:szCs w:val="18"/>
          <w:b w:val="1"/>
          <w:bCs w:val="1"/>
          <w:color w:val="auto"/>
        </w:rPr>
        <w:t xml:space="preserve">Study Name: Study of ARO-HSD in Healthy Volunteers and Patients With Non-Alcoholic Steatohepatitis (NASH) or Suspected NASH </w:t>
      </w:r>
      <w:r>
        <w:rPr>
          <w:rFonts w:ascii="Arial" w:cs="Arial" w:eastAsia="Arial" w:hAnsi="Arial"/>
          <w:sz w:val="18"/>
          <w:szCs w:val="18"/>
          <w:color w:val="auto"/>
        </w:rPr>
        <w:t>A Phase 1/2a Single and Multiple Dose-Escalating Study to Evaluate the Safety, Tolerability, Pharmacokinetics and Pharmacodynamic Effects of ARO-HSD in Normal Healthy Volunteers as Well as in Patients With NASH or Suspected NASH ClinicalTrials.gov Identifier: NCT04202354</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ARO-C3</w:t>
      </w:r>
    </w:p>
    <w:p>
      <w:pPr>
        <w:spacing w:after="0" w:line="121"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ARO-C3 is designed to reduce production of complement component 3 (C3) as a potential therapy for patients with various complement mediated or complement associated renal and hematological diseases. Arrowhead has filed a CTA to begin investigation of ARO-C3 in a Phase 1/2a clinical trial.</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Clinical Trials</w:t>
      </w:r>
    </w:p>
    <w:p>
      <w:pPr>
        <w:spacing w:after="0" w:line="117" w:lineRule="exact"/>
        <w:rPr>
          <w:sz w:val="20"/>
          <w:szCs w:val="20"/>
          <w:color w:val="auto"/>
        </w:rPr>
      </w:pPr>
    </w:p>
    <w:p>
      <w:pPr>
        <w:ind w:left="520" w:right="120"/>
        <w:spacing w:after="0" w:line="261" w:lineRule="auto"/>
        <w:rPr>
          <w:sz w:val="20"/>
          <w:szCs w:val="20"/>
          <w:color w:val="auto"/>
        </w:rPr>
      </w:pPr>
      <w:r>
        <w:rPr>
          <w:rFonts w:ascii="Arial" w:cs="Arial" w:eastAsia="Arial" w:hAnsi="Arial"/>
          <w:sz w:val="18"/>
          <w:szCs w:val="18"/>
          <w:b w:val="1"/>
          <w:bCs w:val="1"/>
          <w:color w:val="auto"/>
        </w:rPr>
        <w:t>Study Name: Study of ARO-C3 in Adult Healthy Volunteers and Patients With Paroxysmal Nocturnal Hemoglobinuria and Complement-Mediated Renal Disease</w:t>
      </w:r>
    </w:p>
    <w:p>
      <w:pPr>
        <w:ind w:left="520"/>
        <w:spacing w:after="0" w:line="255" w:lineRule="auto"/>
        <w:rPr>
          <w:sz w:val="20"/>
          <w:szCs w:val="20"/>
          <w:color w:val="auto"/>
        </w:rPr>
      </w:pPr>
      <w:r>
        <w:rPr>
          <w:rFonts w:ascii="Arial" w:cs="Arial" w:eastAsia="Arial" w:hAnsi="Arial"/>
          <w:sz w:val="18"/>
          <w:szCs w:val="18"/>
          <w:color w:val="auto"/>
        </w:rPr>
        <w:t>A Phase 1/2a Dose-Escalating Study to Evaluate the Safety, Tolerability, Pharmacokinetics, and/or Pharmacodynamics of ARO-C3 in Adult Healthy Volunteers and in Adult Patients With Paroxysmal Nocturnal Hemoglobinuria and Adult Patients With Complement-Mediated Renal Disease ClinicalTrials.gov Identifier: NCT05083364</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ARO-HIF2</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ARO-HIF2 is being developed for the treatment of clear cell renal cell carcinoma (ccRCC). ARO-HIF2 is designed to inhibit the production of HIF-2α, which has been linked to tumor progression and metastasis in ccRCC. Arrowhead believes it is an important target for intervention because over 90% of ccRCC tumors express a mutant form of the Von Hippel-Landau protein that is unable to degrade HIF-2α, leading to its accumulation during tumor hypoxia and promoting tumor growth. Arrowhead is currently investigating ARO-HIF2 in a Phase 1b clinical trial.</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Renal Cell Carcinoma</w:t>
      </w:r>
    </w:p>
    <w:p>
      <w:pPr>
        <w:spacing w:after="0" w:line="12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Renal Cell Carcinoma (“RCC”) is a type of kidney cancer that originates in the cells that line the small tubes that filter waste material from the blood. RCC is the most common type of kidney cancer accounting for more than 90% of cases with approximately 50,000 diagnoses in the United States each year. Unfortunately, patients with advanced stages of RCC have a 5-year survival rate of only 12-25%. Surgical resection is the mainstay of current treatment while chemotherapy and radiation have not been successful at prolonging survival. The treatment options for patients with metastatic disease are extremely limited.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Clinical Trials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Study Name: Study of ARO-HIF2 in Patients With Advanced Clear Cell Renal Cell Carcinoma</w:t>
      </w:r>
    </w:p>
    <w:p>
      <w:pPr>
        <w:spacing w:after="0" w:line="27" w:lineRule="exact"/>
        <w:rPr>
          <w:sz w:val="20"/>
          <w:szCs w:val="20"/>
          <w:color w:val="auto"/>
        </w:rPr>
      </w:pPr>
    </w:p>
    <w:p>
      <w:pPr>
        <w:ind w:left="520" w:right="2200"/>
        <w:spacing w:after="0" w:line="260" w:lineRule="auto"/>
        <w:rPr>
          <w:sz w:val="20"/>
          <w:szCs w:val="20"/>
          <w:color w:val="auto"/>
        </w:rPr>
      </w:pPr>
      <w:r>
        <w:rPr>
          <w:rFonts w:ascii="Arial" w:cs="Arial" w:eastAsia="Arial" w:hAnsi="Arial"/>
          <w:sz w:val="18"/>
          <w:szCs w:val="18"/>
          <w:color w:val="auto"/>
        </w:rPr>
        <w:t>A Phase 1b Adaptive Dose-Finding Study of ARO-HIF2 in Patients With Advanced Clear Cell Renal Cell Carcinoma ClinicalTrials.gov Identifier: NCT04169711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ARO-DUX4</w:t>
      </w:r>
    </w:p>
    <w:p>
      <w:pPr>
        <w:spacing w:after="0" w:line="121"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ARO-DUX4 is designed to target the gene that encodes human double homeobox 4 (DUX4) protein as a potential treatment for patients with facioscapulohumeral muscular dystrophy. Arrowhead intends to file a CTA to begin a Phase 1 clinical trial in 2022.</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Facioscapulohumeral Muscular Dystrophy</w:t>
      </w:r>
    </w:p>
    <w:p>
      <w:pPr>
        <w:spacing w:after="0" w:line="121"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Facioscapulohumeral muscular dystrophy (FSHD) is an autosomal dominant disease associated with the failure to maintain complete epigenetic suppression of DUX4 expression in differentiated skeletal muscle, leading to overexpression of DUX4, which is myotoxic and can lead to muscle degeneration. As DUX4 expression is recognized as the cause of muscle pathology in FSHD patients, Arrowhead believes that the selective targeting and knockdown of DUX4 using RNAi may prevent or reverse downstream myotoxicity and lead to muscle repair and improvement in muscle function in patients. There are currently no effective treatments specifically for FSHD.</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Partnered Programs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Takeda Pharmaceutical Company Limited</w:t>
      </w:r>
    </w:p>
    <w:p>
      <w:pPr>
        <w:spacing w:after="0" w:line="12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Arrowhead entered into a collaboration and license agreement in October 2020 with Takeda Pharmaceutical Company Limited (“Takeda”) to develop and commercialize ARO-AAT. Under the terms of the agreement, Takeda and Arrowhead will co-develop ARO-AAT which, if approved, will be co-commercialized in the United States under a 50/50 profit-sharing structure. Outside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7" w:name="page8"/>
    <w:bookmarkEnd w:id="7"/>
    <w:p>
      <w:pPr>
        <w:ind w:right="220"/>
        <w:spacing w:after="0" w:line="263" w:lineRule="auto"/>
        <w:rPr>
          <w:sz w:val="20"/>
          <w:szCs w:val="20"/>
          <w:color w:val="auto"/>
        </w:rPr>
      </w:pPr>
      <w:r>
        <w:rPr>
          <w:rFonts w:ascii="Arial" w:cs="Arial" w:eastAsia="Arial" w:hAnsi="Arial"/>
          <w:sz w:val="18"/>
          <w:szCs w:val="18"/>
          <w:color w:val="auto"/>
        </w:rPr>
        <w:t>U.S., Takeda will lead the global commercialization strategy and receive an exclusive license to commercialize ARO-AAT with Arrowhead eligible to receive tiered royalties of 20-25% on net sales. Arrowhead received an upfront payment of $300 million and is eligible to receive potential development, regulatory and commercial milestones up to $740 million.</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ARO-AAT</w:t>
      </w:r>
    </w:p>
    <w:p>
      <w:pPr>
        <w:spacing w:after="0" w:line="12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ARO-AAT is the Company’s subcutaneously administered RNAi therapeutic being developed as a treatment for liver disease associated with alpha-1 antitrypsin deficiency (AATD), which is a rare genetic disorder that severely damages the liver and lungs of affected individuals. ARO-AAT is designed to reduce production of the mutant Z-AAT protein by silencing the AAT gene in order to prevent accumulation of Z-AAT in the liver, allow clearance of the accumulated Z-AAT protein, prevent repeated cycles of cellular damage, and possibly prevent or even reverse the progression of liver fibrosis.</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Goal of ARO-AAT Treatment</w:t>
      </w:r>
    </w:p>
    <w:p>
      <w:pPr>
        <w:spacing w:after="0" w:line="12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The goal of ARO-AAT treatment is prevention and potential reversal of Z-AAT accumulation-related liver injury and fibrosis. Reduction of inflammatory Z-AAT protein, which has been clearly defined as the cause of progressive liver disease in AATD patients, is important as it is expected to halt the progression of liver disease and allow fibrotic tissue repair.</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Alpha-1 Antitrypsin Deficiency (AATD)</w:t>
      </w:r>
    </w:p>
    <w:p>
      <w:pPr>
        <w:spacing w:after="0" w:line="121"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AATD is a genetic disorder associated with liver disease in children and adults, and pulmonary disease in adults. AAT is a circulating glycoprotein protease inhibitor that is primarily synthesized and secreted by liver hepatocytes. Its physiologic function is the inhibition of neutrophil proteases to protect healthy lung tissues during inflammation and prevent tissue damage. The most common disease variant, the Z mutant, has a single amino acid substitution that results in improper folding of the protein. The mutant protein cannot be effectively secreted and accumulates in globules in the hepatocytes. This triggers continuous hepatocyte injury, leading to fibrosis, cirrhosis, and increased risk of hepatocellular carcinoma.</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Current Treatments</w:t>
      </w:r>
    </w:p>
    <w:p>
      <w:pPr>
        <w:spacing w:after="0" w:line="12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Individuals with the homozygous PiZZ genotype have severe deficiency of functional AAT leading to pulmonary disease and hepatocyte injury and liver disease. Lung disease in this patient population is frequently treated with AAT augmentation therapy. However, augmentation therapy does nothing to treat liver disease, and there is no specific therapy for hepatic manifestations. There is a significant unmet need as liver transplant, with its attendant morbidity and mortality, is currently the only available cure.</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Clinical Trials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Study Name: Study of ARO-AAT in Normal Adult Volunteers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Phase 1 Single and Multiple Dose-Escalating Study to Evaluate the Safety, Tolerability, Pharmacokinetics and Effect of ARO-AAT on Serum</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Alpha-1 Antitrypsin Levels in Normal Adult Volunteers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ClinicalTrials.gov Identifier: NCT03362242</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Study Name: Assessment of Changes in a Novel Histological Activity Scale in Response to ARO-AAT</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Pilot Open Label, Multi-dose, Phase 2 Study to Assess Changes in a Novel Histological Activity Scale in Response to ARO-AAT in Patients with</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Alpha-1 Antitrypsin Deficiency Associated Liver Disease (AATD)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ClinicalTrials.gov Identifier: NCT03946449</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Study Name: Safety, Tolerability and Effect on Liver Histologic Parameters of ARO-AAT (SEQUOIA)</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Placebo-Controlled, Multi-dose, Phase 2/3 Study to Determine the Safety, Tolerability and Effect on Liver Histologic Parameters in Response to</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ARO-AAT in Patients with Alpha-1 Antitrypsin Deficiency (AATD)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ClinicalTrials.gov Identifier: NCT03945292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Janssen Pharmaceuticals, Inc.</w:t>
      </w:r>
    </w:p>
    <w:p>
      <w:pPr>
        <w:spacing w:after="0" w:line="12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Arrowhead entered into a license agreement in October 2018 with Janssen Pharmaceuticals, Inc. (“Janssen”), part of the Janssen Pharmaceutical Companies of Johnson &amp; Johnson, to develop and commercialize JNJ-3989 (formerly referred to as ARO-HBV). In addition, Arrowhead entered into a research collaboration and option agreement with Janssen to potentially collaborate for up to three additional RNAi therapeutics against new targets to be selected by Janssen.</w:t>
      </w:r>
    </w:p>
    <w:p>
      <w:pPr>
        <w:spacing w:after="0" w:line="18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Under the terms of the license agreement, Arrowhead received $175 million as an upfront payment. Separately, Johnson &amp; Johnson Innovation – JJDC, Inc. (JJDC) made a $75.0 million equity investment in Arrowhead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 w:name="page9"/>
    <w:bookmarkEnd w:id="8"/>
    <w:p>
      <w:pPr>
        <w:ind w:right="60" w:firstLine="510"/>
        <w:spacing w:after="0" w:line="265" w:lineRule="auto"/>
        <w:rPr>
          <w:sz w:val="20"/>
          <w:szCs w:val="20"/>
          <w:color w:val="auto"/>
        </w:rPr>
      </w:pPr>
      <w:r>
        <w:rPr>
          <w:rFonts w:ascii="Arial" w:cs="Arial" w:eastAsia="Arial" w:hAnsi="Arial"/>
          <w:sz w:val="18"/>
          <w:szCs w:val="18"/>
          <w:color w:val="auto"/>
        </w:rPr>
        <w:t>Arrowhead is eligible to receive up to approximately $1.6 billion in milestone payments under the license agreement. Arrowhead is also eligible to receive approximately $1.9 billion in option and milestone payments for the collaboration and option agreement related to up to three additional targets. Arrowhead is further eligible to receive tiered royalties up to mid-teens under the license agreement and up to low teens under the collaboration and option agreement on product sales. Since signing the license agreement, Arrowhead has received $70.0 million in developmental milestone payments from Janssen.</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JNJ-3989 (also referred to as JNJ-73763989 and formerly referred to as ARO-HBV)</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JNJ-3989 is being developed in collaboration with Janssen as a potential therapy for patients with chronic hepatitis B infection, when used in combination with other therapeutic modalities. JNJ-3989 is a subcutaneous, RNAi therapy candidate which is designed to silence all HBV gene products and intervenes upstream of the reverse transcription process where current standard-of-care nucleotide and nucleoside analogues act. The company believes this, especially the elimination of hepatitis B surface antigen (HBsAg), may allow the body’s natural immune defenses to clear the virus and potentially lead to a functional cure. JNJ-3989 is currently being investigated in multiple Phase 2 clinical trials being conducted by Janssen. The Phase 1/2a study and its preceding studies were conducted by Arrowhead.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Clinical Trials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Study Name: Study of ARO-HBV in Normal Adult Volunteers and Patients With Hepatitis B Virus (HBV)</w:t>
      </w:r>
    </w:p>
    <w:p>
      <w:pPr>
        <w:spacing w:after="0" w:line="27" w:lineRule="exact"/>
        <w:rPr>
          <w:sz w:val="20"/>
          <w:szCs w:val="20"/>
          <w:color w:val="auto"/>
        </w:rPr>
      </w:pPr>
    </w:p>
    <w:p>
      <w:pPr>
        <w:ind w:left="520" w:right="620"/>
        <w:spacing w:after="0" w:line="255" w:lineRule="auto"/>
        <w:rPr>
          <w:sz w:val="20"/>
          <w:szCs w:val="20"/>
          <w:color w:val="auto"/>
        </w:rPr>
      </w:pPr>
      <w:r>
        <w:rPr>
          <w:rFonts w:ascii="Arial" w:cs="Arial" w:eastAsia="Arial" w:hAnsi="Arial"/>
          <w:sz w:val="18"/>
          <w:szCs w:val="18"/>
          <w:color w:val="auto"/>
        </w:rPr>
        <w:t>A Phase 1/2a Single Dose-Escalating Study to Evaluate the Safety, Tolerability and Pharmacokinetic Effects of ARO-HBV in Normal Adult Volunteers and Multiple Escalating Doses Evaluating Safety, Tolerability and Pharmacodynamic Effects in HBV Patients ClinicalTrials.gov Identifier: NCT03365947</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Study Name: A Study of JNJ-73763989 in Healthy Japanese Adult Participants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Phase 2b Double-blind, Placebo-controlled, Randomized, Parallel, Single Dose Study to Investigate Pharmacokinetics, Safety, and Tolerability of</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JNJ-73763989 in Healthy Japanese Adult Participants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ClinicalTrials.gov Identifier: NCT04002752</w:t>
      </w:r>
    </w:p>
    <w:p>
      <w:pPr>
        <w:spacing w:after="0" w:line="315" w:lineRule="exact"/>
        <w:rPr>
          <w:sz w:val="20"/>
          <w:szCs w:val="20"/>
          <w:color w:val="auto"/>
        </w:rPr>
      </w:pPr>
    </w:p>
    <w:p>
      <w:pPr>
        <w:ind w:left="520" w:right="360"/>
        <w:spacing w:after="0" w:line="261" w:lineRule="auto"/>
        <w:rPr>
          <w:sz w:val="20"/>
          <w:szCs w:val="20"/>
          <w:color w:val="auto"/>
        </w:rPr>
      </w:pPr>
      <w:r>
        <w:rPr>
          <w:rFonts w:ascii="Arial" w:cs="Arial" w:eastAsia="Arial" w:hAnsi="Arial"/>
          <w:sz w:val="18"/>
          <w:szCs w:val="18"/>
          <w:b w:val="1"/>
          <w:bCs w:val="1"/>
          <w:color w:val="auto"/>
        </w:rPr>
        <w:t>Study Name: A Study of Different Combination Regimens Including JNJ-73763989 and/or JNJ-56136379 for the Treatment of Chronic Hepatitis B Virus Infection (REEF-1)</w:t>
      </w:r>
    </w:p>
    <w:p>
      <w:pPr>
        <w:ind w:left="520" w:right="460"/>
        <w:spacing w:after="0" w:line="255" w:lineRule="auto"/>
        <w:rPr>
          <w:sz w:val="20"/>
          <w:szCs w:val="20"/>
          <w:color w:val="auto"/>
        </w:rPr>
      </w:pPr>
      <w:r>
        <w:rPr>
          <w:rFonts w:ascii="Arial" w:cs="Arial" w:eastAsia="Arial" w:hAnsi="Arial"/>
          <w:sz w:val="18"/>
          <w:szCs w:val="18"/>
          <w:color w:val="auto"/>
        </w:rPr>
        <w:t>A Phase 2b, Multicenter, Double-blind, Active-controlled, Randomized Study to Investigate the Efficacy and Safety of Different Combination Regimens Including JNJ-73763989 and/or JNJ-56136379 for the Treatment of Chronic Hepatitis B Virus Infection ClinicalTrials.gov Identifier: NCT03982186</w:t>
      </w:r>
    </w:p>
    <w:p>
      <w:pPr>
        <w:spacing w:after="0" w:line="294" w:lineRule="exact"/>
        <w:rPr>
          <w:sz w:val="20"/>
          <w:szCs w:val="20"/>
          <w:color w:val="auto"/>
        </w:rPr>
      </w:pPr>
    </w:p>
    <w:p>
      <w:pPr>
        <w:ind w:left="520" w:right="120"/>
        <w:spacing w:after="0" w:line="261" w:lineRule="auto"/>
        <w:rPr>
          <w:sz w:val="20"/>
          <w:szCs w:val="20"/>
          <w:color w:val="auto"/>
        </w:rPr>
      </w:pPr>
      <w:r>
        <w:rPr>
          <w:rFonts w:ascii="Arial" w:cs="Arial" w:eastAsia="Arial" w:hAnsi="Arial"/>
          <w:sz w:val="18"/>
          <w:szCs w:val="18"/>
          <w:b w:val="1"/>
          <w:bCs w:val="1"/>
          <w:color w:val="auto"/>
        </w:rPr>
        <w:t>Study Name: A Study of JNJ 73763989+JNJ 56136379+Nucleos(t)Ide Analog (NA) Regimen Compared to NA Alone in e Antigen Negative Virologically Suppressed Participants With Chronic Hepatitis B Virus Infection</w:t>
      </w:r>
    </w:p>
    <w:p>
      <w:pPr>
        <w:ind w:left="520"/>
        <w:spacing w:after="0"/>
        <w:rPr>
          <w:sz w:val="20"/>
          <w:szCs w:val="20"/>
          <w:color w:val="auto"/>
        </w:rPr>
      </w:pPr>
      <w:r>
        <w:rPr>
          <w:rFonts w:ascii="Arial" w:cs="Arial" w:eastAsia="Arial" w:hAnsi="Arial"/>
          <w:sz w:val="17"/>
          <w:szCs w:val="17"/>
          <w:color w:val="auto"/>
        </w:rPr>
        <w:t>A Randomized, Double Blind, Placebo-controlled Phase 2b Study to Evaluate Efficacy, Pharmacokinetics, and Safety of 48-week Study</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Intervention With JNJ 73763989+JNJ 56136379+Nucleos(t)Ide Analog (NA) Regimen Compared to NA Alone in e Antigen Negative Virologically</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Suppressed Participants With Chronic Hepatitis B Virus Infection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ClinicalTrials.gov Identifier: NCT04129554</w:t>
      </w:r>
    </w:p>
    <w:p>
      <w:pPr>
        <w:spacing w:after="0" w:line="31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Study Name: A Study of JNJ-73763989 in Healthy Chinese Adult Participants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Randomized, Open-Label, Parallel, Single Dose Study to Investigate Pharmacokinetics, Safety, and Tolerability of JNJ-73763989 in Healthy</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Chinese Adult Participants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ClinicalTrials.gov Identifier: NCT04586439</w:t>
      </w:r>
    </w:p>
    <w:p>
      <w:pPr>
        <w:spacing w:after="0" w:line="31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Study Name: A Study to Evaluate the Effect of Hepatic Impairment on JNJ-73763989</w:t>
      </w:r>
    </w:p>
    <w:p>
      <w:pPr>
        <w:spacing w:after="0" w:line="27" w:lineRule="exact"/>
        <w:rPr>
          <w:sz w:val="20"/>
          <w:szCs w:val="20"/>
          <w:color w:val="auto"/>
        </w:rPr>
      </w:pPr>
    </w:p>
    <w:p>
      <w:pPr>
        <w:ind w:left="520" w:right="20"/>
        <w:spacing w:after="0" w:line="260" w:lineRule="auto"/>
        <w:rPr>
          <w:sz w:val="20"/>
          <w:szCs w:val="20"/>
          <w:color w:val="auto"/>
        </w:rPr>
      </w:pPr>
      <w:r>
        <w:rPr>
          <w:rFonts w:ascii="Arial" w:cs="Arial" w:eastAsia="Arial" w:hAnsi="Arial"/>
          <w:sz w:val="18"/>
          <w:szCs w:val="18"/>
          <w:color w:val="auto"/>
        </w:rPr>
        <w:t>A Phase 1, Single-Dose, Open-Label, Parallel-Group Study to Evaluate the Effect of Hepatic Impairment on the Pharmacokinetics of JNJ-73763989 ClinicalTrials.gov Identifier: NCT04208386</w:t>
      </w:r>
    </w:p>
    <w:p>
      <w:pPr>
        <w:spacing w:after="0" w:line="289" w:lineRule="exact"/>
        <w:rPr>
          <w:sz w:val="20"/>
          <w:szCs w:val="20"/>
          <w:color w:val="auto"/>
        </w:rPr>
      </w:pPr>
    </w:p>
    <w:p>
      <w:pPr>
        <w:ind w:left="520" w:right="40"/>
        <w:spacing w:after="0" w:line="261" w:lineRule="auto"/>
        <w:rPr>
          <w:sz w:val="20"/>
          <w:szCs w:val="20"/>
          <w:color w:val="auto"/>
        </w:rPr>
      </w:pPr>
      <w:r>
        <w:rPr>
          <w:rFonts w:ascii="Arial" w:cs="Arial" w:eastAsia="Arial" w:hAnsi="Arial"/>
          <w:sz w:val="18"/>
          <w:szCs w:val="18"/>
          <w:b w:val="1"/>
          <w:bCs w:val="1"/>
          <w:color w:val="auto"/>
        </w:rPr>
        <w:t>Study Name: A Study of JNJ-73763989 + Nucleos(t)Ide Analog in Participants Co-Infected With Hepatitis B and Hepatitis D Virus (REEF-D)</w:t>
      </w:r>
    </w:p>
    <w:p>
      <w:pPr>
        <w:ind w:left="520" w:right="160"/>
        <w:spacing w:after="0" w:line="255" w:lineRule="auto"/>
        <w:rPr>
          <w:sz w:val="20"/>
          <w:szCs w:val="20"/>
          <w:color w:val="auto"/>
        </w:rPr>
      </w:pPr>
      <w:r>
        <w:rPr>
          <w:rFonts w:ascii="Arial" w:cs="Arial" w:eastAsia="Arial" w:hAnsi="Arial"/>
          <w:sz w:val="18"/>
          <w:szCs w:val="18"/>
          <w:color w:val="auto"/>
        </w:rPr>
        <w:t>A Phase 2, Multicenter, Randomized, Double-blind, Placebo-Controlled Study With Deferred Active Treatment to Investigate the Efficacy, Safety, and Pharmacokinetics of JNJ-73763989 + Nucleos(t)Ide Analog in Participants Co-Infected With Hepatitis B and Hepatitis D Virus ClinicalTrials.gov Identifier: NCT04535544</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 w:name="page10"/>
    <w:bookmarkEnd w:id="9"/>
    <w:p>
      <w:pPr>
        <w:ind w:left="520" w:right="300"/>
        <w:spacing w:after="0" w:line="257" w:lineRule="auto"/>
        <w:rPr>
          <w:sz w:val="20"/>
          <w:szCs w:val="20"/>
          <w:color w:val="auto"/>
        </w:rPr>
      </w:pPr>
      <w:r>
        <w:rPr>
          <w:rFonts w:ascii="Arial" w:cs="Arial" w:eastAsia="Arial" w:hAnsi="Arial"/>
          <w:sz w:val="18"/>
          <w:szCs w:val="18"/>
          <w:b w:val="1"/>
          <w:bCs w:val="1"/>
          <w:color w:val="auto"/>
        </w:rPr>
        <w:t>Study Name: A Study of JNJ-73763989 + JNJ-56136379 + Nucleos(t)Ide Analog (NA) Regimen With or Without Pegylated Interferon Alpha-2a (PegIFN-α2a) in Treatment-Naive Participants With Hepatitis B e Antigen (HBeAg) Positive Chronic Hepatitis B Virus (HBV) Infection and Normal Alanine Aminotransferase (ALT)</w:t>
      </w:r>
    </w:p>
    <w:p>
      <w:pPr>
        <w:spacing w:after="0" w:line="1" w:lineRule="exact"/>
        <w:rPr>
          <w:sz w:val="20"/>
          <w:szCs w:val="20"/>
          <w:color w:val="auto"/>
        </w:rPr>
      </w:pPr>
    </w:p>
    <w:p>
      <w:pPr>
        <w:ind w:left="520" w:right="340"/>
        <w:spacing w:after="0" w:line="253" w:lineRule="auto"/>
        <w:rPr>
          <w:sz w:val="20"/>
          <w:szCs w:val="20"/>
          <w:color w:val="auto"/>
        </w:rPr>
      </w:pPr>
      <w:r>
        <w:rPr>
          <w:rFonts w:ascii="Arial" w:cs="Arial" w:eastAsia="Arial" w:hAnsi="Arial"/>
          <w:sz w:val="18"/>
          <w:szCs w:val="18"/>
          <w:color w:val="auto"/>
        </w:rPr>
        <w:t>A Phase 2, Randomized, Open-label, Multicenter Study to Evaluate Efficacy, Pharmacokinetics, Safety, and Tolerability of Response-guided Treatment With JNJ-73763989 + JNJ-56136379 + Nucleos(t)Ide Analog Regimen With or Without Pegylated Interferon Alpha-2a in Treatment-naive Patients With HBeAg Positive Chronic Hepatitis B Virus Infection and Normal ALT ClinicalTrials.gov Identifier: NCT04439539</w:t>
      </w:r>
    </w:p>
    <w:p>
      <w:pPr>
        <w:spacing w:after="0" w:line="297" w:lineRule="exact"/>
        <w:rPr>
          <w:sz w:val="20"/>
          <w:szCs w:val="20"/>
          <w:color w:val="auto"/>
        </w:rPr>
      </w:pPr>
    </w:p>
    <w:p>
      <w:pPr>
        <w:ind w:left="520" w:right="120"/>
        <w:spacing w:after="0" w:line="261" w:lineRule="auto"/>
        <w:rPr>
          <w:sz w:val="20"/>
          <w:szCs w:val="20"/>
          <w:color w:val="auto"/>
        </w:rPr>
      </w:pPr>
      <w:r>
        <w:rPr>
          <w:rFonts w:ascii="Arial" w:cs="Arial" w:eastAsia="Arial" w:hAnsi="Arial"/>
          <w:sz w:val="18"/>
          <w:szCs w:val="18"/>
          <w:b w:val="1"/>
          <w:bCs w:val="1"/>
          <w:color w:val="auto"/>
        </w:rPr>
        <w:t>Study Name: A Study to Assess Intrahepatic and Peripheral Changes of Immunologic and Virologic Markers in Chronic Hepatitis B Virus Infection (INSIGHT)</w:t>
      </w:r>
    </w:p>
    <w:p>
      <w:pPr>
        <w:ind w:left="520"/>
        <w:spacing w:after="0"/>
        <w:rPr>
          <w:sz w:val="20"/>
          <w:szCs w:val="20"/>
          <w:color w:val="auto"/>
        </w:rPr>
      </w:pPr>
      <w:r>
        <w:rPr>
          <w:rFonts w:ascii="Arial" w:cs="Arial" w:eastAsia="Arial" w:hAnsi="Arial"/>
          <w:sz w:val="16"/>
          <w:szCs w:val="16"/>
          <w:color w:val="auto"/>
        </w:rPr>
        <w:t>A Phase 2 Randomized, Open-label, Parallel-group, Multicenter Study to Assess Intrahepatic and Peripheral Changes of Immunologic and Virologic</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Markers in Response to Combination Regimens Containing JNJ-73763989 and Nucleos(t)Ide Analog With or Without JNJ-56136379 in Patients</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With Chronic Hepatitis B Virus Infection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ClinicalTrials.gov Identifier: NCT04585789</w:t>
      </w:r>
    </w:p>
    <w:p>
      <w:pPr>
        <w:spacing w:after="0" w:line="31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Study Name: A Study of JNJ-73763989 in Adult Participants With Renal Impairment</w:t>
      </w:r>
    </w:p>
    <w:p>
      <w:pPr>
        <w:spacing w:after="0" w:line="27" w:lineRule="exact"/>
        <w:rPr>
          <w:sz w:val="20"/>
          <w:szCs w:val="20"/>
          <w:color w:val="auto"/>
        </w:rPr>
      </w:pPr>
    </w:p>
    <w:p>
      <w:pPr>
        <w:ind w:left="520" w:right="240"/>
        <w:spacing w:after="0" w:line="250" w:lineRule="auto"/>
        <w:rPr>
          <w:sz w:val="20"/>
          <w:szCs w:val="20"/>
          <w:color w:val="auto"/>
        </w:rPr>
      </w:pPr>
      <w:r>
        <w:rPr>
          <w:rFonts w:ascii="Arial" w:cs="Arial" w:eastAsia="Arial" w:hAnsi="Arial"/>
          <w:sz w:val="18"/>
          <w:szCs w:val="18"/>
          <w:color w:val="auto"/>
        </w:rPr>
        <w:t>An Open-label, Single-dose, Parallel-group Study to Evaluate the Effect of Renal Impairment on the Pharmacokinetics of JNJ-73763989 in Adult Participants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ClinicalTrials.gov Identifier: NCT04963738</w:t>
      </w:r>
    </w:p>
    <w:p>
      <w:pPr>
        <w:spacing w:after="0" w:line="315"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b w:val="1"/>
          <w:bCs w:val="1"/>
          <w:color w:val="auto"/>
        </w:rPr>
        <w:t>Study Name: A Study of JNJ-73763989, Pegylated Interferon Alpha-2a and Nucleos(t)Ide Analogs in Participants With Chronic Hepatitis B Virus Infection (PENGUIN-2)</w:t>
      </w:r>
    </w:p>
    <w:p>
      <w:pPr>
        <w:ind w:left="520" w:right="720"/>
        <w:spacing w:after="0" w:line="255" w:lineRule="auto"/>
        <w:rPr>
          <w:sz w:val="20"/>
          <w:szCs w:val="20"/>
          <w:color w:val="auto"/>
        </w:rPr>
      </w:pPr>
      <w:r>
        <w:rPr>
          <w:rFonts w:ascii="Arial" w:cs="Arial" w:eastAsia="Arial" w:hAnsi="Arial"/>
          <w:sz w:val="18"/>
          <w:szCs w:val="18"/>
          <w:color w:val="auto"/>
        </w:rPr>
        <w:t>A Phase 2, Open-label, Multicenter Study to Assess Efficacy, Safety, Tolerability, and Pharmacokinetics of Treatment With JNJ-73763989, Nucleos(t)Ide Analogs, and Pegylated Interferon Alpha-2a in Patients With Chronic Hepatitis B Virus Infection ClinicalTrials.gov Identifier: NCT05005507</w:t>
      </w:r>
    </w:p>
    <w:p>
      <w:pPr>
        <w:spacing w:after="0" w:line="294" w:lineRule="exact"/>
        <w:rPr>
          <w:sz w:val="20"/>
          <w:szCs w:val="20"/>
          <w:color w:val="auto"/>
        </w:rPr>
      </w:pPr>
    </w:p>
    <w:p>
      <w:pPr>
        <w:ind w:left="520" w:right="760"/>
        <w:spacing w:after="0" w:line="261" w:lineRule="auto"/>
        <w:rPr>
          <w:sz w:val="20"/>
          <w:szCs w:val="20"/>
          <w:color w:val="auto"/>
        </w:rPr>
      </w:pPr>
      <w:r>
        <w:rPr>
          <w:rFonts w:ascii="Arial" w:cs="Arial" w:eastAsia="Arial" w:hAnsi="Arial"/>
          <w:sz w:val="18"/>
          <w:szCs w:val="18"/>
          <w:b w:val="1"/>
          <w:bCs w:val="1"/>
          <w:color w:val="auto"/>
        </w:rPr>
        <w:t>Study Name: A Study of JNJ-73763989, JNJ-56136379, Nucleos(t)Ide Analogs, and Pegylated Interferon Alpha-2a in Virologically Suppressed Participants With Chronic Hepatitis B Virus Infection (PENGUIN)</w:t>
      </w:r>
    </w:p>
    <w:p>
      <w:pPr>
        <w:ind w:left="520" w:right="20"/>
        <w:spacing w:after="0" w:line="250" w:lineRule="auto"/>
        <w:rPr>
          <w:sz w:val="20"/>
          <w:szCs w:val="20"/>
          <w:color w:val="auto"/>
        </w:rPr>
      </w:pPr>
      <w:r>
        <w:rPr>
          <w:rFonts w:ascii="Arial" w:cs="Arial" w:eastAsia="Arial" w:hAnsi="Arial"/>
          <w:sz w:val="18"/>
          <w:szCs w:val="18"/>
          <w:color w:val="auto"/>
        </w:rPr>
        <w:t>A Phase 2, Open-label, Single-arm, Multicenter Study to Assess Efficacy, Safety, Tolerability, and Pharmacokinetics of Treatment With JNJ-73763989, JNJ-56136379, Nucleos(t)Ide Analogs, and Pegylated Interferon Alpha-2a in Virologically Suppressed Patients With Chronic Hepatitis B Virus Infection</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ClinicalTrials.gov Identifier: NCT04667104</w:t>
      </w:r>
    </w:p>
    <w:p>
      <w:pPr>
        <w:spacing w:after="0" w:line="31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JNJ-75220795 (formerly referred to as ARO-JNJ1), ARO-JNJ2, and ARO-JNJ3</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JNJ-75220795 (ARO-JNJ1) is an investigational therapeutic being developed by Janssen. It utilizes Arrowhead’s proprietary TRIM</w:t>
      </w:r>
      <w:r>
        <w:rPr>
          <w:rFonts w:ascii="Arial" w:cs="Arial" w:eastAsia="Arial" w:hAnsi="Arial"/>
          <w:sz w:val="15"/>
          <w:szCs w:val="15"/>
          <w:color w:val="auto"/>
        </w:rPr>
        <w:t>TM</w:t>
      </w:r>
      <w:r>
        <w:rPr>
          <w:rFonts w:ascii="Arial" w:cs="Arial" w:eastAsia="Arial" w:hAnsi="Arial"/>
          <w:sz w:val="18"/>
          <w:szCs w:val="18"/>
          <w:color w:val="auto"/>
        </w:rPr>
        <w:t xml:space="preserve"> platform and is designed to reduce expression in the liver of patatin like phospholipase domain containing 3 (PNPLA3) as a potential treatment for patients with non-alcoholic steatohepatitis (NASH). ARO-JNJ2 and ARO-JNJ3 are being developed against undisclosed liver-expressed targets as part of Arrowhead’s research collaboration and option agreement with Janssen.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Amgen Inc.</w:t>
      </w:r>
    </w:p>
    <w:p>
      <w:pPr>
        <w:spacing w:after="0" w:line="121"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Amgen Inc. (“Amgen”) acquired a worldwide, exclusive license in September 2016 to develop and commercialize Olpasiran (previously referred to as AMG 890 or ARO-LPA). Under the terms of the agreements taken together for Olpasiran and ARO-AMG1, the Company received $35.0 million in upfront payments and $21.5 million in the form of an equity investment by Amgen in the Company’s Common Stock, and the Company was eligible to receive up to $617.0 million in option payments and development, regulatory and sales milestone payments. The Company remains eligible to receive up to an additional $400.0 million in remaining development, regulatory and sales milestone payments under the Olpasiran (ARO-LPA) agreement. Since signing the agreements, Arrowhead has received $30.0 million in developmental milestone payments from Amgen. The Company is further eligible to receive up to low double-digit royalties for sales of products under the Olpasiran (AMG 890, ARO-LPA) agreement.</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Olpasiran (formerly AMG 890 and ARO-LPA)</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Olpasiran is designed to reduce production of apolipoprotein A, a key component of lipoprotein(a), which has been genetically linked with increased risk of cardiovascular diseases, independent of cholesterol and LDL levels. Amgen started a Phase 2 clinical study in July 2020 evaluating the efficacy, safety, and tolerability of Olpasiran in subjects with elevated levels of lipoprotein(a), triggering a $20 million milestone payment to Arrowhead. Amgen also reported Phase 1 clinical results at the American Heart Association Scientific Sessions conference in November 2020.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Horizon Therapeutics Ireland DAC.</w:t>
      </w:r>
    </w:p>
    <w:p>
      <w:pPr>
        <w:spacing w:after="0" w:line="121" w:lineRule="exact"/>
        <w:rPr>
          <w:sz w:val="20"/>
          <w:szCs w:val="20"/>
          <w:color w:val="auto"/>
        </w:rPr>
      </w:pPr>
    </w:p>
    <w:p>
      <w:pPr>
        <w:ind w:right="20" w:firstLine="510"/>
        <w:spacing w:after="0" w:line="284" w:lineRule="auto"/>
        <w:rPr>
          <w:sz w:val="20"/>
          <w:szCs w:val="20"/>
          <w:color w:val="auto"/>
        </w:rPr>
      </w:pPr>
      <w:r>
        <w:rPr>
          <w:rFonts w:ascii="Arial" w:cs="Arial" w:eastAsia="Arial" w:hAnsi="Arial"/>
          <w:sz w:val="17"/>
          <w:szCs w:val="17"/>
          <w:color w:val="auto"/>
        </w:rPr>
        <w:t>Horizon Therapeutics Ireland DAC. (“Horizon”) and Arrowhead announced a global collaboration and license agreement for ARO-XDH in June 2021. Under the terms of the agreement, Arrowhead will conduct all activities through preclinical stages of development of the siRNA therapeutic. Horizon will receive a worldwide exclusive license to the therapeutic and will be wholly responsible for clinical development and commercialization. Arrowhead received a $40 million upfront payment from Horizon and is eligible to receive up to $660 million in potential development, regulatory and commercial milestones, and is further eligible to receive royalties in the low- to mid-teens range on net product sales.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ARO-XDH</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ARO-XDH is designed to reduce production of xanthine dehydrogenase (XDH) as a potential treatment for people with uncontrolled gout. Gout is a serious and painful form of arthritis that is caused by excess uric acid in the blood. In the United States, there are more than nine million gout patients and approximately a third of those patients are treated with oral urate-lowering therapies. However, a meaningful portion of treated patients do not respond sufficiently to treatment and therefore continue to experience painful and debilitating gout symptoms. XDH represents a clinically validated target that is the primary source of serum uric acid (sUA). High levels of sUA, if left untreated or undertreated, can potentially lead to serious long-term or even permanent damage to the bones, joints and organs.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 Interference &amp; the Benefits of RNAi Therapeutics</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RNAi-based therapeutics may leverage this natural pathway of gene silencing to target and shut down specific disease-causing genes.</w:t>
      </w:r>
    </w:p>
    <w:p>
      <w:pPr>
        <w:spacing w:after="0" w:line="187"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Small molecule and antibody drugs have proven effective at inhibiting certain cell surface, intracellular, and extracellular targets. However, other drug targets have proven difficult to inhibit with traditional drug-based and biologic therapeutics. Developing effective drugs for these targets would have the potential to address large underserved markets for the treatment of many diseases. Using the ability to specifically silence any gene, RNAi therapeutics may be able to address previously “undruggable” targets, unlocking the market potential of such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117475</wp:posOffset>
            </wp:positionV>
            <wp:extent cx="4345940" cy="2905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4594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This figure depicts the mechanism by which gene silencing occurs. Double stranded RNAi triggers are introduced into a cell and are loaded into the RNA-induced silencing complex, (“RISC”). The strands are then separated, leaving an active RISC/RNAi trigger complex. This complex can then pair with and degrade the complementary messenger RNAs (“mRNA”) and stop the production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ind w:right="160"/>
        <w:spacing w:after="0" w:line="277" w:lineRule="auto"/>
        <w:rPr>
          <w:sz w:val="20"/>
          <w:szCs w:val="20"/>
          <w:color w:val="auto"/>
        </w:rPr>
      </w:pPr>
      <w:r>
        <w:rPr>
          <w:rFonts w:ascii="Arial" w:cs="Arial" w:eastAsia="Arial" w:hAnsi="Arial"/>
          <w:sz w:val="18"/>
          <w:szCs w:val="18"/>
          <w:color w:val="auto"/>
        </w:rPr>
        <w:t>the target proteins. RNAi is a catalytic process, so each RNAi trigger can degrade mRNA hundreds of times, which results in a relatively long duration of effect for RNAi therapeutics.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Key Advantages of RNAi as a Therapeutic Modality</w:t>
      </w:r>
    </w:p>
    <w:p>
      <w:pPr>
        <w:spacing w:after="0" w:line="117" w:lineRule="exact"/>
        <w:rPr>
          <w:sz w:val="20"/>
          <w:szCs w:val="20"/>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Silences the expression of disease associated genes;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to address any target in the transcriptome including previously "undruggable" targets;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 lead identification;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specificity;</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Opportunity to use multiple RNA sequences in one drug product for synergistic silencing of related targets;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RNAi therapeutics are uniquely suited for personalized medicine through target and cell specific delivery and gene knockdown.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Targeted RNAi Molecule (TRiM</w:t>
      </w:r>
      <w:r>
        <w:rPr>
          <w:rFonts w:ascii="Arial" w:cs="Arial" w:eastAsia="Arial" w:hAnsi="Arial"/>
          <w:sz w:val="15"/>
          <w:szCs w:val="15"/>
          <w:b w:val="1"/>
          <w:bCs w:val="1"/>
          <w:i w:val="1"/>
          <w:iCs w:val="1"/>
          <w:color w:val="auto"/>
        </w:rPr>
        <w:t>TM</w:t>
      </w:r>
      <w:r>
        <w:rPr>
          <w:rFonts w:ascii="Arial" w:cs="Arial" w:eastAsia="Arial" w:hAnsi="Arial"/>
          <w:sz w:val="18"/>
          <w:szCs w:val="18"/>
          <w:b w:val="1"/>
          <w:bCs w:val="1"/>
          <w:i w:val="1"/>
          <w:iCs w:val="1"/>
          <w:color w:val="auto"/>
        </w:rPr>
        <w:t>) Platform</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Arrowhead’s Targeted RNAi Molecule (TRiM</w:t>
      </w:r>
      <w:r>
        <w:rPr>
          <w:rFonts w:ascii="Arial" w:cs="Arial" w:eastAsia="Arial" w:hAnsi="Arial"/>
          <w:sz w:val="15"/>
          <w:szCs w:val="15"/>
          <w:color w:val="auto"/>
        </w:rPr>
        <w:t>TM</w:t>
      </w:r>
      <w:r>
        <w:rPr>
          <w:rFonts w:ascii="Arial" w:cs="Arial" w:eastAsia="Arial" w:hAnsi="Arial"/>
          <w:sz w:val="18"/>
          <w:szCs w:val="18"/>
          <w:color w:val="auto"/>
        </w:rPr>
        <w:t>) platform utilizes ligand-mediated delivery and is designed to enable tissue-specific targeting while being structurally simple. Targeting has been core to Arrowhead’s development philosophy and the TRiM</w:t>
      </w:r>
      <w:r>
        <w:rPr>
          <w:rFonts w:ascii="Arial" w:cs="Arial" w:eastAsia="Arial" w:hAnsi="Arial"/>
          <w:sz w:val="15"/>
          <w:szCs w:val="15"/>
          <w:color w:val="auto"/>
        </w:rPr>
        <w:t>TM</w:t>
      </w:r>
      <w:r>
        <w:rPr>
          <w:rFonts w:ascii="Arial" w:cs="Arial" w:eastAsia="Arial" w:hAnsi="Arial"/>
          <w:sz w:val="18"/>
          <w:szCs w:val="18"/>
          <w:color w:val="auto"/>
        </w:rPr>
        <w:t xml:space="preserve"> platform builds on more than a decade of work on actively targeted drug delivery vehicles. Arrowhead scientists have discovered ways to progressively “TRiM” away extraneous features and chemistries and retain optimal pharmacologic activity.</w:t>
      </w:r>
    </w:p>
    <w:p>
      <w:pPr>
        <w:spacing w:after="0" w:line="18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 TRiM</w:t>
      </w:r>
      <w:r>
        <w:rPr>
          <w:rFonts w:ascii="Arial" w:cs="Arial" w:eastAsia="Arial" w:hAnsi="Arial"/>
          <w:sz w:val="15"/>
          <w:szCs w:val="15"/>
          <w:color w:val="auto"/>
        </w:rPr>
        <w:t>TM</w:t>
      </w:r>
      <w:r>
        <w:rPr>
          <w:rFonts w:ascii="Arial" w:cs="Arial" w:eastAsia="Arial" w:hAnsi="Arial"/>
          <w:sz w:val="18"/>
          <w:szCs w:val="18"/>
          <w:color w:val="auto"/>
        </w:rPr>
        <w:t xml:space="preserve"> platform is comprised of a highly potent RNA trigger identified using Arrowhead’s proprietary trigger selection rules and algorithms with the following components optimized, as needed, for each drug candidate: a high affinity targeting ligand; various linker and chemistries; structures that enhance pharmacokinetics; and highly potent RNAi triggers with sequence specific stabilization chemistries.</w:t>
      </w:r>
    </w:p>
    <w:p>
      <w:pPr>
        <w:spacing w:after="0" w:line="184"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Therapeutics developed with the TRiM</w:t>
      </w:r>
      <w:r>
        <w:rPr>
          <w:rFonts w:ascii="Arial" w:cs="Arial" w:eastAsia="Arial" w:hAnsi="Arial"/>
          <w:sz w:val="14"/>
          <w:szCs w:val="14"/>
          <w:color w:val="auto"/>
        </w:rPr>
        <w:t>TM</w:t>
      </w:r>
      <w:r>
        <w:rPr>
          <w:rFonts w:ascii="Arial" w:cs="Arial" w:eastAsia="Arial" w:hAnsi="Arial"/>
          <w:sz w:val="17"/>
          <w:szCs w:val="17"/>
          <w:color w:val="auto"/>
        </w:rPr>
        <w:t xml:space="preserve"> platform offer several advantages: simplified manufacturing and reduced costs; multiple routes of administration; and potential for improved safety because there are less metabolites from smaller molecules, thereby reducing the risk of intracellular buildup. At Arrowhead, we also believe that for RNAi to reach its true potential, it must target organs outside the liver. Arrowhead is leading this expansion with the TRiMTM platform, which has shown the potential to reach multiple tissues, including liver, lung, tumor, muscle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-19050</wp:posOffset>
            </wp:positionV>
            <wp:extent cx="5854700" cy="2571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547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 Chemistries</w:t>
      </w:r>
    </w:p>
    <w:p>
      <w:pPr>
        <w:spacing w:after="0" w:line="117"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The structure and chemistries of the oligonucleotide molecules used to trigger the RNAi mechanism can be tailored for optimal activity. Arrowhead’s broad portfolio of RNA trigger structures and chemistries, including some proprietary structures, enable the Company to optimize each drug candidate on a target-by-target basis and utilize the combination of structure and chemical modifications that yield the most potent RNAi trigger.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 w:name="page13"/>
    <w:bookmarkEnd w:id="12"/>
    <w:p>
      <w:pPr>
        <w:ind w:right="80" w:firstLine="510"/>
        <w:spacing w:after="0" w:line="259" w:lineRule="auto"/>
        <w:rPr>
          <w:sz w:val="20"/>
          <w:szCs w:val="20"/>
          <w:color w:val="auto"/>
        </w:rPr>
      </w:pPr>
      <w:r>
        <w:rPr>
          <w:rFonts w:ascii="Arial" w:cs="Arial" w:eastAsia="Arial" w:hAnsi="Arial"/>
          <w:sz w:val="18"/>
          <w:szCs w:val="18"/>
          <w:color w:val="auto"/>
        </w:rPr>
        <w:t>As a component of the TRiM</w:t>
      </w:r>
      <w:r>
        <w:rPr>
          <w:rFonts w:ascii="Arial" w:cs="Arial" w:eastAsia="Arial" w:hAnsi="Arial"/>
          <w:sz w:val="15"/>
          <w:szCs w:val="15"/>
          <w:color w:val="auto"/>
        </w:rPr>
        <w:t>TM</w:t>
      </w:r>
      <w:r>
        <w:rPr>
          <w:rFonts w:ascii="Arial" w:cs="Arial" w:eastAsia="Arial" w:hAnsi="Arial"/>
          <w:sz w:val="18"/>
          <w:szCs w:val="18"/>
          <w:color w:val="auto"/>
        </w:rPr>
        <w:t xml:space="preserve"> platform, Arrowhead’s design philosophy for RNA chemical modifications is to start with a structurally simple molecule and add only selective modification and stabilization chemistries as necessary to achieve the desired level of target knockdown and duration of effect. The conceptual framework for the stabilization strategy starts with a more sophisticated RNAi trigger screening and selection process that identifies potent sequences rapidly in locations that others may miss.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Facilities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Arrowhead’s research and development operations are primarily located in Madison, Wisconsin, and San Diego, California. Substantially all of the Company’s assets are located either in these facilities or in our corporate headquarters in Pasadena, California. A summary of our research and development resources is provided below:</w:t>
      </w:r>
    </w:p>
    <w:p>
      <w:pPr>
        <w:spacing w:after="0" w:line="76" w:lineRule="exact"/>
        <w:rPr>
          <w:sz w:val="20"/>
          <w:szCs w:val="20"/>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273 R&amp;D personnel as of September 30, 2021;</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State-of-the-art laboratories consisting of 132,000 total sq. ft.;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 small animal facilities;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Primate colony housed at the Wisconsin National Primate Research Center, an affiliate of the University of Wisconsin;</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In-house histopathology capabilities;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Animal models for cardio metabolic, viral, lung, and oncologic diseases;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Animal efficacy and safety assessment;</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In-house drug manufacturing capabilities to produce GMP material;</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Polymer, peptide, oligonucleotide and small molecule synthesis and analytics capabilities (HPLC, NMR, MS, etc.);</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Polymer, peptide and oligonucleotide PK, biodistribution, clearance methodologies; and</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Conventional and confocal microscopy, flow cytometry, Luminex platform, qRT-PCR and clinical chemistry analytics.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and Key Agreements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 controls approximately 406 issued patents (including 263 directed to RNAi trigger molecules; 39 directed to targeting groups or targeting compounds; and 5 for hydrodynamic gene delivery), including European validations, and approximately 640 currently pending patent applications worldwide from 57 different patent families. The Company’s patent applications have been filed throughout the world, including, in the United States, Argentina, ARIPO (Africa Regional Intellectual Property Organization), Australia, Brazil, Canada, Chile, China, Eurasian Patent Organization, Europe, GCC (Gulf Cooperation Council), Hong Kong, Israel, India, Indonesia, Iraq, Jordan, Japan, Republic of Korea, Lebanon, Mexico, New Zealand, OAPI (African Intellectual Property Organization), Peru, Philippines, Russian Federation, Saudi Arabia, Singapore, Thailand, Taiwan, Uruguay, Venezuela, Vietnam, and South Africa.</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RNAi Triggers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owns issued patents or has filed patent applications directed to RNAi trigger molecules, which serve as the foundation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Arrowhead’s TRiM</w:t>
      </w:r>
      <w:r>
        <w:rPr>
          <w:rFonts w:ascii="Arial" w:cs="Arial" w:eastAsia="Arial" w:hAnsi="Arial"/>
          <w:sz w:val="15"/>
          <w:szCs w:val="15"/>
          <w:color w:val="auto"/>
        </w:rPr>
        <w:t>TM</w:t>
      </w:r>
      <w:r>
        <w:rPr>
          <w:rFonts w:ascii="Arial" w:cs="Arial" w:eastAsia="Arial" w:hAnsi="Arial"/>
          <w:sz w:val="18"/>
          <w:szCs w:val="18"/>
          <w:color w:val="auto"/>
        </w:rPr>
        <w:t xml:space="preserve"> platform, and are targeted to reduce expression of various gene targets, including the following:</w:t>
      </w:r>
    </w:p>
    <w:p>
      <w:pPr>
        <w:spacing w:after="0" w:line="232" w:lineRule="exact"/>
        <w:rPr>
          <w:sz w:val="20"/>
          <w:szCs w:val="20"/>
          <w:color w:val="auto"/>
        </w:rPr>
      </w:pPr>
    </w:p>
    <w:tbl>
      <w:tblPr>
        <w:tblLayout w:type="fixed"/>
        <w:tblInd w:w="530" w:type="dxa"/>
        <w:tblCellMar>
          <w:top w:w="0" w:type="dxa"/>
          <w:left w:w="0" w:type="dxa"/>
          <w:bottom w:w="0" w:type="dxa"/>
          <w:right w:w="0" w:type="dxa"/>
        </w:tblCellMar>
      </w:tblPr>
      <w:tr>
        <w:trPr>
          <w:trHeight w:val="230"/>
        </w:trPr>
        <w:tc>
          <w:tcPr>
            <w:tcW w:w="5340" w:type="dxa"/>
            <w:vAlign w:val="bottom"/>
            <w:tcBorders>
              <w:top w:val="single" w:sz="8" w:color="auto"/>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Patent Group</w:t>
            </w:r>
          </w:p>
        </w:tc>
        <w:tc>
          <w:tcPr>
            <w:tcW w:w="370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Estimated Year(s) of Expiration*</w:t>
            </w:r>
          </w:p>
        </w:tc>
      </w:tr>
      <w:tr>
        <w:trPr>
          <w:trHeight w:val="210"/>
        </w:trPr>
        <w:tc>
          <w:tcPr>
            <w:tcW w:w="5340" w:type="dxa"/>
            <w:vAlign w:val="bottom"/>
            <w:tcBorders>
              <w:left w:val="single" w:sz="8" w:color="auto"/>
              <w:bottom w:val="single" w:sz="8" w:color="auto"/>
              <w:right w:val="single" w:sz="8" w:color="EEECE1"/>
            </w:tcBorders>
            <w:shd w:val="clear" w:color="auto" w:fill="EEECE1"/>
          </w:tcPr>
          <w:p>
            <w:pPr>
              <w:ind w:left="540"/>
              <w:spacing w:after="0"/>
              <w:rPr>
                <w:sz w:val="20"/>
                <w:szCs w:val="20"/>
                <w:color w:val="auto"/>
              </w:rPr>
            </w:pPr>
            <w:r>
              <w:rPr>
                <w:rFonts w:ascii="Arial" w:cs="Arial" w:eastAsia="Arial" w:hAnsi="Arial"/>
                <w:sz w:val="18"/>
                <w:szCs w:val="18"/>
                <w:b w:val="1"/>
                <w:bCs w:val="1"/>
                <w:color w:val="auto"/>
              </w:rPr>
              <w:t>RNAi Triggers Gene Target</w:t>
            </w:r>
          </w:p>
        </w:tc>
        <w:tc>
          <w:tcPr>
            <w:tcW w:w="3700" w:type="dxa"/>
            <w:vAlign w:val="bottom"/>
            <w:tcBorders>
              <w:bottom w:val="single" w:sz="8" w:color="auto"/>
              <w:right w:val="single" w:sz="8" w:color="auto"/>
            </w:tcBorders>
            <w:shd w:val="clear" w:color="auto" w:fill="EEECE1"/>
          </w:tcPr>
          <w:p>
            <w:pPr>
              <w:spacing w:after="0"/>
              <w:rPr>
                <w:sz w:val="18"/>
                <w:szCs w:val="18"/>
                <w:color w:val="auto"/>
              </w:rPr>
            </w:pP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HBV</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2032, 2036, 2037</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AAT</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2035, 2038</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LPA</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2036</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α-ENaC</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2028, 2038</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APOC3</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2035, 2038, 2040</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ANGPTL3</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2038</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HIF2α</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2034, 2036, 2040</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HSD17B13</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2039</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PNPLA3</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2041</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Factor 12</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2036, 2038</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RRM2</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2031</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β-ENaC</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2031</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β-Catenin</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2033</w:t>
            </w:r>
          </w:p>
        </w:tc>
      </w:tr>
    </w:tbl>
    <w:p>
      <w:pPr>
        <w:spacing w:after="0" w:line="200" w:lineRule="exact"/>
        <w:rPr>
          <w:sz w:val="20"/>
          <w:szCs w:val="20"/>
          <w:color w:val="auto"/>
        </w:rPr>
      </w:pPr>
    </w:p>
    <w:p>
      <w:pPr>
        <w:sectPr>
          <w:pgSz w:w="11900" w:h="16838" w:orient="portrait"/>
          <w:cols w:equalWidth="0" w:num="1">
            <w:col w:w="11240"/>
          </w:cols>
          <w:pgMar w:left="320" w:top="341"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3" w:name="page14"/>
    <w:bookmarkEnd w:id="13"/>
    <w:tbl>
      <w:tblPr>
        <w:tblLayout w:type="fixed"/>
        <w:tblInd w:w="530" w:type="dxa"/>
        <w:tblCellMar>
          <w:top w:w="0" w:type="dxa"/>
          <w:left w:w="0" w:type="dxa"/>
          <w:bottom w:w="0" w:type="dxa"/>
          <w:right w:w="0" w:type="dxa"/>
        </w:tblCellMar>
      </w:tblPr>
      <w:tr>
        <w:trPr>
          <w:trHeight w:val="230"/>
        </w:trPr>
        <w:tc>
          <w:tcPr>
            <w:tcW w:w="5340" w:type="dxa"/>
            <w:vAlign w:val="bottom"/>
            <w:tcBorders>
              <w:top w:val="single" w:sz="8" w:color="auto"/>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Patent Group</w:t>
            </w:r>
          </w:p>
        </w:tc>
        <w:tc>
          <w:tcPr>
            <w:tcW w:w="370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Estimated Year(s) of Expiration*</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Cx43</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2029</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HCV</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2023</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HIF1A</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2026</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HRH1</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2027</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HSF1</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2030, 2032</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FRP-1</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2026</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KRAS</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2033</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PDtype4</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2026</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PI4Kinase</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2028</w:t>
            </w:r>
          </w:p>
        </w:tc>
      </w:tr>
      <w:tr>
        <w:trPr>
          <w:trHeight w:val="210"/>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SYK</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2027</w:t>
            </w:r>
          </w:p>
        </w:tc>
      </w:tr>
      <w:tr>
        <w:trPr>
          <w:trHeight w:val="209"/>
        </w:trPr>
        <w:tc>
          <w:tcPr>
            <w:tcW w:w="534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TNF-α</w:t>
            </w:r>
          </w:p>
        </w:tc>
        <w:tc>
          <w:tcPr>
            <w:tcW w:w="370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2027, 2028</w:t>
            </w: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*Assuming issuance of any pending patent applications, and excluding any patent term adjustments or patent term extensions.</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Delivery Technologies</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delivery technology-related patents and patent applications, which include components used in Arrowhead’s TRiM</w:t>
      </w:r>
      <w:r>
        <w:rPr>
          <w:rFonts w:ascii="Arial" w:cs="Arial" w:eastAsia="Arial" w:hAnsi="Arial"/>
          <w:sz w:val="14"/>
          <w:szCs w:val="14"/>
          <w:color w:val="auto"/>
        </w:rPr>
        <w:t>TM</w:t>
      </w:r>
      <w:r>
        <w:rPr>
          <w:rFonts w:ascii="Arial" w:cs="Arial" w:eastAsia="Arial" w:hAnsi="Arial"/>
          <w:sz w:val="17"/>
          <w:szCs w:val="17"/>
          <w:color w:val="auto"/>
        </w:rPr>
        <w:t xml:space="preserve"> platform, have been filed and/or issued in various jurisdictions worldwide including the United States, Argentina, Australia, Brazil, Canada, China, Eurasian Patent Organization, Europe (including validations in France, Germany, Italy, Spain, Switzerland, United Kingdom), GCC (Gulf Cooperation Council), Israel, India, Japan, Lebanon, Mexico, New Zealand, Philippines, Russia, South Korea, Singapore, Taiwan, Uruguay, and South Africa. The Company also controls a number of patents directed to hydrodynamic nucleic acid delivery, which issued in the United States, Australia and Europe (validated in Austria, Belgium, Switzerland, Germany, Denmark, Spain, Finland, France, the United Kingdom, Hungary, Ireland, Italy, Netherlands and Sweden). The approximate year of expiration for each of these various groups of patents are set forth below:</w:t>
      </w:r>
    </w:p>
    <w:p>
      <w:pPr>
        <w:spacing w:after="0" w:line="199" w:lineRule="exact"/>
        <w:rPr>
          <w:sz w:val="20"/>
          <w:szCs w:val="20"/>
          <w:color w:val="auto"/>
        </w:rPr>
      </w:pPr>
    </w:p>
    <w:tbl>
      <w:tblPr>
        <w:tblLayout w:type="fixed"/>
        <w:tblInd w:w="530" w:type="dxa"/>
        <w:tblCellMar>
          <w:top w:w="0" w:type="dxa"/>
          <w:left w:w="0" w:type="dxa"/>
          <w:bottom w:w="0" w:type="dxa"/>
          <w:right w:w="0" w:type="dxa"/>
        </w:tblCellMar>
      </w:tblPr>
      <w:tr>
        <w:trPr>
          <w:trHeight w:val="230"/>
        </w:trPr>
        <w:tc>
          <w:tcPr>
            <w:tcW w:w="5500" w:type="dxa"/>
            <w:vAlign w:val="bottom"/>
            <w:tcBorders>
              <w:top w:val="single" w:sz="8" w:color="auto"/>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Patent Group</w:t>
            </w:r>
          </w:p>
        </w:tc>
        <w:tc>
          <w:tcPr>
            <w:tcW w:w="400" w:type="dxa"/>
            <w:vAlign w:val="bottom"/>
            <w:tcBorders>
              <w:top w:val="single" w:sz="8" w:color="auto"/>
              <w:bottom w:val="single" w:sz="8" w:color="auto"/>
            </w:tcBorders>
          </w:tcPr>
          <w:p>
            <w:pPr>
              <w:spacing w:after="0"/>
              <w:rPr>
                <w:sz w:val="19"/>
                <w:szCs w:val="19"/>
                <w:color w:val="auto"/>
              </w:rPr>
            </w:pPr>
          </w:p>
        </w:tc>
        <w:tc>
          <w:tcPr>
            <w:tcW w:w="31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Estimated Year(s) of Expiration*</w:t>
            </w:r>
          </w:p>
        </w:tc>
      </w:tr>
      <w:tr>
        <w:trPr>
          <w:trHeight w:val="209"/>
        </w:trPr>
        <w:tc>
          <w:tcPr>
            <w:tcW w:w="5900" w:type="dxa"/>
            <w:vAlign w:val="bottom"/>
            <w:tcBorders>
              <w:left w:val="single" w:sz="8" w:color="auto"/>
              <w:bottom w:val="single" w:sz="8" w:color="auto"/>
            </w:tcBorders>
            <w:gridSpan w:val="2"/>
            <w:shd w:val="clear" w:color="auto" w:fill="EEECE1"/>
          </w:tcPr>
          <w:p>
            <w:pPr>
              <w:ind w:left="540"/>
              <w:spacing w:after="0"/>
              <w:rPr>
                <w:sz w:val="20"/>
                <w:szCs w:val="20"/>
                <w:color w:val="auto"/>
              </w:rPr>
            </w:pPr>
            <w:r>
              <w:rPr>
                <w:rFonts w:ascii="Arial" w:cs="Arial" w:eastAsia="Arial" w:hAnsi="Arial"/>
                <w:sz w:val="18"/>
                <w:szCs w:val="18"/>
                <w:b w:val="1"/>
                <w:bCs w:val="1"/>
                <w:color w:val="auto"/>
                <w:w w:val="90"/>
              </w:rPr>
              <w:t>Targeting ligands and other RNAi delivery and platform technologies</w:t>
            </w:r>
          </w:p>
        </w:tc>
        <w:tc>
          <w:tcPr>
            <w:tcW w:w="3140" w:type="dxa"/>
            <w:vAlign w:val="bottom"/>
            <w:tcBorders>
              <w:bottom w:val="single" w:sz="8" w:color="auto"/>
              <w:right w:val="single" w:sz="8" w:color="auto"/>
            </w:tcBorders>
            <w:shd w:val="clear" w:color="auto" w:fill="EEECE1"/>
          </w:tcPr>
          <w:p>
            <w:pPr>
              <w:spacing w:after="0"/>
              <w:rPr>
                <w:sz w:val="18"/>
                <w:szCs w:val="18"/>
                <w:color w:val="auto"/>
              </w:rPr>
            </w:pPr>
          </w:p>
        </w:tc>
      </w:tr>
      <w:tr>
        <w:trPr>
          <w:trHeight w:val="209"/>
        </w:trPr>
        <w:tc>
          <w:tcPr>
            <w:tcW w:w="550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 xml:space="preserve">Targeting groups </w:t>
            </w:r>
            <w:r>
              <w:rPr>
                <w:rFonts w:ascii="Arial" w:cs="Arial" w:eastAsia="Arial" w:hAnsi="Arial"/>
                <w:sz w:val="18"/>
                <w:szCs w:val="18"/>
                <w:i w:val="1"/>
                <w:iCs w:val="1"/>
                <w:color w:val="auto"/>
              </w:rPr>
              <w:t>(</w:t>
            </w:r>
            <w:r>
              <w:rPr>
                <w:rFonts w:ascii="Arial" w:cs="Arial" w:eastAsia="Arial" w:hAnsi="Arial"/>
                <w:sz w:val="18"/>
                <w:szCs w:val="18"/>
                <w:color w:val="auto"/>
              </w:rPr>
              <w:t>Galactose derivative trimer-PK</w:t>
            </w:r>
            <w:r>
              <w:rPr>
                <w:rFonts w:ascii="Arial" w:cs="Arial" w:eastAsia="Arial" w:hAnsi="Arial"/>
                <w:sz w:val="18"/>
                <w:szCs w:val="18"/>
                <w:i w:val="1"/>
                <w:iCs w:val="1"/>
                <w:color w:val="auto"/>
              </w:rPr>
              <w:t>)</w:t>
            </w:r>
          </w:p>
        </w:tc>
        <w:tc>
          <w:tcPr>
            <w:tcW w:w="40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2031</w:t>
            </w:r>
          </w:p>
        </w:tc>
      </w:tr>
      <w:tr>
        <w:trPr>
          <w:trHeight w:val="210"/>
        </w:trPr>
        <w:tc>
          <w:tcPr>
            <w:tcW w:w="550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Targeting groups (αvβ3 integrin)</w:t>
            </w:r>
          </w:p>
        </w:tc>
        <w:tc>
          <w:tcPr>
            <w:tcW w:w="40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2034, 2039, 2039</w:t>
            </w:r>
          </w:p>
        </w:tc>
      </w:tr>
      <w:tr>
        <w:trPr>
          <w:trHeight w:val="209"/>
        </w:trPr>
        <w:tc>
          <w:tcPr>
            <w:tcW w:w="550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Targeting groups (αvβ6 integrin)</w:t>
            </w:r>
          </w:p>
        </w:tc>
        <w:tc>
          <w:tcPr>
            <w:tcW w:w="40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2037, 2038</w:t>
            </w:r>
          </w:p>
        </w:tc>
      </w:tr>
      <w:tr>
        <w:trPr>
          <w:trHeight w:val="210"/>
        </w:trPr>
        <w:tc>
          <w:tcPr>
            <w:tcW w:w="550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Targeting groups (Galactose derivative ligands)</w:t>
            </w:r>
          </w:p>
        </w:tc>
        <w:tc>
          <w:tcPr>
            <w:tcW w:w="40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2037, 2037</w:t>
            </w:r>
          </w:p>
        </w:tc>
      </w:tr>
      <w:tr>
        <w:trPr>
          <w:trHeight w:val="210"/>
        </w:trPr>
        <w:tc>
          <w:tcPr>
            <w:tcW w:w="550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RNAi agent design (5′-phosphate mimic)</w:t>
            </w:r>
          </w:p>
        </w:tc>
        <w:tc>
          <w:tcPr>
            <w:tcW w:w="40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2037</w:t>
            </w:r>
          </w:p>
        </w:tc>
      </w:tr>
      <w:tr>
        <w:trPr>
          <w:trHeight w:val="210"/>
        </w:trPr>
        <w:tc>
          <w:tcPr>
            <w:tcW w:w="550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Physiologically labile linkers</w:t>
            </w:r>
          </w:p>
        </w:tc>
        <w:tc>
          <w:tcPr>
            <w:tcW w:w="40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2036</w:t>
            </w:r>
          </w:p>
        </w:tc>
      </w:tr>
      <w:tr>
        <w:trPr>
          <w:trHeight w:val="209"/>
        </w:trPr>
        <w:tc>
          <w:tcPr>
            <w:tcW w:w="550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Biologically cleavable linkers</w:t>
            </w:r>
          </w:p>
        </w:tc>
        <w:tc>
          <w:tcPr>
            <w:tcW w:w="40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2036</w:t>
            </w:r>
          </w:p>
        </w:tc>
      </w:tr>
      <w:tr>
        <w:trPr>
          <w:trHeight w:val="210"/>
        </w:trPr>
        <w:tc>
          <w:tcPr>
            <w:tcW w:w="550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Trialkyne linkers</w:t>
            </w:r>
          </w:p>
        </w:tc>
        <w:tc>
          <w:tcPr>
            <w:tcW w:w="40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2039</w:t>
            </w:r>
          </w:p>
        </w:tc>
      </w:tr>
      <w:tr>
        <w:trPr>
          <w:trHeight w:val="210"/>
        </w:trPr>
        <w:tc>
          <w:tcPr>
            <w:tcW w:w="550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Transferrin targeting</w:t>
            </w:r>
          </w:p>
        </w:tc>
        <w:tc>
          <w:tcPr>
            <w:tcW w:w="40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2028</w:t>
            </w:r>
          </w:p>
        </w:tc>
      </w:tr>
      <w:tr>
        <w:trPr>
          <w:trHeight w:val="210"/>
        </w:trPr>
        <w:tc>
          <w:tcPr>
            <w:tcW w:w="550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LDLR targeting</w:t>
            </w:r>
          </w:p>
        </w:tc>
        <w:tc>
          <w:tcPr>
            <w:tcW w:w="40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2028</w:t>
            </w:r>
          </w:p>
        </w:tc>
      </w:tr>
      <w:tr>
        <w:trPr>
          <w:trHeight w:val="210"/>
        </w:trPr>
        <w:tc>
          <w:tcPr>
            <w:tcW w:w="550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Peptide targeting (CPP-Arg)</w:t>
            </w:r>
          </w:p>
        </w:tc>
        <w:tc>
          <w:tcPr>
            <w:tcW w:w="40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2028</w:t>
            </w:r>
          </w:p>
        </w:tc>
      </w:tr>
      <w:tr>
        <w:trPr>
          <w:trHeight w:val="209"/>
        </w:trPr>
        <w:tc>
          <w:tcPr>
            <w:tcW w:w="550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Peptide targeting (YM3-10H)</w:t>
            </w:r>
          </w:p>
        </w:tc>
        <w:tc>
          <w:tcPr>
            <w:tcW w:w="40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2032</w:t>
            </w:r>
          </w:p>
        </w:tc>
      </w:tr>
      <w:tr>
        <w:trPr>
          <w:trHeight w:val="210"/>
        </w:trPr>
        <w:tc>
          <w:tcPr>
            <w:tcW w:w="5500" w:type="dxa"/>
            <w:vAlign w:val="bottom"/>
            <w:tcBorders>
              <w:left w:val="single" w:sz="8" w:color="auto"/>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spacing w:after="0"/>
              <w:rPr>
                <w:sz w:val="18"/>
                <w:szCs w:val="18"/>
                <w:color w:val="auto"/>
              </w:rPr>
            </w:pPr>
          </w:p>
        </w:tc>
      </w:tr>
      <w:tr>
        <w:trPr>
          <w:trHeight w:val="210"/>
        </w:trPr>
        <w:tc>
          <w:tcPr>
            <w:tcW w:w="5900" w:type="dxa"/>
            <w:vAlign w:val="bottom"/>
            <w:tcBorders>
              <w:left w:val="single" w:sz="8" w:color="auto"/>
              <w:bottom w:val="single" w:sz="8" w:color="auto"/>
            </w:tcBorders>
            <w:gridSpan w:val="2"/>
            <w:shd w:val="clear" w:color="auto" w:fill="EEECE1"/>
          </w:tcPr>
          <w:p>
            <w:pPr>
              <w:ind w:left="540"/>
              <w:spacing w:after="0"/>
              <w:rPr>
                <w:sz w:val="20"/>
                <w:szCs w:val="20"/>
                <w:color w:val="auto"/>
              </w:rPr>
            </w:pPr>
            <w:r>
              <w:rPr>
                <w:rFonts w:ascii="Arial" w:cs="Arial" w:eastAsia="Arial" w:hAnsi="Arial"/>
                <w:sz w:val="18"/>
                <w:szCs w:val="18"/>
                <w:b w:val="1"/>
                <w:bCs w:val="1"/>
                <w:color w:val="auto"/>
              </w:rPr>
              <w:t>Hydrodynamic delivery</w:t>
            </w:r>
          </w:p>
        </w:tc>
        <w:tc>
          <w:tcPr>
            <w:tcW w:w="3140" w:type="dxa"/>
            <w:vAlign w:val="bottom"/>
            <w:tcBorders>
              <w:bottom w:val="single" w:sz="8" w:color="auto"/>
              <w:right w:val="single" w:sz="8" w:color="auto"/>
            </w:tcBorders>
            <w:shd w:val="clear" w:color="auto" w:fill="EEECE1"/>
          </w:tcPr>
          <w:p>
            <w:pPr>
              <w:spacing w:after="0"/>
              <w:rPr>
                <w:sz w:val="18"/>
                <w:szCs w:val="18"/>
                <w:color w:val="auto"/>
              </w:rPr>
            </w:pPr>
          </w:p>
        </w:tc>
      </w:tr>
      <w:tr>
        <w:trPr>
          <w:trHeight w:val="210"/>
        </w:trPr>
        <w:tc>
          <w:tcPr>
            <w:tcW w:w="5500" w:type="dxa"/>
            <w:vAlign w:val="bottom"/>
            <w:tcBorders>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Third iteration</w:t>
            </w:r>
          </w:p>
        </w:tc>
        <w:tc>
          <w:tcPr>
            <w:tcW w:w="400" w:type="dxa"/>
            <w:vAlign w:val="bottom"/>
            <w:tcBorders>
              <w:bottom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2024</w:t>
            </w: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*Assuming issuance of any pending patent applications, and excluding any patent term adjustments or patent term extensions.</w:t>
      </w:r>
    </w:p>
    <w:p>
      <w:pPr>
        <w:spacing w:after="0" w:line="225"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color w:val="auto"/>
        </w:rPr>
        <w:t>The RNAi and drug delivery patent landscapes are complex and rapidly evolving. As such, we may need to obtain additional patent licenses prior to commercialization of our candidates. You should review the factors identified in “Risk Factors” in Part I, Item 1A of this Annual Report on Form 10-K.</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Non-Exclusively Licensed Patent Rights from Roche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October 21, 2011, Arrowhead acquired the RNAi therapeutics business of Hoffmann-La Roche, Inc. and F. Hoffmann-La Roche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(collectively, “Roche”). The acquisition provided us with two primary sources of value:</w:t>
      </w:r>
    </w:p>
    <w:p>
      <w:pPr>
        <w:spacing w:after="0" w:line="103" w:lineRule="exact"/>
        <w:rPr>
          <w:sz w:val="20"/>
          <w:szCs w:val="20"/>
          <w:color w:val="auto"/>
        </w:rPr>
      </w:pPr>
    </w:p>
    <w:p>
      <w:pPr>
        <w:ind w:left="880" w:right="26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 freedom to operate with respect to key patents directed to the primary RNAi-trigger formats: canonical, UNA, meroduplex, and dicer substrate structures;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large team of scientists experienced in RNAi and oligonucleotide delivery.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14" w:name="page15"/>
    <w:bookmarkEnd w:id="14"/>
    <w:p>
      <w:pPr>
        <w:ind w:firstLine="510"/>
        <w:spacing w:after="0" w:line="279" w:lineRule="auto"/>
        <w:rPr>
          <w:sz w:val="20"/>
          <w:szCs w:val="20"/>
          <w:color w:val="auto"/>
        </w:rPr>
      </w:pPr>
      <w:r>
        <w:rPr>
          <w:rFonts w:ascii="Arial" w:cs="Arial" w:eastAsia="Arial" w:hAnsi="Arial"/>
          <w:sz w:val="17"/>
          <w:szCs w:val="17"/>
          <w:color w:val="auto"/>
        </w:rPr>
        <w:t>Pursuant to this acquisition, Roche assigned to Arrowhead its entire rights under certain licenses including: the License and Collaboration Agreement between Roche and Alnylam Pharmaceuticals, Inc. (“Alnylam”) dated July 8, 2007 (the “Alnylam License”); the Non-Exclusive Patent License Agreement between Roche and MDRNA, Inc. dated February 12, 2009 (“MDRNA License”); and the Non-Exclusive License Agreement between Roche and City of Hope dated September 19, 2011 (the “COH License”) (collectively the “RNAi Licenses”).</w:t>
      </w:r>
    </w:p>
    <w:p>
      <w:pPr>
        <w:spacing w:after="0" w:line="171"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The RNAi Licenses include licenses to patents related to modifications of double-stranded oligonucleotides, including modifications to the base, sugar, or internucleoside linkage, nucleotide mimetics, and end modifications, which do not abolish the RNAi activity of the double-stranded oligonucleotides. Also included are patents relating to modified double-stranded oligonucleotides, such as meroduplexes described in U.S. Patent No. 9,074,205 assigned to Marina Biotech (f/k/a MDRNA, Inc.), as well as U.S. Patent Nos. 8,314,227, 9,051,570, and 9,303,260 related to unlocked nucleotide analogs (“UNA”). The UNA patents were assigned by Marina Biotech to Arcturus Therapeutics, Inc., but remain part of the MDRNA License. The RNAi Licenses further include patents related to dicer substrates and uses of the double-stranded oligonucleotides that function through the mechanism of RNA interference, such as described in City of Hope’s U.S. Patent Nos. 8,084,599, 8,658,356, 8,691,786, 8,796,444, 8,809,515, and 9,518,262.</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2012 License to Alnylam</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consideration for licenses obtained from Alnylam to certain RNAi intellectual property, in January 2012, we granted Alnylam a worldwide non-exclusive, sublicensable royalty-bearing license under our broad and target-specific DPC intellectual property rights to research, develop and commercialize RNAi-based products against a single undisclosed target in combination with DPC technology. Under the license to Alnylam, Alnylam may be obligated to pay us development and sales milestone payments of up to the low double-digit millions of dollars for each licensed product that progresses through clinical trials, receives marketing approval and is the subject of a first commercial sale. Additionally, Alnylam may be obligated to pay us low single-digit percentage royalties on sales of such products.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Acquisition of Assets from Novartis</w:t>
      </w:r>
    </w:p>
    <w:p>
      <w:pPr>
        <w:spacing w:after="0" w:line="121"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On March 3, 2015, the Company entered into an Asset Purchase and Exclusive License Agreement (the “RNAi Purchase Agreement”) with Novartis pursuant to which the Company acquired Novartis’ RNAi assets and rights thereunder. Pursuant to the RNAi Purchase Agreement, the Company acquired or was granted a license to certain patents and patent applications owned or controlled by Novartis related to RNAi therapeutics, was assigned Novartis’s rights under a license from Alnylam (the “Alnylam-Novartis License”) and acquired a license to certain additional Novartis assets (the “Licensed Novartis Assets”). The patents acquired from Novartis include multiple patent families covering delivery technologies and RNAi-trigger design rules and modifications. The Licensed Novartis Assets include an exclusive, worldwide right and license, solely in the RNAi field, with the right to grant sublicenses through multiple tiers under or with respect to certain patent rights and know how relating to delivery technologies and RNAi-trigger design rules and modifications. Under the assigned Alnylam-Novartis License, the Company acquired a worldwide, royalty-bearing, exclusive license with limited sublicensing rights to existing and future Alnylam intellectual property (including intellectual property that came under Alnylam’s control on or before March 31, 2016), excluding intellectual property concerning delivery technology, to research, develop and commercialize 30 undisclosed gene targets.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Cardiovascular Collaboration and License Agreements with Amgen</w:t>
      </w:r>
    </w:p>
    <w:p>
      <w:pPr>
        <w:spacing w:after="0" w:line="121"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On September 28, 2016, the Company entered into two Collaboration and License agreements and a Common Stock Purchase Agreement with Amgen. Under the First Collaboration and License Agreement, Amgen received an option to a worldwide, exclusive license to ARO-AMG1</w:t>
      </w:r>
      <w:r>
        <w:rPr>
          <w:rFonts w:ascii="Arial" w:cs="Arial" w:eastAsia="Arial" w:hAnsi="Arial"/>
          <w:sz w:val="14"/>
          <w:szCs w:val="14"/>
          <w:color w:val="auto"/>
        </w:rPr>
        <w:t>,</w:t>
      </w:r>
      <w:r>
        <w:rPr>
          <w:rFonts w:ascii="Arial" w:cs="Arial" w:eastAsia="Arial" w:hAnsi="Arial"/>
          <w:sz w:val="17"/>
          <w:szCs w:val="17"/>
          <w:color w:val="auto"/>
        </w:rPr>
        <w:t xml:space="preserve"> an RNAi therapy for an undisclosed genetically validated cardiovascular target. Under the Second Collaboration and License Agreement (the “Olpasiran Agreement”), Amgen received a worldwide, exclusive license to Arrowhead’s novel, RNAi AMG 890 (ARO-LPA) program, now referred to as Olpasiran. The Olpasiran RNAi molecules are designed to reduce elevated lipoprotein(a), which is a genetically validated, independent risk factor for atherosclerotic cardiovascular disease. In both agreements, Amgen is wholly responsible for clinical development and commercialization. Under the terms of the agreements taken together, the Company has received $35 million in upfront payments and $21.5 million in the form of an equity investment by Amgen in the Company’s Common Stock. The Company was eligible to receive up to $617.0 million in option payments and development, regulatory and sales milestone payments. In August 2018, the Company received a $10.0 million milestone payment from Amgen following the administration of the first dose of Olpasiran in a phase 1 clinical trial. In July 2020, the Company received a $20.0 million milestone payment from Amgen following the initiation of a Phase 2 clinical study of Olpasiran. The Company remains eligible to receive up to an additional $400.0 million in remaining development, regulatory and sales milestone payments under the Olpasiran agreement. The Company is further eligible to receive up to low double-digit royalties for sales of products under the Olpasiran agreement.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5" w:name="page16"/>
    <w:bookmarkEnd w:id="15"/>
    <w:p>
      <w:pPr>
        <w:ind w:right="20" w:firstLine="510"/>
        <w:spacing w:after="0" w:line="342" w:lineRule="auto"/>
        <w:rPr>
          <w:sz w:val="20"/>
          <w:szCs w:val="20"/>
          <w:color w:val="auto"/>
        </w:rPr>
      </w:pPr>
      <w:r>
        <w:rPr>
          <w:rFonts w:ascii="Arial" w:cs="Arial" w:eastAsia="Arial" w:hAnsi="Arial"/>
          <w:sz w:val="16"/>
          <w:szCs w:val="16"/>
          <w:color w:val="auto"/>
        </w:rPr>
        <w:t>In August 2018, Arrowhead delivered to Amgen a candidate that met or exceeded the activity and safety requirements stipulated in the ARO-AMG1 collaboration agreement. The option period expired on August 7, 2019 and Amgen advised Arrowhead that it did not intend to exercise its option.</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License and Research Collaboration Agreements with Janssen Pharmaceuticals, Inc.</w:t>
      </w:r>
    </w:p>
    <w:p>
      <w:pPr>
        <w:spacing w:after="0" w:line="121" w:lineRule="exact"/>
        <w:rPr>
          <w:sz w:val="20"/>
          <w:szCs w:val="20"/>
          <w:color w:val="auto"/>
        </w:rPr>
      </w:pPr>
    </w:p>
    <w:p>
      <w:pPr>
        <w:jc w:val="both"/>
        <w:ind w:right="420" w:firstLine="510"/>
        <w:spacing w:after="0" w:line="263" w:lineRule="auto"/>
        <w:rPr>
          <w:sz w:val="20"/>
          <w:szCs w:val="20"/>
          <w:color w:val="auto"/>
        </w:rPr>
      </w:pPr>
      <w:r>
        <w:rPr>
          <w:rFonts w:ascii="Arial" w:cs="Arial" w:eastAsia="Arial" w:hAnsi="Arial"/>
          <w:sz w:val="18"/>
          <w:szCs w:val="18"/>
          <w:color w:val="auto"/>
        </w:rPr>
        <w:t>On October 3, 2018, the Company entered into a License Agreement (“Janssen License Agreement”) and a Research Collaboration and Option Agreement (“Janssen Collaboration Agreement”) with Janssen. The Company also entered into a Stock Purchase Agreement (“JJDC Stock Purchase Agreement”) with JJDC.</w:t>
      </w:r>
    </w:p>
    <w:p>
      <w:pPr>
        <w:spacing w:after="0" w:line="184" w:lineRule="exact"/>
        <w:rPr>
          <w:sz w:val="20"/>
          <w:szCs w:val="20"/>
          <w:color w:val="auto"/>
        </w:rPr>
      </w:pPr>
    </w:p>
    <w:p>
      <w:pPr>
        <w:ind w:right="400" w:firstLine="510"/>
        <w:spacing w:after="0" w:line="259" w:lineRule="auto"/>
        <w:rPr>
          <w:sz w:val="20"/>
          <w:szCs w:val="20"/>
          <w:color w:val="auto"/>
        </w:rPr>
      </w:pPr>
      <w:r>
        <w:rPr>
          <w:rFonts w:ascii="Arial" w:cs="Arial" w:eastAsia="Arial" w:hAnsi="Arial"/>
          <w:sz w:val="18"/>
          <w:szCs w:val="18"/>
          <w:color w:val="auto"/>
        </w:rPr>
        <w:t>Under the Janssen License Agreement, Janssen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Janssen is wholly responsible for further clinical development and commercialization of JNJ-3989 (ARO-HBV).</w:t>
      </w:r>
    </w:p>
    <w:p>
      <w:pPr>
        <w:spacing w:after="0" w:line="187"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Under the Janssen Collaboration Agreement, Janssen will be able to select up to three new targets against which the Company will develop clinical candidates. These candidates are subject to certain restrictions and do not include candidates that were already in the Company’s pipeline. The Company will perform discovery, optimization and preclinical development on selected targets, entirely funded by Janssen, which on its own or in combination with Janssen development work, is sufficient to allow the filing of a U.S. Investigational New Drug application or equivalent, at which time Janssen will have the option to take an exclusive license to the Company’s intellectual property rights covering that compound. If the option is exercised, Janssen will be wholly responsible for clinical development and commercialization of each optioned compound.</w:t>
      </w:r>
    </w:p>
    <w:p>
      <w:pPr>
        <w:spacing w:after="0" w:line="17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Under the terms of the agreements taken together, the Company has received (i) $175.0 million as an upfront payment, (ii) $75.0 million in the form of an equity investment by JJDC in the Company’s common stock, (iii) milestone and option payments totaling $70.0 million, (iv) up to $1.6 billion in development and sales milestones payments for the Janssen License Agreement, and (v) up to $1.9 billion in development and sales milestone payments for the three additional targets covered under the Janssen Collaboration Agreement. The Company is further eligible to receive tiered royalties up to mid-teens under the Janssen License agreement and up to low teens under the Janssen Collaboration Agreement on product sales.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Research Collaboration Agreements with Takeda Pharmaceuticals U.S.A., Inc.</w:t>
      </w:r>
    </w:p>
    <w:p>
      <w:pPr>
        <w:spacing w:after="0" w:line="121"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On October 7, 2020, the Company entered into an Exclusive License and Co-Funding Agreement (the “Takeda License Agreement”) with Takeda Pharmaceuticals U.S.A., Inc. (“Takeda”). Under the Takeda License Agreement, Takeda and the Company will co-develop the Company’s ARO-AAT program, the Company’s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receive an exclusive license to commercialize ARO-AAT with the Company eligible to receive tiered royalties of 20% to 25% on net sales. The Company will receive $300.0 million as an upfront payment and is eligible to receive potential development, regulatory and commercial milestones of up to $740.0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And License Agreement with Horizon Therapeutics Ireland DAC.</w:t>
      </w:r>
    </w:p>
    <w:p>
      <w:pPr>
        <w:spacing w:after="0" w:line="121"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On June 18, 2021, the Company entered into a Collaboration and License Agreement (the “Horizon License Agreement”) with Horizon Therapeutics Ireland DAC (“Horizon”). Under the terms of the Horizon License Agreement, Arrowhead will develop an RNAi therapeutic against xanthine dehydrogenase (XDH), as a potential treatment for people with uncontrolled gout. The Company will conduct all activities through preclinical stages of development, and Horizon will receive a worldwide exclusive license to the RNAi therapeutic and be wholly responsible for clinical development and commercialization. The Company received $40 million as an upfront payment from Horizon and is eligible to receive up to $660 million in potential development, regulatory and commercial milestones, and is further eligible to receive royalties in the low- to mid-teens range on net product sales.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1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Government authorities in the United States, at the federal, state, and local levels, and in other countries and jurisdictions, including the European Union, extensively regulate, among other things, the research, development, testing, product approval, manufacture, quality control, manufacturing changes, packaging, storage, recordkeeping, labeling, promotion, advertising, sales, distribution, marketing, and import and export of drugs and biologic products. All of our foreseeable product candidates are expected to be regulated as drugs. The processes for obtaining regulatory approval in the United States and in foreign countries and jurisdictions, along with compliance with applicable statutes and regulations and other regulatory authorities both pre-and post-commercialization, are a significant factor in the production and marketing of our products and our R&amp;D activities and require the expenditure of substantial time and financial resources.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b w:val="1"/>
          <w:bCs w:val="1"/>
          <w:color w:val="auto"/>
        </w:rPr>
        <w:t>Review and Approval of Drugs in the United States</w:t>
      </w:r>
    </w:p>
    <w:p>
      <w:pPr>
        <w:spacing w:after="0" w:line="121"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In the United States, the FDA and other government entities regulate drugs under the Federal Food, Drug, and Cosmetic Act (the “FDCA”), the Public Health Service Act, and the regulations promulgated under those statutes, as well as other federal and state statutes and regulations. Failure to comply with applicable legal and regulatory requirements in the United States at any time during the product development process, approval process, or after approval, may subject us to a variety of administrative or judicial sanctions, such as a delay in approving or refusal by the FDA to approve pending applications, withdrawal of approvals, delay or suspension of clinical trials, issuance of warning letters and other types of regulatory letters, product recalls, product seizures, total or partial suspension of production or distribution, injunctions, fines, civil monetary penalties, refusals of or debarment from government contracts, exclusion from the federal healthcare programs, restitution, disgorgement of profits, civil or criminal investigations by the FDA, U.S. Department of Justice, State Attorneys General, and/or other agencies, False Claims Act suits and/or other litigation, and/or criminal prosecutions.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applicant seeking approval to market and distribute a new drug in the United States must typically undertake the following:</w:t>
      </w:r>
    </w:p>
    <w:p>
      <w:pPr>
        <w:spacing w:after="0" w:line="225" w:lineRule="exact"/>
        <w:rPr>
          <w:sz w:val="20"/>
          <w:szCs w:val="20"/>
          <w:color w:val="auto"/>
        </w:rPr>
      </w:pPr>
    </w:p>
    <w:p>
      <w:pPr>
        <w:ind w:right="520" w:firstLine="518"/>
        <w:spacing w:after="0" w:line="277" w:lineRule="auto"/>
        <w:tabs>
          <w:tab w:leader="none" w:pos="76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(“GLP”) regulations;</w:t>
      </w:r>
    </w:p>
    <w:p>
      <w:pPr>
        <w:spacing w:after="0" w:line="170" w:lineRule="exact"/>
        <w:rPr>
          <w:rFonts w:ascii="Arial" w:cs="Arial" w:eastAsia="Arial" w:hAnsi="Arial"/>
          <w:sz w:val="18"/>
          <w:szCs w:val="18"/>
          <w:color w:val="auto"/>
        </w:rPr>
      </w:pPr>
    </w:p>
    <w:p>
      <w:pPr>
        <w:ind w:right="240" w:firstLine="518"/>
        <w:spacing w:after="0" w:line="277" w:lineRule="auto"/>
        <w:tabs>
          <w:tab w:leader="none" w:pos="765"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without FDA objection before human clinical trials may begin;</w:t>
      </w:r>
    </w:p>
    <w:p>
      <w:pPr>
        <w:spacing w:after="0" w:line="170" w:lineRule="exact"/>
        <w:rPr>
          <w:rFonts w:ascii="Arial" w:cs="Arial" w:eastAsia="Arial" w:hAnsi="Arial"/>
          <w:sz w:val="18"/>
          <w:szCs w:val="18"/>
          <w:color w:val="auto"/>
        </w:rPr>
      </w:pPr>
    </w:p>
    <w:p>
      <w:pPr>
        <w:ind w:left="780" w:hanging="262"/>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(“IRB”), representing each clinical site before each clinical trial may be initiated;</w:t>
      </w:r>
    </w:p>
    <w:p>
      <w:pPr>
        <w:spacing w:after="0" w:line="236" w:lineRule="exact"/>
        <w:rPr>
          <w:rFonts w:ascii="Arial" w:cs="Arial" w:eastAsia="Arial" w:hAnsi="Arial"/>
          <w:sz w:val="17"/>
          <w:szCs w:val="17"/>
          <w:color w:val="auto"/>
        </w:rPr>
      </w:pPr>
    </w:p>
    <w:p>
      <w:pPr>
        <w:ind w:right="620" w:firstLine="518"/>
        <w:spacing w:after="0" w:line="308" w:lineRule="auto"/>
        <w:tabs>
          <w:tab w:leader="none" w:pos="765"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the FDA’s current good clinical practice (“cGCP”) regulations, to establish the safety and effectiveness of the proposed drug product for each indication for which approval is sought;</w:t>
      </w:r>
    </w:p>
    <w:p>
      <w:pPr>
        <w:spacing w:after="0" w:line="146" w:lineRule="exact"/>
        <w:rPr>
          <w:rFonts w:ascii="Arial" w:cs="Arial" w:eastAsia="Arial" w:hAnsi="Arial"/>
          <w:sz w:val="17"/>
          <w:szCs w:val="17"/>
          <w:color w:val="auto"/>
        </w:rPr>
      </w:pPr>
    </w:p>
    <w:p>
      <w:pPr>
        <w:ind w:left="780" w:hanging="262"/>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(“NDA”);</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satisfactory review of the NDA by an FDA advisory committee, where appropriate or if applicable;</w:t>
      </w:r>
    </w:p>
    <w:p>
      <w:pPr>
        <w:spacing w:after="0" w:line="225" w:lineRule="exact"/>
        <w:rPr>
          <w:rFonts w:ascii="Arial" w:cs="Arial" w:eastAsia="Arial" w:hAnsi="Arial"/>
          <w:sz w:val="18"/>
          <w:szCs w:val="18"/>
          <w:color w:val="auto"/>
        </w:rPr>
      </w:pPr>
    </w:p>
    <w:p>
      <w:pPr>
        <w:ind w:right="20" w:firstLine="518"/>
        <w:spacing w:after="0" w:line="286" w:lineRule="auto"/>
        <w:tabs>
          <w:tab w:leader="none" w:pos="765" w:val="left"/>
        </w:tabs>
        <w:numPr>
          <w:ilvl w:val="0"/>
          <w:numId w:val="6"/>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at which the drug product, and the active pharmaceutical ingredient or ingredients thereof, are produced to assess compliance with current good manufacturing practice (“cGMP”) regulations and to assure that the facilities, methods, and controls are adequate to ensure the product’s identity, strength, quality, and purity;</w:t>
      </w:r>
    </w:p>
    <w:p>
      <w:pPr>
        <w:spacing w:after="0" w:line="165" w:lineRule="exact"/>
        <w:rPr>
          <w:rFonts w:ascii="Arial" w:cs="Arial" w:eastAsia="Arial" w:hAnsi="Arial"/>
          <w:sz w:val="17"/>
          <w:szCs w:val="17"/>
          <w:color w:val="auto"/>
        </w:rPr>
      </w:pPr>
    </w:p>
    <w:p>
      <w:pPr>
        <w:ind w:left="780" w:hanging="262"/>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 of user fees, as applicable, and securing FDA approval of the NDA; and</w:t>
      </w:r>
    </w:p>
    <w:p>
      <w:pPr>
        <w:spacing w:after="0" w:line="225" w:lineRule="exact"/>
        <w:rPr>
          <w:rFonts w:ascii="Arial" w:cs="Arial" w:eastAsia="Arial" w:hAnsi="Arial"/>
          <w:sz w:val="18"/>
          <w:szCs w:val="18"/>
          <w:color w:val="auto"/>
        </w:rPr>
      </w:pPr>
    </w:p>
    <w:p>
      <w:pPr>
        <w:ind w:right="360" w:firstLine="518"/>
        <w:spacing w:after="0" w:line="277" w:lineRule="auto"/>
        <w:tabs>
          <w:tab w:leader="none" w:pos="76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any post-approval requirements, such as any Risk Evaluation and Mitigation Strategies (“REMS”) or post-approval studies required by the FDA.</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 Studies and an IND</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 xml:space="preserve">Preclinical studies can include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potential for adverse events and, in some cases, to establish a rationale for therapeutic use. The conduct of preclinical studies is subject to federal regulations and requirements, including GLP regulations. Other studies include laboratory evaluation of the purity, stability and physical form of the manufactured drug substance or active pharmaceutical ingredient and the physical properties, stability and reproducibility of the formulated drug or drug product. An IND sponsor must submit the results of the preclinical tests, together with manufacturing information, analytical data, any available clinical data or literature and plans for clinical studies, among other things, to the FDA as part of an IND. Some preclinical testing, such as longer-term toxicity testing, animal tests of reproductive adverse events and carcinogenicity, may continue after the IND is submitted.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7" w:name="page18"/>
    <w:bookmarkEnd w:id="17"/>
    <w:p>
      <w:pPr>
        <w:ind w:right="20" w:firstLine="510"/>
        <w:spacing w:after="0" w:line="272" w:lineRule="auto"/>
        <w:rPr>
          <w:sz w:val="20"/>
          <w:szCs w:val="20"/>
          <w:color w:val="auto"/>
        </w:rPr>
      </w:pPr>
      <w:r>
        <w:rPr>
          <w:rFonts w:ascii="Arial" w:cs="Arial" w:eastAsia="Arial" w:hAnsi="Arial"/>
          <w:sz w:val="17"/>
          <w:szCs w:val="17"/>
          <w:color w:val="auto"/>
        </w:rPr>
        <w:t>Following commencement of a clinical trial under an IND, the FDA may place a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Human Clinical Studies in Support of an NDA</w:t>
      </w:r>
    </w:p>
    <w:p>
      <w:pPr>
        <w:spacing w:after="0" w:line="117"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cGCP requirements, which include, among other things, the requirement that all research subjects provide their informed consent in writing before their participation in any clinical trial. Clinical trials are conducted under written study protocols detailing, among other things, the objectives of the study, the parameters to be used in monitoring safety and the effectiveness criteria to be evaluated. A protocol for each clinical trial and any subsequent protocol amendments must be submitted to the FDA as part of the IND. In addition,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Information about certain clinical trials must be submitted within specific timeframes to the NIH for public dissemination on its ClinicalTrials.gov website.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25" w:lineRule="exact"/>
        <w:rPr>
          <w:sz w:val="20"/>
          <w:szCs w:val="20"/>
          <w:color w:val="auto"/>
        </w:rPr>
      </w:pPr>
    </w:p>
    <w:p>
      <w:pPr>
        <w:ind w:right="440" w:firstLine="510"/>
        <w:spacing w:after="0" w:line="342" w:lineRule="auto"/>
        <w:rPr>
          <w:sz w:val="20"/>
          <w:szCs w:val="20"/>
          <w:color w:val="auto"/>
        </w:rPr>
      </w:pPr>
      <w:r>
        <w:rPr>
          <w:rFonts w:ascii="Arial" w:cs="Arial" w:eastAsia="Arial" w:hAnsi="Arial"/>
          <w:sz w:val="16"/>
          <w:szCs w:val="16"/>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24"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70"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8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in late-stage clinical trials to assure compliance with cGCP and the integrity of the clinical data submitted.</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Submission of an NDA to the FDA</w:t>
      </w:r>
    </w:p>
    <w:p>
      <w:pPr>
        <w:spacing w:after="0" w:line="11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Assuming successful completion of required clinical testing and other requirements, the results of the preclinical and clinical studies,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an application user fee, currently $3.117 million for fiscal year 2022, for applications requiring clinical data, and the sponsor of an approved NDA is also subject to an annual program fee, currently $369,413 for fiscal year 2022. These fees are adjusted annually.</w:t>
      </w:r>
    </w:p>
    <w:p>
      <w:pPr>
        <w:spacing w:after="0" w:line="176"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Under certain circumstances, the FDA will waive the application fee for the first human drug application that a small business, defined as a company with less than 500 employees, including employees of affiliates, submits for review. An affiliate is defined as a business entity that has a relationship with a second business entity if one business entity controls, or has the power to control, the other business entity, or a third-party controls, or has the power to control, both entities. In addition, an application to market a prescription drug product that has received orphan designation is not subject to a prescription drug user fee unless the application includes an indication for other than the rare disease or condition for which the drug was designated.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right="40" w:firstLine="510"/>
        <w:spacing w:after="0" w:line="271" w:lineRule="auto"/>
        <w:rPr>
          <w:sz w:val="20"/>
          <w:szCs w:val="20"/>
          <w:color w:val="auto"/>
        </w:rPr>
      </w:pPr>
      <w:r>
        <w:rPr>
          <w:rFonts w:ascii="Arial" w:cs="Arial" w:eastAsia="Arial" w:hAnsi="Arial"/>
          <w:sz w:val="17"/>
          <w:szCs w:val="17"/>
          <w:color w:val="auto"/>
        </w:rPr>
        <w:t>The FDA conducts a preliminary review of an NDA within 60 days of its receipt and informs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78"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cGCP.</w:t>
      </w:r>
    </w:p>
    <w:p>
      <w:pPr>
        <w:spacing w:after="0" w:line="187"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The FDA also may require submission of a REMS plan to mitigate any identified or suspected serious risks. The REMS plan could include medication guides, physician communication plans, assessment plans, and elements to assure safe use, such as restricted distribution methods, patient registries, or other risk minimization tools.</w:t>
      </w:r>
    </w:p>
    <w:p>
      <w:pPr>
        <w:spacing w:after="0" w:line="184" w:lineRule="exact"/>
        <w:rPr>
          <w:sz w:val="20"/>
          <w:szCs w:val="20"/>
          <w:color w:val="auto"/>
        </w:rPr>
      </w:pPr>
    </w:p>
    <w:p>
      <w:pPr>
        <w:ind w:right="380" w:firstLine="510"/>
        <w:spacing w:after="0" w:line="259" w:lineRule="auto"/>
        <w:rPr>
          <w:sz w:val="20"/>
          <w:szCs w:val="20"/>
          <w:color w:val="auto"/>
        </w:rPr>
      </w:pPr>
      <w:r>
        <w:rPr>
          <w:rFonts w:ascii="Arial" w:cs="Arial" w:eastAsia="Arial" w:hAnsi="Arial"/>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The FDA’s Decision on an NDA</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If the FDA approves a product, it may limit the approved indications for use for the product, require that contraindications, warnings or precautions be included in the product labeling, require that post-approval studies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After approval, the FDA may seek to prevent or limit further marketing of a product based on the results of post-market studies or surveillance programs. Some types of changes to the approved product, such as adding new indications, manufacturing changes and additional labeling claims, are subject to further testing requirements and FDA review and approval.</w:t>
      </w:r>
    </w:p>
    <w:p>
      <w:pPr>
        <w:spacing w:after="0" w:line="195"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The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and effectiveness of drug products.</w:t>
      </w:r>
    </w:p>
    <w:p>
      <w:pPr>
        <w:spacing w:after="0" w:line="17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Under the Orphan Drug Act, the FDA may grant orphan drug designation to a drug intended to treat a rare disease or condition, which is generally a disease or condition that affects fewer than 200,000 individuals in the United States, or more than 200,000 individuals in the U.S. and for which there is no reasonable expectation that the cost of developing and making available in the U.S. a drug for this type of disease or condition will be recovered from sales in the U.S. for that drug. Orphan drug designation entitles the applicant to incentives such as grant funding towards clinical study costs, tax advantages, and waivers of FDA user fees. Orphan drug designation must be requested before submitting an NDA, and both the drug and the disease or condition must meet certain criteria specified in the Orphan Drug Act and FDA’s implementing regulations at 21 C.F.R. Part 316. The granting of an orphan drug designation does not alter the standard regulatory requirements and process for obtaining marketing approval. Safety and effectiveness of a drug must be established through adequate and well-controlled studies.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 w:name="page20"/>
    <w:bookmarkEnd w:id="19"/>
    <w:p>
      <w:pPr>
        <w:ind w:firstLine="510"/>
        <w:spacing w:after="0" w:line="257" w:lineRule="auto"/>
        <w:rPr>
          <w:sz w:val="20"/>
          <w:szCs w:val="20"/>
          <w:color w:val="auto"/>
        </w:rPr>
      </w:pPr>
      <w:r>
        <w:rPr>
          <w:rFonts w:ascii="Arial" w:cs="Arial" w:eastAsia="Arial" w:hAnsi="Arial"/>
          <w:sz w:val="18"/>
          <w:szCs w:val="18"/>
          <w:color w:val="auto"/>
        </w:rPr>
        <w:t>After the FDA grants orphan drug designation, the identity of the therapeutic agent and its potential orphan use are disclosed publicly by the FDA. If a product that has orphan drug designation subsequently receives the first FDA approval for the disease for which it has such designation, the product is entitled to orphan product exclusivity, which means that the FDA may not approve any other application to market the same drug for the same indication, except in very limited circumstances, for seven years. Orphan drug exclusivity does not prevent the FDA from approving a different drug for the same disease or condition, or the same drug for a different disease or condition.</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Expedited Review and Accelerated Approval Programs</w:t>
      </w:r>
    </w:p>
    <w:p>
      <w:pPr>
        <w:spacing w:after="0" w:line="11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A sponsor may seek approval of its product candidate under programs designed to accelerate the FDA’s review and approval of NDAs. For example, Fast Track Designation may be granted to a drug intended for treatment of a serious or life-threatening disease or condition and data demonstrate its potential to address unmet medical needs for the disease or condition. The key benefits of Fast Track Designation are the eligibility for priority review, rolling review (submission of portions of an application before the complete marketing application is submitted), and accelerated approval, if relevant criteria are met. The FDA may grant the NDA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Priority review designation does not change the scientific/medical standard for approval or the quality of evidence necessary to support approval.</w:t>
      </w:r>
    </w:p>
    <w:p>
      <w:pPr>
        <w:spacing w:after="0" w:line="178"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The FDA may approve an NDA under the accelerated approval program if the drug treats a serious condition, provides a meaningful advantage over available therapies, and demonstrates an effect on either (1) a surrogate endpoint that is reasonably likely to predict clinical benefit, or (2)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drug’s clinical benefit in relationship to the surrogate endpoint or ultimate outcome in relationship to the clinical benefit.</w:t>
      </w:r>
    </w:p>
    <w:p>
      <w:pPr>
        <w:spacing w:after="0" w:line="17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addition, the Food and Drug Administration Safety and Innovation Act of 2012 (“FDASIA”) established the Breakthrough Therapy designation.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a drug is designated as breakthrough therapy, FDA will provide more intensive guidance on the drug development program and expedite its review.</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6"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or problems with manufacturing processes of unanticipated severity or frequency,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8" w:lineRule="exact"/>
        <w:rPr>
          <w:sz w:val="20"/>
          <w:szCs w:val="20"/>
          <w:color w:val="auto"/>
        </w:rPr>
      </w:pPr>
    </w:p>
    <w:p>
      <w:pPr>
        <w:ind w:left="880" w:hanging="373"/>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left="880" w:hanging="373"/>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revocation of product license approvals;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1984, with passage of the Drug Price Competition and Patent Term Restoration Act of 1984 (commonly referred to as the “Hatch-Waxman Amendments”) amending the FDCA, Congress authorized the FDA to approve generic drugs that are the same as drugs previously approved by the FDA under the NDA provisions of the statute. To obtain approval of a generic drug, an applicant must submit an abbreviated new drug application (“ANDA”) to the agency. In support of such applications, a generic manufacturer may rely on the preclinical and clinical testing previously conducted for a drug product previously approved under an NDA, known as the reference listed drug (“RLD”). To reference that information, however, the ANDA applicant must demonstrate, and the FDA must conclude, that the generic drug does, in fact, perform in the same way as the RLD it purports to copy. Specifically, in order for an ANDA to be approved, the FDA must find that the generic version is identical to the RLD with respect to the active ingredients, the route of administration, the dosage form, and the strength of the drug.</w:t>
      </w:r>
    </w:p>
    <w:p>
      <w:pPr>
        <w:spacing w:after="0" w:line="178"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At the same time, the FDA must also determine that the generic drug is “bioequivalent” to the innovator drug. Under the statute, a generic drug is bioequivalent to a RLD if “the rate and extent of absorption of the generic drug do not show a significant difference from the rate and extent of absorption of the RLD.” Upon approval of an ANDA, the FDA indicates that the generic product is “therapeutically equivalent” to the RLD and it assigns a therapeutic equivalence rating to the approved generic drug in its publication “Approved Drug Products with Therapeutic Equivalence Evaluations,” also referred to as the “Orange Book.” Physicians and pharmacists consider the therapeutic equivalence rating to mean that a generic drug is fully substitutable for the RLD. In addition, by operation of certain state laws and numerous health insurance programs, the FDA’s designation of a therapeutic equivalence rating often results in substitution of the generic drug without the knowledge or consent of either the prescribing physician or patient.</w:t>
      </w:r>
    </w:p>
    <w:p>
      <w:pPr>
        <w:spacing w:after="0" w:line="166"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Under the Hatch-Waxman Amendments, the FDA may not approve an ANDA until any applicable period of nonpatent exclusivity for the RLD has expired. The FDCA provides a period of five years of data exclusivity for new drug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Hatch-Waxman Patent Certification and the 30 Month Stay</w:t>
      </w:r>
    </w:p>
    <w:p>
      <w:pPr>
        <w:spacing w:after="0" w:line="117" w:lineRule="exact"/>
        <w:rPr>
          <w:sz w:val="20"/>
          <w:szCs w:val="20"/>
          <w:color w:val="auto"/>
        </w:rPr>
      </w:pPr>
    </w:p>
    <w:p>
      <w:pPr>
        <w:ind w:right="260" w:firstLine="510"/>
        <w:spacing w:after="0" w:line="279" w:lineRule="auto"/>
        <w:rPr>
          <w:sz w:val="20"/>
          <w:szCs w:val="20"/>
          <w:color w:val="auto"/>
        </w:rPr>
      </w:pPr>
      <w:r>
        <w:rPr>
          <w:rFonts w:ascii="Arial" w:cs="Arial" w:eastAsia="Arial" w:hAnsi="Arial"/>
          <w:sz w:val="17"/>
          <w:szCs w:val="17"/>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117" w:lineRule="exact"/>
        <w:rPr>
          <w:sz w:val="20"/>
          <w:szCs w:val="20"/>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1" w:name="page22"/>
    <w:bookmarkEnd w:id="21"/>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claiming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7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To the extent that a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the enactment of FDASIA,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9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7"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accept or approve another application.</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 patent claiming a new drug product may be eligible for a limited patent term extension under the Hatch-Waxman Amendments. Those Amendments permit a patent restoration of up to five years for patent term lost during product development and the FDA regulatory review. The restoration period granted is typically one-half the time between the effective date of an IND and the submission date of a NDA, plus the time between the submission date of a NDA and ultimate approval.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The U.S. Patent and Trademark Office reviews and approves the application for any patent term extension or restoration in consultation with the FDA.</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i w:val="1"/>
          <w:iCs w:val="1"/>
          <w:color w:val="auto"/>
        </w:rPr>
        <w:t>Legislative Developments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21st Century Cures Act (the “Cures Act”), which was signed into law in December 2016, includes provisions to accelerate the development and delivery of new treatments. For example, the Cures Act requires the FDA to establish a program to evaluate the potential use of real world evidence to help to support the approval of a new indication for an approved drug and to help to support or satisfy post-approval study requirements, to issue guidance on adaptive and novel clinical trial designs for new drugs, and to establish a process for qualifying drug development tools used to support FDA approval for marketing or investigational use of a drug. The Cures Act also permits the FDA to rely on qualified data summaries to support the approval of a supplemental application for an already approved drug. The FDA has continued to issue guidance focused on implementing the Cures Act requirements.</w:t>
      </w:r>
    </w:p>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Review and Approval of Drug Products in the European Union</w:t>
      </w:r>
    </w:p>
    <w:p>
      <w:pPr>
        <w:spacing w:after="0" w:line="12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In order to market any pharmaceutical product outside of the United States, a company must also comply with numerous and varying regulatory requirements of other countries and jurisdictions governing, among other things, research and development, testing, manufacturing, quality control, safety, efficacy, labeling, clinical trials, marketing authorization, packaging, storage, record keeping, reporting, export and import, advertising, marketing and other promotional practices involving pharmaceutical products, as well as commercial sales, distribution, authorization, approval and post-approval monitoring and reporting of our products. Whether or not it obtains FDA approval for a pharmaceutical product, the company would need to obtain the necessary approvals by the comparable foreign regulatory authorities before it can commence clinical trials or marketing of the pharmaceutical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60"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Since the United Kingdom formally left the European Union on January 31, 2020 and the transition period, during which EU laws continued to apply to the United Kingdom, expired on December 31, 2020, EU laws now only apply to the United Kingdom in respect of Northern Ireland as laid out in the Protocol on Ireland and Northern Ireland. The European Union and the United Kingdom have concluded a trade and cooperation agreement (“TCA”), which was ratified by the UK Parliament on December 30, 2020. The TCA was applied provisionally as of January 1, 2021 and entered into force on May 1, 2021.</w:t>
      </w:r>
    </w:p>
    <w:p>
      <w:pPr>
        <w:spacing w:after="0" w:line="80"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TCA includes provisions affecting the life sciences sector (including on customs and tariffs), but areas for further discussion between the European Union and UK remain. In addition, there are some specific provisions concerning pharmaceuticals. These include the mutual recognition of Good Manufacturing Practice (“GMP”), inspections of manufacturing facilities for medicinal products and GMP documents issued. The TCA does not, however, contain wholesale mutual recognition of UK and EU pharmaceutical regulations and product standards.</w:t>
      </w:r>
    </w:p>
    <w:p>
      <w:pPr>
        <w:spacing w:after="0" w:line="63"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Since January 1, 2021, the EU laws which have been transposed into UK law through secondary legislation continue to be applicable as “retained EU law”. As there is no general power to amend these regulations, the UK government has adopted the Medicines and Medical Devices Act 2021, which seeks to address this regulatory gap through introducing regulation-making, delegated powers covering the fields of human medicines, clinical trials of human medicines, veterinary medicines and medical devices. The purpose of the act is to enable the existing regulatory frameworks to be updated, with the powers granted under it only exercisable in relation to four pieces of legislation: the Human Medicines Regulations 2012, the Medicines for Human Use (Clinical Trials) Regulations 2004, the Medicines (Products for Human Use) Regulations 2016 and limited parts of the Medicines Act 1968 (specifically those parts which make provision related to pharmacies). It is then further restricted to amending or updating only those provisions stated in the act, which include clinical trials.</w:t>
      </w:r>
    </w:p>
    <w:p>
      <w:pPr>
        <w:spacing w:after="0" w:line="84"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The new Medicines and Medical Devices Act 2021 supplements the UK Medical Devices Regulations 2002 (“UK Regulations”), which are based on the EU Medical Devices Directive as amended to reflect the UK’s post-Brexit regulatory regime. Notably, the UK Regulations do not include any of the revisions that have been made by the EU Medical Devices Regulation (EU) 2017/745, which has gained full application in all EU Member States since May 26, 2021. Additionally, the UK’s Medicines and Healthcare products Regulatory Agency (“MHRA”) launched a comprehensive consultation on September 16, 2021 with proposals to amend the regulatory framework for medical devices in the UK. The stated objectives of the proposals include expansion of the scope of the UK Regulations (e.g. by expanding the in vitro diagnostic medical device definition to includes software and other products, including products without an intended medical purpose but with similar functioning and risk profiles) and potentially through use of internationally recognised definitions (e.g. by excluding products that contain viable biological substances and excluding food), remove trade barriers, further the availability of medical devices and improve the favourability of the UK market. The consultation period closes on November 25, 2021 with a view to new regulations coming into force on July 1 2023 with appropriate transitional measures.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i w:val="1"/>
          <w:iCs w:val="1"/>
          <w:color w:val="auto"/>
        </w:rPr>
        <w:t>Drug and Biologic Development Process</w:t>
      </w:r>
    </w:p>
    <w:p>
      <w:pPr>
        <w:spacing w:after="0" w:line="117"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The conduct of clinical trials in the European Union is currently governed by the EU Clinical Trial Directive 2001/20/EC (“Clinical Trials Directive”), pursuant to which a system for the approval of clinical trials in the European Union has been implemented through national legislation of the EU Member States. Under the current regime, before a clinical trial can be initiated, an applicant must obtain approval in each EU Member State where there is a site at which the clinical trial is to be conducted by two separate entities: The National Competent Authority (“NCA”), and one or more Ethics Committees. The NCA of the EU Member States in which the clinical trial will be conducted must authorize the conduct of the trial, and the independent Ethics Committee must grant a positive opinion in relation to the conduct of the clinical trial in the relevant EU Member State before the commencement of the trial. Any substantial changes to trial protocol or other information submitted with the clinical trial applications must be submitted to or approved by the relevant NCA and Ethics Committees. Under the current regime all suspected unexpected serious adverse reactions to the investigated drug that occur during the clinical trial must be reported to the NCA and to the Ethics Committees of the EU Member State where they occur. Clinical trial applications (“CTAs”) must also be accompanied by an investigational pharmaceutical product dossier with supporting information prescribed by the corresponding national laws of the Member States and further detailed in applicable guidance documents. However, the EU Member States have transposed and applied the provisions of the Clinical Trials Directive in a manner that is not always uniform. This has led to variations in the rules governing the conduct of clinical trials in the individual EU Member States. The EU has, therefore, adopted the EU Clinical Trials Regulation (EU) No 536/2014 (“Clinical Trials Regulation”). The Clinical Trials Regulation, which will replace the Clinical Trials Directive, introduces a complete overhaul of the existing regulation of clinical trials for pharmaceutical products in the EU, including a new coordinated procedure for authorization of clinical trials that is reminiscent of the mutual recognition procedure for marketing authorization of pharmaceutical products, and increased obligations on sponsors to publish clinical trial results. The coming into effect of the Clinical Trials Regulation has been postponed several times due to technical difficulties with the underlying IT systems. On July 31, 2021 the European Commission confirmed that the Clinical Trials Regulation will come into force on January 31, 2022. The new Clinical Trials Information System (“CTIS”), which contains the centralized EU portal and database for clinical trials, will also go-live on this date.</w:t>
      </w:r>
    </w:p>
    <w:p>
      <w:pPr>
        <w:spacing w:after="0" w:line="61" w:lineRule="exact"/>
        <w:rPr>
          <w:sz w:val="20"/>
          <w:szCs w:val="20"/>
          <w:color w:val="auto"/>
        </w:rPr>
      </w:pPr>
    </w:p>
    <w:p>
      <w:pPr>
        <w:ind w:right="200" w:firstLine="510"/>
        <w:spacing w:after="0" w:line="269" w:lineRule="auto"/>
        <w:rPr>
          <w:sz w:val="20"/>
          <w:szCs w:val="20"/>
          <w:color w:val="auto"/>
        </w:rPr>
      </w:pPr>
      <w:r>
        <w:rPr>
          <w:rFonts w:ascii="Arial" w:cs="Arial" w:eastAsia="Arial" w:hAnsi="Arial"/>
          <w:sz w:val="17"/>
          <w:szCs w:val="17"/>
          <w:color w:val="auto"/>
        </w:rPr>
        <w:t>The new Clinical Trials Regulation seeks to simplify and streamline the approval of clinical trials in the European Union, in particular through a harmonized electronic submission and assessment process for clinical trials conducted in multiple EU Member States. For example, the sponsor will be able submit a single application for approval of a clinical trial through the CTIS. As part of the application process, the sponsor proposes a reporting EU Member State, which will take the lead in validating and evaluating the application. The reporting EU Member State consults and coordinates with the other concerned EU Member States. If an application is rejected, it may be amended and resubmitted through the CTIS. If an approval is issued, the sponsor may start the clinical trial in all concerned EU Member States. However, a concerned EU Member State may in limited circumstances declare an “opt-out” from an approval. In such a case, the clinical trial cannot be conducted in that EU Member State. The Clinical Trials Regulation also aims to streamline and simplify the rules on safety reporting and introduces enhanced transparency requirements such as mandatory submission of a summary of the clinical trial results to the CTIS. Information stored in the CTIS will be made publicly available subject to transparency rules. While the authorization and oversight of clinical trials in the EU remains the responsibility of the EU Member States, the CTIS is set-up, maintained and supervised by the European Medicines Agency (“EMA”).</w:t>
      </w:r>
    </w:p>
    <w:p>
      <w:pPr>
        <w:spacing w:after="0" w:line="74"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 xml:space="preserve">Under both the current regime and the new Clinical Trials Regulation, national laws, regulations, and the applicable Good Clinical Practice and Good Laboratory Practice standards must also be respected during the conduct of the trials, including the International Council for Harmonization of Technical Requirements for Pharmaceuticals for Human Use (“ICH”) guidelines on Good Clinical Practice (“GCP”), </w:t>
      </w:r>
      <w:r>
        <w:rPr>
          <w:rFonts w:ascii="Arial" w:cs="Arial" w:eastAsia="Arial" w:hAnsi="Arial"/>
          <w:sz w:val="18"/>
          <w:szCs w:val="18"/>
          <w:color w:val="231F20"/>
        </w:rPr>
        <w:t>and the ethical principles that have</w:t>
      </w:r>
      <w:r>
        <w:rPr>
          <w:rFonts w:ascii="Arial" w:cs="Arial" w:eastAsia="Arial" w:hAnsi="Arial"/>
          <w:sz w:val="18"/>
          <w:szCs w:val="18"/>
          <w:color w:val="auto"/>
        </w:rPr>
        <w:t xml:space="preserve"> </w:t>
      </w:r>
      <w:r>
        <w:rPr>
          <w:rFonts w:ascii="Arial" w:cs="Arial" w:eastAsia="Arial" w:hAnsi="Arial"/>
          <w:sz w:val="18"/>
          <w:szCs w:val="18"/>
          <w:color w:val="231F20"/>
        </w:rPr>
        <w:t>their origin in the Declaration of Helsinki</w:t>
      </w:r>
      <w:r>
        <w:rPr>
          <w:rFonts w:ascii="Arial" w:cs="Arial" w:eastAsia="Arial" w:hAnsi="Arial"/>
          <w:sz w:val="18"/>
          <w:szCs w:val="18"/>
          <w:color w:val="000000"/>
        </w:rPr>
        <w:t>.</w:t>
      </w:r>
    </w:p>
    <w:p>
      <w:pPr>
        <w:spacing w:after="0" w:line="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During the development of a pharmaceutical product, the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(“SAWP”).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Marketing Authorization Procedures</w:t>
      </w:r>
    </w:p>
    <w:p>
      <w:pPr>
        <w:spacing w:after="0" w:line="117"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In the EU and in Iceland, Norway and Liechtenstein (together the European Economic Area or “EEA”), after completion of all required clinical testing, pharmaceutical products may only be placed on the market after obtaining a Marketing Authorization (“MA”). To obtain an MA of a drug under European Union regulatory systems, an applicant can submit an MAA through, amongst others, a centralized or decentralized procedure.</w:t>
      </w:r>
    </w:p>
    <w:p>
      <w:pPr>
        <w:spacing w:after="0" w:line="41"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for all EU Member States and, after respective national implementing decisions, in the three additional member states of the European Economic Area (Iceland, Norway and Liechtenstein). The centralized procedure is compulsory for specific pharmaceutical products, including for medicines developed by means of certain biotechnological processes, products designated as orphan pharmaceutical products, advanced therapy pharmaceutical products and pharmaceutical products with a new active substance indicated for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right="60"/>
        <w:spacing w:after="0" w:line="257" w:lineRule="auto"/>
        <w:rPr>
          <w:sz w:val="20"/>
          <w:szCs w:val="20"/>
          <w:color w:val="auto"/>
        </w:rPr>
      </w:pPr>
      <w:r>
        <w:rPr>
          <w:rFonts w:ascii="Arial" w:cs="Arial" w:eastAsia="Arial" w:hAnsi="Arial"/>
          <w:sz w:val="18"/>
          <w:szCs w:val="18"/>
          <w:color w:val="auto"/>
        </w:rPr>
        <w:t>treatment of certain diseases (AIDS, cancer, neurodegenerative disorders, diabetes, auto-immune and viral diseases). For pharmaceutical products containing a new active substance not yet authorized in the European Economic Area before May 20, 2004 and indicated for the treatment of other diseases, pharmaceutical products that constitute significant therapeutic, scientific or technical innovations or for which the grant of a marketing authorization through the centralized procedure would be in the interest of public health at EU level, an applicant may voluntarily submit an application for a marketing authorization through the centralized procedure.</w:t>
      </w:r>
    </w:p>
    <w:p>
      <w:pPr>
        <w:spacing w:after="0" w:line="80"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Under the centralized procedure, the CHMP established at the EMA is responsible for conducting the initial assessment of a drug. The CHMP is also responsible for several post-authorization and maintenance activities, such as the assessment of modifications or extensions to an existing marketing authorization.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 process typically takes a year or more, unless the application is eligible for an accelerated assessment. Accelerated assessment might be granted by the CHMP in exceptional cases when a pharmaceutical product is of major interest from the point of view of public health and in particular from the viewpoint of therapeutic innovation. On request, the CHMP can reduce the time frame to 150 days if the applicant provides sufficient justification for an accelerated assessment. The CHMP will provide a positive opinion regarding the application only if it meets certain quality, safety and efficacy requirements. However, the European Commission has final authority for granting the MA within 67 days after receipt of the CHMP opinion.</w:t>
      </w:r>
    </w:p>
    <w:p>
      <w:pPr>
        <w:spacing w:after="0" w:line="77" w:lineRule="exact"/>
        <w:rPr>
          <w:sz w:val="20"/>
          <w:szCs w:val="20"/>
          <w:color w:val="auto"/>
        </w:rPr>
      </w:pPr>
    </w:p>
    <w:p>
      <w:pPr>
        <w:ind w:right="180" w:firstLine="508"/>
        <w:spacing w:after="0" w:line="289" w:lineRule="auto"/>
        <w:rPr>
          <w:sz w:val="20"/>
          <w:szCs w:val="20"/>
          <w:color w:val="auto"/>
        </w:rPr>
      </w:pPr>
      <w:r>
        <w:rPr>
          <w:rFonts w:ascii="Arial" w:cs="Arial" w:eastAsia="Arial" w:hAnsi="Arial"/>
          <w:sz w:val="16"/>
          <w:szCs w:val="16"/>
          <w:color w:val="auto"/>
        </w:rPr>
        <w:t>The decentralized procedure permits companies to file identical MA applications for a pharmaceutical product to the competent authorities in various EU Member States simultaneously if such pharmaceutical product has not received marketing approval in any EU Member State before. This procedure is available for pharmaceutical products not falling within the mandatory scope of the centralized procedure. The decentralized procedure provides for approval by one or more other, or concerned, EU Member States of an assessment of an application performed by one-member state designated by the applicant, known as the reference EU Member State. Under this procedure, an applicant submits an application based on identical dossiers and related materials, including a draft summary of product characteristics, and draft labeling and package leaflet, to the reference EU Member State and concerned EU Member States. The reference EU Member State prepares a draft assessment report and drafts of the related materials within 120 days after receipt of a valid application. Within 90 days of receiving the reference EU Member State’s assessment report and related materials, each concerned EU Member State must decide whether to approve the assessment report and related materials.</w:t>
      </w:r>
    </w:p>
    <w:p>
      <w:pPr>
        <w:spacing w:after="0" w:line="58" w:lineRule="exact"/>
        <w:rPr>
          <w:sz w:val="20"/>
          <w:szCs w:val="20"/>
          <w:color w:val="auto"/>
        </w:rPr>
      </w:pPr>
    </w:p>
    <w:p>
      <w:pPr>
        <w:ind w:right="220" w:firstLine="508"/>
        <w:spacing w:after="0" w:line="263" w:lineRule="auto"/>
        <w:rPr>
          <w:sz w:val="20"/>
          <w:szCs w:val="20"/>
          <w:color w:val="auto"/>
        </w:rPr>
      </w:pPr>
      <w:r>
        <w:rPr>
          <w:rFonts w:ascii="Arial" w:cs="Arial" w:eastAsia="Arial" w:hAnsi="Arial"/>
          <w:sz w:val="18"/>
          <w:szCs w:val="18"/>
          <w:color w:val="auto"/>
        </w:rPr>
        <w:t>If an EU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EU Member States.</w:t>
      </w:r>
    </w:p>
    <w:p>
      <w:pPr>
        <w:spacing w:after="0" w:line="7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All new MAAs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RMPs and Periodic Safety Update Reports (“PSURs”) are routinely available to third parties requesting access, subject to limited redactions.</w:t>
      </w:r>
    </w:p>
    <w:p>
      <w:pPr>
        <w:spacing w:after="0" w:line="79" w:lineRule="exact"/>
        <w:rPr>
          <w:sz w:val="20"/>
          <w:szCs w:val="20"/>
          <w:color w:val="auto"/>
        </w:rPr>
      </w:pPr>
    </w:p>
    <w:p>
      <w:pPr>
        <w:ind w:right="160" w:firstLine="508"/>
        <w:spacing w:after="0" w:line="259" w:lineRule="auto"/>
        <w:rPr>
          <w:sz w:val="20"/>
          <w:szCs w:val="20"/>
          <w:color w:val="auto"/>
        </w:rPr>
      </w:pPr>
      <w:r>
        <w:rPr>
          <w:rFonts w:ascii="Arial" w:cs="Arial" w:eastAsia="Arial" w:hAnsi="Arial"/>
          <w:sz w:val="18"/>
          <w:szCs w:val="18"/>
          <w:color w:val="auto"/>
        </w:rPr>
        <w:t>Marketing Authorizations have an initial duration of five years. After these five years, the authorization may subsequently be renewed on the basis of a reevaluation of the risk-benefit balance. Once renewed, the MA is valid for an unlimited period unless the European Commission or the national competent authority decides, on justified grounds relating to pharmacovigilance, to proceed with only one additional five-year renewal. Applications for renewal must be made to the EMA at least nine months before the five-year period expires.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Data and Market Exclusivity in the European Union</w:t>
      </w:r>
    </w:p>
    <w:p>
      <w:pPr>
        <w:spacing w:after="0" w:line="117" w:lineRule="exact"/>
        <w:rPr>
          <w:sz w:val="20"/>
          <w:szCs w:val="20"/>
          <w:color w:val="auto"/>
        </w:rPr>
      </w:pPr>
    </w:p>
    <w:p>
      <w:pPr>
        <w:ind w:right="60" w:firstLine="508"/>
        <w:spacing w:after="0" w:line="271" w:lineRule="auto"/>
        <w:rPr>
          <w:sz w:val="20"/>
          <w:szCs w:val="20"/>
          <w:color w:val="auto"/>
        </w:rPr>
      </w:pPr>
      <w:r>
        <w:rPr>
          <w:rFonts w:ascii="Arial" w:cs="Arial" w:eastAsia="Arial" w:hAnsi="Arial"/>
          <w:sz w:val="17"/>
          <w:szCs w:val="17"/>
          <w:color w:val="auto"/>
        </w:rPr>
        <w:t>As in the United States, it may be possible to obtain a period of market and / or data exclusivity in the European Union that would have the effect of postponing the entry into the marketplace of a competitor’s generic, hybrid or biosimilar product (even if the pharmaceutical product has already received an MA) and prohibiting another applicant from relying on the MA holder’s pharmacological, toxicological and clinical data in support of another MA for the purposes of submitting an application, obtaining MA or placing the product on the market. In the European Union, new chemical entities qualify for eight years of data exclusivity upon marketing authorization and an additional two years of market exclusivity. The overall ten-year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deemed to bring a significant clinical benefit in comparison with existing therapies.</w:t>
      </w:r>
    </w:p>
    <w:p>
      <w:pPr>
        <w:spacing w:after="0" w:line="70" w:lineRule="exact"/>
        <w:rPr>
          <w:sz w:val="20"/>
          <w:szCs w:val="20"/>
          <w:color w:val="auto"/>
        </w:rPr>
      </w:pPr>
    </w:p>
    <w:p>
      <w:pPr>
        <w:ind w:right="40" w:firstLine="508"/>
        <w:spacing w:after="0" w:line="291" w:lineRule="auto"/>
        <w:rPr>
          <w:sz w:val="20"/>
          <w:szCs w:val="20"/>
          <w:color w:val="auto"/>
        </w:rPr>
      </w:pPr>
      <w:r>
        <w:rPr>
          <w:rFonts w:ascii="Arial" w:cs="Arial" w:eastAsia="Arial" w:hAnsi="Arial"/>
          <w:sz w:val="16"/>
          <w:szCs w:val="16"/>
          <w:color w:val="auto"/>
        </w:rPr>
        <w:t>The data exclusivity period begins on the date of the product’s first MA in the European Union. After eight years, a generic product application may be submitted and generic companies may rely on the MA holder’s data. However, a generic product cannot launch until two years later (or a total of 10 years after the first MA in the EU of the innovator product), or three years later (or a total of 11 years after the first MA in the EU of the innovator product) if the MA holder obtains MA for a new indication with significant clinical benefit within the eight-year data exclusivity period. Additionally, another noncumulative one-year period of data exclusivity can be added to the eight years of data exclusivity where an application is made for a new indication for a well-established substance, provided that significant pre-clinical or clinical studies were carried out in relation to the new indication. Another year of data exclusivity may be added to the eight years, where a change of classification of a pharmaceutical product has been authorized on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ind w:right="20"/>
        <w:spacing w:after="0" w:line="263" w:lineRule="auto"/>
        <w:rPr>
          <w:sz w:val="20"/>
          <w:szCs w:val="20"/>
          <w:color w:val="auto"/>
        </w:rPr>
      </w:pPr>
      <w:r>
        <w:rPr>
          <w:rFonts w:ascii="Arial" w:cs="Arial" w:eastAsia="Arial" w:hAnsi="Arial"/>
          <w:sz w:val="18"/>
          <w:szCs w:val="18"/>
          <w:color w:val="auto"/>
        </w:rPr>
        <w:t>basis of significant pre-trial tests or clinical trials (when examining an application by another applicant for or holder of market authorization for a change of classification of the same substance the competent authority will not refer to the results of those tests or trials for one year after the initial change was authorized).</w:t>
      </w:r>
    </w:p>
    <w:p>
      <w:pPr>
        <w:spacing w:after="0" w:line="76" w:lineRule="exact"/>
        <w:rPr>
          <w:sz w:val="20"/>
          <w:szCs w:val="20"/>
          <w:color w:val="auto"/>
        </w:rPr>
      </w:pPr>
    </w:p>
    <w:p>
      <w:pPr>
        <w:ind w:right="220" w:firstLine="508"/>
        <w:spacing w:after="0" w:line="301" w:lineRule="auto"/>
        <w:rPr>
          <w:sz w:val="20"/>
          <w:szCs w:val="20"/>
          <w:color w:val="auto"/>
        </w:rPr>
      </w:pPr>
      <w:r>
        <w:rPr>
          <w:rFonts w:ascii="Arial" w:cs="Arial" w:eastAsia="Arial" w:hAnsi="Arial"/>
          <w:sz w:val="16"/>
          <w:szCs w:val="16"/>
          <w:color w:val="auto"/>
        </w:rPr>
        <w:t>Products may not be granted data exclusivity since there is no guarantee that a product will be considered by the EU’s regulatory authorities to include a new chemical entity. Even if a compound is considered to be a new chemical entity and the sponsor is able to gain the prescribed period of data exclusivity, another company nevertheless could also market another version of the drug if such company can complete a full MAA with their own complete database of pharmaceutical tests, preclinical studies and clinical trials and obtain marketing approval of its pharmaceutical product.</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Orphan Designation and Exclusivity</w:t>
      </w:r>
    </w:p>
    <w:p>
      <w:pPr>
        <w:spacing w:after="0" w:line="225" w:lineRule="exact"/>
        <w:rPr>
          <w:sz w:val="20"/>
          <w:szCs w:val="20"/>
          <w:color w:val="auto"/>
        </w:rPr>
      </w:pPr>
    </w:p>
    <w:p>
      <w:pPr>
        <w:ind w:right="120" w:firstLine="508"/>
        <w:spacing w:after="0" w:line="287" w:lineRule="auto"/>
        <w:rPr>
          <w:sz w:val="20"/>
          <w:szCs w:val="20"/>
          <w:color w:val="auto"/>
        </w:rPr>
      </w:pPr>
      <w:r>
        <w:rPr>
          <w:rFonts w:ascii="Arial" w:cs="Arial" w:eastAsia="Arial" w:hAnsi="Arial"/>
          <w:sz w:val="16"/>
          <w:szCs w:val="16"/>
          <w:color w:val="auto"/>
        </w:rPr>
        <w:t>The criteria for designating an orphan medicinal product in the European Union are similar in principle to those in the United States. The EMA grants orphan drug designation if the medicinal product is intended for the diagnosis, prevention or treatment of a life-threatening or chronically debilitating condition affecting no more than five in 10,000 persons in the European Union (prevalence criterion). In addition, Orphan Drug Designation can be granted if, for economic reasons, the medicinal product would be unlikely to be developed without incentives and if there is no other satisfactory method approved in the European Union of diagnosing, preventing, or treating the condition, or if such a method exists, the proposed medicinal product is a significant benefit to patients affected by the condition. An application for orphan drug designation (which is not a marketing authorization, as not all orphan-designated medicines reach the authorization application stage) must be submitted first before an application for marketing authorization of the medicinal product is submitted. The applicant will receive a fee reduction for the marketing authorization application if the orphan drug designation has been granted, but not if the designation is still pending at the time the marketing authorization is submitted, and sponsors must submit an annual report to EMA summarizing the status of development of the medicine. Orphan drug designation does not convey any advantage in, or shorten the duration of, the regulatory review and approval process. Designated orphan medicines are eligible for conditional marketing authorization.</w:t>
      </w:r>
    </w:p>
    <w:p>
      <w:pPr>
        <w:spacing w:after="0" w:line="172" w:lineRule="exact"/>
        <w:rPr>
          <w:sz w:val="20"/>
          <w:szCs w:val="20"/>
          <w:color w:val="auto"/>
        </w:rPr>
      </w:pPr>
    </w:p>
    <w:p>
      <w:pPr>
        <w:ind w:right="200" w:firstLine="508"/>
        <w:spacing w:after="0" w:line="257" w:lineRule="auto"/>
        <w:rPr>
          <w:sz w:val="20"/>
          <w:szCs w:val="20"/>
          <w:color w:val="auto"/>
        </w:rPr>
      </w:pPr>
      <w:r>
        <w:rPr>
          <w:rFonts w:ascii="Arial" w:cs="Arial" w:eastAsia="Arial" w:hAnsi="Arial"/>
          <w:sz w:val="18"/>
          <w:szCs w:val="18"/>
          <w:color w:val="auto"/>
        </w:rPr>
        <w:t>The EMA’s Committee for Orphan Medicinal Products reassesses the orphan drug designation of a product in parallel with the review for a marketing authorization; for a product to benefit from market exclusivity it must maintain its orphan drug designation at the time of marketing authorization review by the EMA and approval by the EC. Additionally, any marketing authorization granted for an orphan medicinal product must only cover the therapeutic indication(s) that are covered by the orphan drug designation. Upon the grant of a marketing authorization, orphan drug designation provides up to ten years of market exclusivity in the orphan indication.</w:t>
      </w:r>
    </w:p>
    <w:p>
      <w:pPr>
        <w:spacing w:after="0" w:line="188" w:lineRule="exact"/>
        <w:rPr>
          <w:sz w:val="20"/>
          <w:szCs w:val="20"/>
          <w:color w:val="auto"/>
        </w:rPr>
      </w:pPr>
    </w:p>
    <w:p>
      <w:pPr>
        <w:ind w:firstLine="508"/>
        <w:spacing w:after="0" w:line="254" w:lineRule="auto"/>
        <w:rPr>
          <w:sz w:val="20"/>
          <w:szCs w:val="20"/>
          <w:color w:val="auto"/>
        </w:rPr>
      </w:pPr>
      <w:r>
        <w:rPr>
          <w:rFonts w:ascii="Arial" w:cs="Arial" w:eastAsia="Arial" w:hAnsi="Arial"/>
          <w:sz w:val="18"/>
          <w:szCs w:val="18"/>
          <w:color w:val="auto"/>
        </w:rPr>
        <w:t>During the 10-year period of market exclusivity, with a limited number of exceptions, the regulatory authorities of the EU Member States and the EMA may not accept applications for marketing authorization, accept an application to extend an existing marketing authorization or grant marketing authorization for other similar medicinal products for the same therapeutic indication. A similar medicinal product is defined as a medicinal product containing a similar active substance or substances as contained in a currently authorized orphan medicinal product, and which is intended for the same therapeutic indication. An orphan medicinal product can also obtain an additional two years of market exclusivity for an orphan-designated condition when the results of specific studies are reflected in the Summary of Product Characteristics (“SmPC”), addressing the pediatric population and completed in accordance with a fully compliant Pediatric Investigation Plan (“PIP”). No extension to any supplementary protection certificate can be granted on the basis of pediatric studies for orphan indications.</w:t>
      </w:r>
    </w:p>
    <w:p>
      <w:pPr>
        <w:spacing w:after="0" w:line="192" w:lineRule="exact"/>
        <w:rPr>
          <w:sz w:val="20"/>
          <w:szCs w:val="20"/>
          <w:color w:val="auto"/>
        </w:rPr>
      </w:pPr>
    </w:p>
    <w:p>
      <w:pPr>
        <w:ind w:firstLine="508"/>
        <w:spacing w:after="0" w:line="275" w:lineRule="auto"/>
        <w:rPr>
          <w:sz w:val="20"/>
          <w:szCs w:val="20"/>
          <w:color w:val="auto"/>
        </w:rPr>
      </w:pPr>
      <w:r>
        <w:rPr>
          <w:rFonts w:ascii="Arial" w:cs="Arial" w:eastAsia="Arial" w:hAnsi="Arial"/>
          <w:sz w:val="17"/>
          <w:szCs w:val="17"/>
          <w:color w:val="auto"/>
        </w:rPr>
        <w:t>The 10-year market exclusivity may be reduced to six years if, at the end of the fifth year, it is established that the product no longer meets the criteria for orphan designation, i.e. the condition prevalence or financial returns criteria under Article 3 of Regulation (EC) No. 141/2000 on orphan medicinal products. When the period of orphan market exclusivity for an indication ends, the orphan drug designation for that indication expires as well. Orphan exclusivity runs in parallel with normal rules on data exclusivity and market protection. Additionally, a marketing authorization may be granted to a similar medicinal product (orphan or not) for the same or overlapping indication subject to certain requirements.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Pediatric Development</w:t>
      </w:r>
    </w:p>
    <w:p>
      <w:pPr>
        <w:spacing w:after="0" w:line="117" w:lineRule="exact"/>
        <w:rPr>
          <w:sz w:val="20"/>
          <w:szCs w:val="20"/>
          <w:color w:val="auto"/>
        </w:rPr>
      </w:pPr>
    </w:p>
    <w:p>
      <w:pPr>
        <w:ind w:right="140" w:firstLine="508"/>
        <w:spacing w:after="0" w:line="269" w:lineRule="auto"/>
        <w:rPr>
          <w:sz w:val="20"/>
          <w:szCs w:val="20"/>
          <w:color w:val="auto"/>
        </w:rPr>
      </w:pPr>
      <w:r>
        <w:rPr>
          <w:rFonts w:ascii="Arial" w:cs="Arial" w:eastAsia="Arial" w:hAnsi="Arial"/>
          <w:sz w:val="17"/>
          <w:szCs w:val="17"/>
          <w:color w:val="auto"/>
        </w:rPr>
        <w:t>In the European Union, companies developing a new pharmaceutical product are obligated to study their product in children and must therefore submit a PIP together with a request for agreement to the EMA. The EMA issues a decision on the PIP based on an opinion of the EMA’s Pediatric Committee (“PDCO”). Companies must conduct pediatric clinical trials in accordance with the PIP approved by the EMA, unless a deferral (</w:t>
      </w:r>
      <w:r>
        <w:rPr>
          <w:rFonts w:ascii="Arial" w:cs="Arial" w:eastAsia="Arial" w:hAnsi="Arial"/>
          <w:sz w:val="17"/>
          <w:szCs w:val="17"/>
          <w:i w:val="1"/>
          <w:iCs w:val="1"/>
          <w:color w:val="auto"/>
        </w:rPr>
        <w:t>e.g.</w:t>
      </w:r>
      <w:r>
        <w:rPr>
          <w:rFonts w:ascii="Arial" w:cs="Arial" w:eastAsia="Arial" w:hAnsi="Arial"/>
          <w:sz w:val="17"/>
          <w:szCs w:val="17"/>
          <w:color w:val="auto"/>
        </w:rPr>
        <w:t xml:space="preserve"> until enough information to demonstrate its effectiveness and safety in adults is available) or waiver (</w:t>
      </w:r>
      <w:r>
        <w:rPr>
          <w:rFonts w:ascii="Arial" w:cs="Arial" w:eastAsia="Arial" w:hAnsi="Arial"/>
          <w:sz w:val="17"/>
          <w:szCs w:val="17"/>
          <w:i w:val="1"/>
          <w:iCs w:val="1"/>
          <w:color w:val="auto"/>
        </w:rPr>
        <w:t>e.g.</w:t>
      </w:r>
      <w:r>
        <w:rPr>
          <w:rFonts w:ascii="Arial" w:cs="Arial" w:eastAsia="Arial" w:hAnsi="Arial"/>
          <w:sz w:val="17"/>
          <w:szCs w:val="17"/>
          <w:color w:val="auto"/>
        </w:rPr>
        <w:t xml:space="preserve"> because the relevant disease or condition occurs only in adults) has been granted by the EMA. The marketing authorization application for the pharmaceutical product must include the results of all pediatric clinical trials performed and details of all information collected in compliancewith the approved PIP, unless a waiver or a deferral has been granted, in which case the pediatric clinical trials may be completed at a later date. Pharmaceutical products that are granted a marketing authorization on the basis of the pediatric clinical trials conducted in accordance with the approved PIP are eligible for a six month extension of the protection under a supplementary protection certificate (if any is in effect at the time of approval) or, in the case of orphan pharmaceutical products, a two year extension of the orphan market exclusivity. This pediatric reward is subject to specific conditions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jc w:val="both"/>
        <w:ind w:right="20"/>
        <w:spacing w:after="0" w:line="263" w:lineRule="auto"/>
        <w:rPr>
          <w:sz w:val="20"/>
          <w:szCs w:val="20"/>
          <w:color w:val="auto"/>
        </w:rPr>
      </w:pPr>
      <w:r>
        <w:rPr>
          <w:rFonts w:ascii="Arial" w:cs="Arial" w:eastAsia="Arial" w:hAnsi="Arial"/>
          <w:sz w:val="18"/>
          <w:szCs w:val="18"/>
          <w:color w:val="auto"/>
        </w:rPr>
        <w:t>and is not automatically available when data in compliance with the approved PIP are developed and submitted. An approved PIP is also required when a marketing authorization holder wants to add a new indication, pharmaceutical form or route of administration for a medicine that is already authorized and covered by intellectual property rights.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ind w:right="60" w:firstLine="508"/>
        <w:spacing w:after="0" w:line="257" w:lineRule="auto"/>
        <w:rPr>
          <w:sz w:val="20"/>
          <w:szCs w:val="20"/>
          <w:color w:val="auto"/>
        </w:rPr>
      </w:pPr>
      <w:r>
        <w:rPr>
          <w:rFonts w:ascii="Arial" w:cs="Arial" w:eastAsia="Arial" w:hAnsi="Arial"/>
          <w:sz w:val="18"/>
          <w:szCs w:val="18"/>
          <w:color w:val="auto"/>
        </w:rPr>
        <w:t>Similar to the United States, both marketing authorization holders and manufacturers of pharmaceutical products are subject to comprehensive regulatory oversight by the EMA, the European Commission and/or the competent regulatory authorities of the EU Member States. This oversight applies both before and after grant of manufacturing licenses and marketing authorizations. It includes control of compliance with EU good manufacturing practices rules, manufacturing authorizations, pharmacovigilance rules and requirements governing advertising, promotion, sale, and distribution, recordkeeping, importing and exporting of pharmaceutical products.</w:t>
      </w:r>
    </w:p>
    <w:p>
      <w:pPr>
        <w:spacing w:after="0" w:line="80" w:lineRule="exact"/>
        <w:rPr>
          <w:sz w:val="20"/>
          <w:szCs w:val="20"/>
          <w:color w:val="auto"/>
        </w:rPr>
      </w:pPr>
    </w:p>
    <w:p>
      <w:pPr>
        <w:ind w:firstLine="508"/>
        <w:spacing w:after="0" w:line="290" w:lineRule="auto"/>
        <w:rPr>
          <w:sz w:val="20"/>
          <w:szCs w:val="20"/>
          <w:color w:val="auto"/>
        </w:rPr>
      </w:pPr>
      <w:r>
        <w:rPr>
          <w:rFonts w:ascii="Arial" w:cs="Arial" w:eastAsia="Arial" w:hAnsi="Arial"/>
          <w:sz w:val="16"/>
          <w:szCs w:val="16"/>
          <w:color w:val="auto"/>
        </w:rPr>
        <w:t>Failure by us or by any of our third-party partners, including suppliers, manufacturers and distributors to comply with EU laws and the EU Member State laws implementing Directive 2001/83/EC on pharmaceutical products for human use and other core legislation relating to pharmaceutical products, and other EU Member State laws that apply to the conduct of clinical trials, manufacturing approval, marketing authorization of pharmaceutical products and marketing of such products, both before and after grant of marketing authorization,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57" w:lineRule="exact"/>
        <w:rPr>
          <w:sz w:val="20"/>
          <w:szCs w:val="20"/>
          <w:color w:val="auto"/>
        </w:rPr>
      </w:pPr>
    </w:p>
    <w:p>
      <w:pPr>
        <w:ind w:right="60" w:firstLine="508"/>
        <w:spacing w:after="0" w:line="263" w:lineRule="auto"/>
        <w:rPr>
          <w:sz w:val="20"/>
          <w:szCs w:val="20"/>
          <w:color w:val="auto"/>
        </w:rPr>
      </w:pPr>
      <w:r>
        <w:rPr>
          <w:rFonts w:ascii="Arial" w:cs="Arial" w:eastAsia="Arial" w:hAnsi="Arial"/>
          <w:sz w:val="18"/>
          <w:szCs w:val="18"/>
          <w:color w:val="auto"/>
        </w:rPr>
        <w:t>The holder of an EU marketing authorization for a pharmaceutical product must also comply with EU pharmacovigilance legislation and its related regulations and guidelines, which entail many requirements for conducting pharmacovigilance, or the assessment and monitoring of the safety of pharmaceutical products.</w:t>
      </w:r>
    </w:p>
    <w:p>
      <w:pPr>
        <w:spacing w:after="0" w:line="76" w:lineRule="exact"/>
        <w:rPr>
          <w:sz w:val="20"/>
          <w:szCs w:val="20"/>
          <w:color w:val="auto"/>
        </w:rPr>
      </w:pPr>
    </w:p>
    <w:p>
      <w:pPr>
        <w:ind w:right="20" w:firstLine="508"/>
        <w:spacing w:after="0" w:line="287" w:lineRule="auto"/>
        <w:rPr>
          <w:sz w:val="20"/>
          <w:szCs w:val="20"/>
          <w:color w:val="auto"/>
        </w:rPr>
      </w:pPr>
      <w:r>
        <w:rPr>
          <w:rFonts w:ascii="Arial" w:cs="Arial" w:eastAsia="Arial" w:hAnsi="Arial"/>
          <w:sz w:val="16"/>
          <w:szCs w:val="16"/>
          <w:color w:val="auto"/>
        </w:rPr>
        <w:t>These pharmacovigilance rules can impose on holders of marketing authorizations the obligation to conduct a labor intensive collection of data regarding the risks and benefits of marketed pharmaceutical products and to engage in ongoing assessments of those risks and benefits, including the possible requirement to conduct additional clinical studies or post-authorization safety studies to obtain further information on a medicine’s safety, or to measure the effectiveness of risk-management measures, which may be time consuming and expensive and could impact our profitability. Marketing authorization holders must establish and maintain a pharmacovigilance system and appoint an individual qualified person for pharmacovigilance who is responsible for oversight of that system. Key obligations include expedited reporting of suspected serious adverse reactions and submission of PSURs in relation to pharmaceutical products for which they hold marketing authorizations The EMA reviews PSURs for pharmaceutical products authorized through the centralized procedure. If the EMA has concerns that the risk-benefit profile of a product has varied, it can adopt an opinion advising that the existing marketing authorization for the product be suspended, withdrawn or varied. The Agency can advise that the marketing authorization holder be obliged to conduct post-authorization Phase 4 safety studies. The EMA opinion is submitted to the European Commission for its consideration. If the Commission agrees with the opinion, it can adopt a decision varying the existing marketing authorization. Failure by the marketing authorization holder to fulfill the obligations for which the European Commission’s decision provides can undermine the on-going validity of the marketing authorization.</w:t>
      </w:r>
    </w:p>
    <w:p>
      <w:pPr>
        <w:spacing w:after="0" w:line="60" w:lineRule="exact"/>
        <w:rPr>
          <w:sz w:val="20"/>
          <w:szCs w:val="20"/>
          <w:color w:val="auto"/>
        </w:rPr>
      </w:pPr>
    </w:p>
    <w:p>
      <w:pPr>
        <w:ind w:right="740" w:firstLine="508"/>
        <w:spacing w:after="0" w:line="277" w:lineRule="auto"/>
        <w:rPr>
          <w:sz w:val="20"/>
          <w:szCs w:val="20"/>
          <w:color w:val="auto"/>
        </w:rPr>
      </w:pPr>
      <w:r>
        <w:rPr>
          <w:rFonts w:ascii="Arial" w:cs="Arial" w:eastAsia="Arial" w:hAnsi="Arial"/>
          <w:sz w:val="18"/>
          <w:szCs w:val="18"/>
          <w:color w:val="auto"/>
        </w:rPr>
        <w:t>More generally, non-compliance with pharmacovigilance obligations can lead to the variation, suspension or withdrawal of the marketing authorization for the pharmaceutical product or imposition of financial penalties or other enforcement measures.</w:t>
      </w:r>
    </w:p>
    <w:p>
      <w:pPr>
        <w:spacing w:after="0" w:line="62" w:lineRule="exact"/>
        <w:rPr>
          <w:sz w:val="20"/>
          <w:szCs w:val="20"/>
          <w:color w:val="auto"/>
        </w:rPr>
      </w:pPr>
    </w:p>
    <w:p>
      <w:pPr>
        <w:ind w:firstLine="508"/>
        <w:spacing w:after="0" w:line="254" w:lineRule="auto"/>
        <w:rPr>
          <w:sz w:val="20"/>
          <w:szCs w:val="20"/>
          <w:color w:val="auto"/>
        </w:rPr>
      </w:pPr>
      <w:r>
        <w:rPr>
          <w:rFonts w:ascii="Arial" w:cs="Arial" w:eastAsia="Arial" w:hAnsi="Arial"/>
          <w:sz w:val="18"/>
          <w:szCs w:val="18"/>
          <w:color w:val="231F20"/>
        </w:rPr>
        <w:t>The manufacturing process for pharmaceutical products in the European Union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Regulation (EC) No 726/2004 and the European Commission Guidelines for Good Manufacturing Practice, or GMP. These requirements include compliance with EU GMP standards when manufacturing pharmaceutical products and active pharmaceutical ingredients, including the manufacture of active pharmaceutical ingredients outside of the European Union with the intention to import the active pharmaceutical ingredients into the European Union.</w:t>
      </w:r>
    </w:p>
    <w:p>
      <w:pPr>
        <w:spacing w:after="0" w:line="87" w:lineRule="exact"/>
        <w:rPr>
          <w:sz w:val="20"/>
          <w:szCs w:val="20"/>
          <w:color w:val="auto"/>
        </w:rPr>
      </w:pPr>
    </w:p>
    <w:p>
      <w:pPr>
        <w:ind w:right="280" w:firstLine="508"/>
        <w:spacing w:after="0" w:line="296" w:lineRule="auto"/>
        <w:rPr>
          <w:sz w:val="20"/>
          <w:szCs w:val="20"/>
          <w:color w:val="auto"/>
        </w:rPr>
      </w:pPr>
      <w:r>
        <w:rPr>
          <w:rFonts w:ascii="Arial" w:cs="Arial" w:eastAsia="Arial" w:hAnsi="Arial"/>
          <w:sz w:val="16"/>
          <w:szCs w:val="16"/>
          <w:color w:val="231F20"/>
        </w:rPr>
        <w:t>Similarly, the distribution of pharmaceutical products into and within the European Union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GMP, before releasing the product for commercial distribution in the European Union or for use in a clinical trial. Manufacturing facilities are subject to periodic inspections by the competent authorities for compliance with GMP.</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and Promotion</w:t>
      </w:r>
    </w:p>
    <w:p>
      <w:pPr>
        <w:spacing w:after="0" w:line="117" w:lineRule="exact"/>
        <w:rPr>
          <w:sz w:val="20"/>
          <w:szCs w:val="20"/>
          <w:color w:val="auto"/>
        </w:rPr>
      </w:pPr>
    </w:p>
    <w:p>
      <w:pPr>
        <w:ind w:right="440" w:firstLine="508"/>
        <w:spacing w:after="0" w:line="277" w:lineRule="auto"/>
        <w:rPr>
          <w:sz w:val="20"/>
          <w:szCs w:val="20"/>
          <w:color w:val="auto"/>
        </w:rPr>
      </w:pPr>
      <w:r>
        <w:rPr>
          <w:rFonts w:ascii="Arial" w:cs="Arial" w:eastAsia="Arial" w:hAnsi="Arial"/>
          <w:sz w:val="18"/>
          <w:szCs w:val="18"/>
          <w:color w:val="auto"/>
        </w:rPr>
        <w:t>The advertising and promotion of our products is also subject to EU laws concerning promotion of pharmaceutical products, interactions with physicians, misleading and comparative advertising and unfair commercial practices. In addition, other national</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27" w:name="page28"/>
    <w:bookmarkEnd w:id="27"/>
    <w:p>
      <w:pPr>
        <w:spacing w:after="0" w:line="269" w:lineRule="auto"/>
        <w:rPr>
          <w:sz w:val="20"/>
          <w:szCs w:val="20"/>
          <w:color w:val="auto"/>
        </w:rPr>
      </w:pPr>
      <w:r>
        <w:rPr>
          <w:rFonts w:ascii="Arial" w:cs="Arial" w:eastAsia="Arial" w:hAnsi="Arial"/>
          <w:sz w:val="17"/>
          <w:szCs w:val="17"/>
          <w:color w:val="auto"/>
        </w:rPr>
        <w:t>legislation of individual EU Member States may apply to the advertising and promotion of pharmaceutical products and may differ from one country to another. These laws require that promotional materials and advertising in relation to pharmaceutical products comply with the product’s SmPC as approved by the competent regulatory authorities. The SmPC is the document that provides information to physicians concerning the safe and effective use of the pharmaceutical product. It forms an intrinsic and integral part of the marketing authorization granted for the pharmaceutical product. Promotion of a pharmaceutical product that does not comply with the SmPC is considered to constitute off-label promotion. All advertising and promotional activities for the product must be consistent with the approved SmPC and therefore all off-label promotion of pharmaceutical products is prohibited in the European Union. The applicable laws at the EU level and in the individual EU Member States also prohibit the direct-to-consumer advertising of prescription-only pharmaceutical products. Violations of the rules governing the promotion of pharmaceutical products in the European Union could be penalized by administrative measures, fines and imprisonment. These laws may further limit or restrict the advertising and promotion of our products to the general public and may also impose limitations on its promotional activities with healthcare professionals.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Pricing and Reimbursement Environment</w:t>
      </w:r>
    </w:p>
    <w:p>
      <w:pPr>
        <w:spacing w:after="0" w:line="117" w:lineRule="exact"/>
        <w:rPr>
          <w:sz w:val="20"/>
          <w:szCs w:val="20"/>
          <w:color w:val="auto"/>
        </w:rPr>
      </w:pPr>
    </w:p>
    <w:p>
      <w:pPr>
        <w:ind w:right="80" w:firstLine="508"/>
        <w:spacing w:after="0" w:line="273" w:lineRule="auto"/>
        <w:rPr>
          <w:sz w:val="20"/>
          <w:szCs w:val="20"/>
          <w:color w:val="auto"/>
        </w:rPr>
      </w:pPr>
      <w:r>
        <w:rPr>
          <w:rFonts w:ascii="Arial" w:cs="Arial" w:eastAsia="Arial" w:hAnsi="Arial"/>
          <w:sz w:val="17"/>
          <w:szCs w:val="17"/>
          <w:color w:val="auto"/>
        </w:rPr>
        <w:t>Even if a pharmaceutical product obtains a marketing authorization in the European Union, there can be no assurance that reimbursement for such product will be secured on a timely basis or at all. The EU Member States are free to restrict the range of pharmaceutical products for which their national health insurance systems provide reimbursement, and to control the prices and reimbursement levels of pharmaceutical products for human use. An EU Member State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w:t>
      </w:r>
    </w:p>
    <w:p>
      <w:pPr>
        <w:spacing w:after="0" w:line="70" w:lineRule="exact"/>
        <w:rPr>
          <w:sz w:val="20"/>
          <w:szCs w:val="20"/>
          <w:color w:val="auto"/>
        </w:rPr>
      </w:pPr>
    </w:p>
    <w:p>
      <w:pPr>
        <w:ind w:firstLine="508"/>
        <w:spacing w:after="0" w:line="272" w:lineRule="auto"/>
        <w:rPr>
          <w:sz w:val="20"/>
          <w:szCs w:val="20"/>
          <w:color w:val="auto"/>
        </w:rPr>
      </w:pPr>
      <w:r>
        <w:rPr>
          <w:rFonts w:ascii="Arial" w:cs="Arial" w:eastAsia="Arial" w:hAnsi="Arial"/>
          <w:sz w:val="17"/>
          <w:szCs w:val="17"/>
          <w:color w:val="auto"/>
        </w:rPr>
        <w:t>Reference pricing used by various EU Member States and parallel distribution, or arbitrage between low-priced and high-priced member states, can further reduce prices. In some countries, we may be required to conduct a clinical study or other studies that compare the cost-effectiveness of our product candidates, if any, to other available therapies in order to obtain or maintain reimbursement or pricing approval. There can be no assurance that any country that has price controls or reimbursement limitations for pharmaceutical products will allow favorable reimbursement and pricing arrangements for any of our products. Historically, pharmaceutical products launched in the European Union do not follow price structures of the United States and generally published and actual prices tend to be significantly lower. Publication of discounts by third party payers or authorities may lead to further pressure on the prices or reimbursement levels within the country of publication and other countries.</w:t>
      </w:r>
    </w:p>
    <w:p>
      <w:pPr>
        <w:spacing w:after="0" w:line="69" w:lineRule="exact"/>
        <w:rPr>
          <w:sz w:val="20"/>
          <w:szCs w:val="20"/>
          <w:color w:val="auto"/>
        </w:rPr>
      </w:pPr>
    </w:p>
    <w:p>
      <w:pPr>
        <w:ind w:right="20" w:firstLine="508"/>
        <w:spacing w:after="0" w:line="269" w:lineRule="auto"/>
        <w:rPr>
          <w:sz w:val="20"/>
          <w:szCs w:val="20"/>
          <w:color w:val="auto"/>
        </w:rPr>
      </w:pPr>
      <w:r>
        <w:rPr>
          <w:rFonts w:ascii="Arial" w:cs="Arial" w:eastAsia="Arial" w:hAnsi="Arial"/>
          <w:sz w:val="17"/>
          <w:szCs w:val="17"/>
          <w:color w:val="auto"/>
        </w:rPr>
        <w:t>The so-called health technology assessment (“HTA”) of pharmaceutical products is becoming an increasingly common part of the pricing and reimbursement procedures in some EU Member States, including France, Germany, Ireland, Italy and Sweden. The HTA process, which is governed by the national laws of these countries, is the procedure according to which the assessment of the public health impact, therapeutic impact, and the economic and societal impact of use of a given pharmaceutical product in the national healthcare systems of the individual country is conducted. HTA generally focuses on the clinical efficacy and effectiveness, safety, cost, and cost-effectiveness of individual pharmaceutical products as well as their potential implications for the healthcare system. Those elements of pharmaceutical products are compared with other treatment options available on the market. The outcome of HTA regarding specific pharmaceutical products will often influence the pricing and reimbursement status granted to pharmaceutical products by the regulatory authorities of individual EU Member States. A negative HTA of one of our products by a leading and recognized HTA body could not only undermine our ability to obtain reimbursement for such product in the EU Member State in which such negative assessment was issued, but also in other EU Member States. For example, EU Member States that have not yet developed HTA mechanisms could rely to some extent on the HTA performed in other countries with a developed HTA framework, when adopting decisions concerning the pricing and reimbursement of a specific pharmaceutical product.</w:t>
      </w:r>
    </w:p>
    <w:p>
      <w:pPr>
        <w:spacing w:after="0" w:line="71" w:lineRule="exact"/>
        <w:rPr>
          <w:sz w:val="20"/>
          <w:szCs w:val="20"/>
          <w:color w:val="auto"/>
        </w:rPr>
      </w:pPr>
    </w:p>
    <w:p>
      <w:pPr>
        <w:ind w:firstLine="508"/>
        <w:spacing w:after="0" w:line="268" w:lineRule="auto"/>
        <w:rPr>
          <w:sz w:val="20"/>
          <w:szCs w:val="20"/>
          <w:color w:val="auto"/>
        </w:rPr>
      </w:pPr>
      <w:r>
        <w:rPr>
          <w:rFonts w:ascii="Arial" w:cs="Arial" w:eastAsia="Arial" w:hAnsi="Arial"/>
          <w:sz w:val="17"/>
          <w:szCs w:val="17"/>
          <w:color w:val="auto"/>
        </w:rPr>
        <w:t>On January 31, 2018, the European Commission adopted a proposal for a regulation on health technology assessment. This legislative proposal is intended to boost EU level cooperation among EU Member States in assessing health technologies, including new pharmaceutical products, and providing the basis for cooperation at the EU level for joint clinical assessments in these areas. The proposal provides that EU Member States will be able to use common HTA tools, methodologies and procedures across the European Union,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w:t>
      </w:r>
      <w:r>
        <w:rPr>
          <w:rFonts w:ascii="Arial" w:cs="Arial" w:eastAsia="Arial" w:hAnsi="Arial"/>
          <w:sz w:val="17"/>
          <w:szCs w:val="17"/>
          <w:i w:val="1"/>
          <w:iCs w:val="1"/>
          <w:color w:val="auto"/>
        </w:rPr>
        <w:t>e.g.</w:t>
      </w:r>
      <w:r>
        <w:rPr>
          <w:rFonts w:ascii="Arial" w:cs="Arial" w:eastAsia="Arial" w:hAnsi="Arial"/>
          <w:sz w:val="17"/>
          <w:szCs w:val="17"/>
          <w:color w:val="auto"/>
        </w:rPr>
        <w:t>, economic, social, ethical) aspects of health technology, and making decisions on pricing and reimbursement. While EU Member States could choose to delay participation in the joint work until three years after the rules enter into force, it would become mandatory after six years.The European Commission has stated that the role of the draft HTA regulation is not to influence pricing and reimbursement decisions in the individual EU Member States, but there can be no assurance that the draft HTA regulation will not have effects on pricing and reimbursement decisions if and when the draft HTA regulation comes into force. On June 22, 2021, following three years of discussions in the Council of the European Union, the Council of the European Union and the European Parliament reached a provisional agreement on the draft HTA regulation. The European Parliament and the Council of the European Union are now expected to formally adopt the content of the agreement in the coming months.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8" w:name="page29"/>
    <w:bookmarkEnd w:id="28"/>
    <w:p>
      <w:pPr>
        <w:ind w:right="280" w:firstLine="508"/>
        <w:spacing w:after="0" w:line="259" w:lineRule="auto"/>
        <w:rPr>
          <w:sz w:val="20"/>
          <w:szCs w:val="20"/>
          <w:color w:val="auto"/>
        </w:rPr>
      </w:pPr>
      <w:r>
        <w:rPr>
          <w:rFonts w:ascii="Arial" w:cs="Arial" w:eastAsia="Arial" w:hAnsi="Arial"/>
          <w:sz w:val="18"/>
          <w:szCs w:val="18"/>
          <w:color w:val="auto"/>
        </w:rPr>
        <w:t>To obtain reimbursement or pricing approval in some countries, including the EU Member States, we may be required to conduct studies that compare the cost-effectiveness of our product candidates to other therapies that are considered the local standard of care. There can be no assurance that any country will allow favorable pricing, reimbursement and market access conditions for any of our products, or that we will be feasible to conduct additional cost-effectiveness studies, if required.</w:t>
      </w:r>
    </w:p>
    <w:p>
      <w:pPr>
        <w:spacing w:after="0" w:line="79" w:lineRule="exact"/>
        <w:rPr>
          <w:sz w:val="20"/>
          <w:szCs w:val="20"/>
          <w:color w:val="auto"/>
        </w:rPr>
      </w:pPr>
    </w:p>
    <w:p>
      <w:pPr>
        <w:jc w:val="both"/>
        <w:ind w:right="300" w:firstLine="508"/>
        <w:spacing w:after="0" w:line="342" w:lineRule="auto"/>
        <w:rPr>
          <w:sz w:val="20"/>
          <w:szCs w:val="20"/>
          <w:color w:val="auto"/>
        </w:rPr>
      </w:pPr>
      <w:r>
        <w:rPr>
          <w:rFonts w:ascii="Arial" w:cs="Arial" w:eastAsia="Arial" w:hAnsi="Arial"/>
          <w:sz w:val="16"/>
          <w:szCs w:val="16"/>
          <w:color w:val="auto"/>
        </w:rPr>
        <w:t>In certain of the EU Member States, pharmaceutical products that are designated as orphan pharmaceutical products may be exempted or waived from having to provide certain clinical, cost-effectiveness and other economic data in connection with their filings for pricing/reimbursement approval.</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European Data Laws</w:t>
      </w:r>
    </w:p>
    <w:p>
      <w:pPr>
        <w:spacing w:after="0" w:line="117" w:lineRule="exact"/>
        <w:rPr>
          <w:sz w:val="20"/>
          <w:szCs w:val="20"/>
          <w:color w:val="auto"/>
        </w:rPr>
      </w:pPr>
    </w:p>
    <w:p>
      <w:pPr>
        <w:ind w:right="60" w:firstLine="508"/>
        <w:spacing w:after="0" w:line="291" w:lineRule="auto"/>
        <w:rPr>
          <w:sz w:val="20"/>
          <w:szCs w:val="20"/>
          <w:color w:val="auto"/>
        </w:rPr>
      </w:pPr>
      <w:r>
        <w:rPr>
          <w:rFonts w:ascii="Arial" w:cs="Arial" w:eastAsia="Arial" w:hAnsi="Arial"/>
          <w:sz w:val="16"/>
          <w:szCs w:val="16"/>
          <w:color w:val="auto"/>
        </w:rPr>
        <w:t>The collection and use of personal health data and other personal information in the European Union is governed by the provisions of the European General Data Protection Regulation (EU) 2016/679 (“GDPR”), which came into force in May 2018 and related implementing laws in individual EU Member States. Under the GDPR, personal data can only be transferred to third countries in compliance with specific conditions for cross-border data transfers. A “third country” is a country other than the EU Member States and the three additional European Economic Area countries (Norway, Iceland and Liechtenstein) that have adopted a national law implementing the GDPR. Appropriate safeguards are required to enable transfers of personal data from the EU and EEA Member States. This status has a number of significant practical consequences, in particular for international data transfers, competent supervisory authorities and enforcement of the GDPR. The GDPR increased responsibility and liability in relation to personal data that we process.</w:t>
      </w:r>
    </w:p>
    <w:p>
      <w:pPr>
        <w:spacing w:after="0" w:line="58" w:lineRule="exact"/>
        <w:rPr>
          <w:sz w:val="20"/>
          <w:szCs w:val="20"/>
          <w:color w:val="auto"/>
        </w:rPr>
      </w:pPr>
    </w:p>
    <w:p>
      <w:pPr>
        <w:ind w:right="100" w:firstLine="508"/>
        <w:spacing w:after="0" w:line="255" w:lineRule="auto"/>
        <w:rPr>
          <w:sz w:val="20"/>
          <w:szCs w:val="20"/>
          <w:color w:val="auto"/>
        </w:rPr>
      </w:pPr>
      <w:r>
        <w:rPr>
          <w:rFonts w:ascii="Arial" w:cs="Arial" w:eastAsia="Arial" w:hAnsi="Arial"/>
          <w:sz w:val="18"/>
          <w:szCs w:val="18"/>
          <w:color w:val="auto"/>
        </w:rPr>
        <w:t>The GDPR imposes a number of strict obligations and restrictions on the ability to process (processing includes collection, analysis and transfer of) personal data of individuals within the European Union and in the EEA, including health data from clinical trials and adverse event reporting. The GDPR also includes requirements relating to the consent of the individuals to whom the personal data relates, the information provided to the individuals prior to processing their personal data or personal health data, notification of data processing obligations to the national data protection authorities and the security and confidentiality of the personal data. EU Member States may also impose additional requirements in relation to health, genetic and biometric data through their national implementing legislation.</w:t>
      </w:r>
    </w:p>
    <w:p>
      <w:pPr>
        <w:spacing w:after="0" w:line="84" w:lineRule="exact"/>
        <w:rPr>
          <w:sz w:val="20"/>
          <w:szCs w:val="20"/>
          <w:color w:val="auto"/>
        </w:rPr>
      </w:pPr>
    </w:p>
    <w:p>
      <w:pPr>
        <w:ind w:firstLine="508"/>
        <w:spacing w:after="0" w:line="285" w:lineRule="auto"/>
        <w:rPr>
          <w:sz w:val="20"/>
          <w:szCs w:val="20"/>
          <w:color w:val="auto"/>
        </w:rPr>
      </w:pPr>
      <w:r>
        <w:rPr>
          <w:rFonts w:ascii="Arial" w:cs="Arial" w:eastAsia="Arial" w:hAnsi="Arial"/>
          <w:sz w:val="16"/>
          <w:szCs w:val="16"/>
          <w:color w:val="auto"/>
        </w:rPr>
        <w:t>The GDPR also prohibits the transfer of personal data to countries outside of the European Union/EEA (including the United States) that are not considered by the European Commission to provide an adequate level of data protection, except if the data controller meets very specific requirements such as the use of standard contractual clauses (“SCCs”), issued by the European Commission. In this respect recent legal developments in Europe have created complexity and compliance uncertainty regarding certain transfers of personal data from the EU/EEA. For example, following the Schrems II decision of the Court of Justice of the European Union on July 16, 2020, in which the Court invalidated the Privacy Shield under which personal data could be transferred from the EU/EEA to U.S. entities who had self-certified under the Privacy Shield scheme, there is uncertainty as to the general permissibility of international data transfers under the GDPR. The Court did not invalidate the then current SCCs, but ruled that data exporters relying on these SCCs are required to verify, on a case-by-case basis, if the law of the third country ensures an adequate level of data protection that is essentially equivalent to that guaranteed in the EU/EEA. In light of the implications of this decision we may face difficulties regarding the transfer of personal data from the European Union/EEA to third countries. However, on June 4, 2021 the EU Commission has issued a new set of SCCs for data transfers from controllers of processors in the EU/EEA to controllers or processors established outside the EU/EEA. These SCCs replace the old sets of SCCs that were adopted under the previous European Data Protection Directive 95/46. Since September 27, 2021, it is no longer possible to conclude contracts incorporating these previous versions of the SCCs. In addition, for contracts concluded before September 27, 2021, it is still possible to rely on the previous SCCs until the end of an additional 15 months transitional period (until December 27, 2022), provided that the processing operations which are the subject matter of the contract remain unchanged and reliance on previous SCCs ensures that the transfer is subject to appropriate safeguards. On November 11, 2021, the European Data Protection Board has adopted recommendations on such appropriate safeguards that supplement transfer mechanisms. These recommendations aim to assist data exporters with their duty to identify and implement appropriate supplementary measures where they are needed to ensure an essentially equivalent level of protection to the personal data they transfer to third countries.</w:t>
      </w:r>
    </w:p>
    <w:p>
      <w:pPr>
        <w:spacing w:after="0" w:line="63" w:lineRule="exact"/>
        <w:rPr>
          <w:sz w:val="20"/>
          <w:szCs w:val="20"/>
          <w:color w:val="auto"/>
        </w:rPr>
      </w:pPr>
    </w:p>
    <w:p>
      <w:pPr>
        <w:ind w:right="60" w:firstLine="508"/>
        <w:spacing w:after="0" w:line="291" w:lineRule="auto"/>
        <w:rPr>
          <w:sz w:val="20"/>
          <w:szCs w:val="20"/>
          <w:color w:val="auto"/>
        </w:rPr>
      </w:pPr>
      <w:r>
        <w:rPr>
          <w:rFonts w:ascii="Arial" w:cs="Arial" w:eastAsia="Arial" w:hAnsi="Arial"/>
          <w:sz w:val="16"/>
          <w:szCs w:val="16"/>
          <w:color w:val="auto"/>
        </w:rPr>
        <w:t>Failure to comply with the requirements of the GDPR and the related national data protection laws of the EU Member States may result in significant monetary fines for noncompliance of up to €20 million or 4% of the annual global revenues of the noncompliant company, whichever is greater, other administrative penalties and a number of criminal offenses (punishable by uncapped fines) for organizations and in certain cases their directors and officers as well as civil liability claims from individuals whose personal data was processed. Data protection authorities from the different EU Member States may still implement certain variations, enforce the GDPR and national data protection laws differently, and introduce additional national regulations and guidelines, which adds to the complexity of processing personal data in the European Union. Guidance developed at both EU level and at the national level in individual EU Member States concerning implementation and compliance practices are often updated or otherwise revised.</w:t>
      </w:r>
    </w:p>
    <w:p>
      <w:pPr>
        <w:spacing w:after="0" w:line="58" w:lineRule="exact"/>
        <w:rPr>
          <w:sz w:val="20"/>
          <w:szCs w:val="20"/>
          <w:color w:val="auto"/>
        </w:rPr>
      </w:pPr>
    </w:p>
    <w:p>
      <w:pPr>
        <w:jc w:val="both"/>
        <w:ind w:right="100" w:firstLine="508"/>
        <w:spacing w:after="0" w:line="263" w:lineRule="auto"/>
        <w:rPr>
          <w:sz w:val="20"/>
          <w:szCs w:val="20"/>
          <w:color w:val="auto"/>
        </w:rPr>
      </w:pPr>
      <w:r>
        <w:rPr>
          <w:rFonts w:ascii="Arial" w:cs="Arial" w:eastAsia="Arial" w:hAnsi="Arial"/>
          <w:sz w:val="18"/>
          <w:szCs w:val="18"/>
          <w:color w:val="auto"/>
        </w:rPr>
        <w:t>There is, moreover, a growing trend towards required public disclosure of clinical trial data in the European Union which adds to the complexity of obligations relating to processing health data from clinical trials. Such public disclosure obligations are provided in the new EU Clinical Trials Regulation, EMA disclosure initiatives and voluntary commitments by industry. Failing to comply with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ind w:right="80"/>
        <w:spacing w:after="0" w:line="263" w:lineRule="auto"/>
        <w:rPr>
          <w:sz w:val="20"/>
          <w:szCs w:val="20"/>
          <w:color w:val="auto"/>
        </w:rPr>
      </w:pPr>
      <w:r>
        <w:rPr>
          <w:rFonts w:ascii="Arial" w:cs="Arial" w:eastAsia="Arial" w:hAnsi="Arial"/>
          <w:sz w:val="18"/>
          <w:szCs w:val="18"/>
          <w:color w:val="auto"/>
        </w:rPr>
        <w:t>these obligations could lead to government enforcement actions and significant penalties against us, harm to our reputation, and adversely impact our business and operating results. The uncertainty regarding the interplay between different regulatory frameworks, such as the Clinical Trials Regulation and the GDPR, further adds to the complexity that we face with regard to data protection regulation.</w:t>
      </w:r>
    </w:p>
    <w:p>
      <w:pPr>
        <w:spacing w:after="0" w:line="76" w:lineRule="exact"/>
        <w:rPr>
          <w:sz w:val="20"/>
          <w:szCs w:val="20"/>
          <w:color w:val="auto"/>
        </w:rPr>
      </w:pPr>
    </w:p>
    <w:p>
      <w:pPr>
        <w:ind w:firstLine="508"/>
        <w:spacing w:after="0" w:line="254" w:lineRule="auto"/>
        <w:rPr>
          <w:sz w:val="20"/>
          <w:szCs w:val="20"/>
          <w:color w:val="auto"/>
        </w:rPr>
      </w:pPr>
      <w:r>
        <w:rPr>
          <w:rFonts w:ascii="Arial" w:cs="Arial" w:eastAsia="Arial" w:hAnsi="Arial"/>
          <w:sz w:val="18"/>
          <w:szCs w:val="18"/>
          <w:color w:val="auto"/>
        </w:rPr>
        <w:t>With regard to the transfer of data from the European Union to the United Kingdom, the TCA provided for a transition period of up to six months as of January 1, 2021 to enable the European Commission to complete its adequacy assessment of the UK’s data protection laws. On June 28, 2021 the European Commission adopted two adequacy decisions for the United Kingdom – one under the GDPR and the other for the Law Enforcement Directive. Personal data may now freely flow from the European Union to the United Kingdom since the United Kingdom is deemed to have an adequate data protection level. Additionally, following the UK's withdrawal from the European Union and the EEA, companies have to comply also with the UK’s data protection laws (including the GDPR as incorporated into UK national law), the latter regime having the ability to separately fine up to the greater of £17.5 million or 4% of global turnover. The adequacy decisions include a ‘sunset clause’ which entails that the decisions will automatically expire four years after their entry into force.</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Promotional Activities</w:t>
      </w:r>
    </w:p>
    <w:p>
      <w:pPr>
        <w:spacing w:after="0" w:line="117" w:lineRule="exact"/>
        <w:rPr>
          <w:sz w:val="20"/>
          <w:szCs w:val="20"/>
          <w:color w:val="auto"/>
        </w:rPr>
      </w:pPr>
    </w:p>
    <w:p>
      <w:pPr>
        <w:ind w:right="180" w:firstLine="508"/>
        <w:spacing w:after="0" w:line="275" w:lineRule="auto"/>
        <w:rPr>
          <w:sz w:val="20"/>
          <w:szCs w:val="20"/>
          <w:color w:val="auto"/>
        </w:rPr>
      </w:pPr>
      <w:r>
        <w:rPr>
          <w:rFonts w:ascii="Arial" w:cs="Arial" w:eastAsia="Arial" w:hAnsi="Arial"/>
          <w:sz w:val="17"/>
          <w:szCs w:val="17"/>
          <w:color w:val="auto"/>
        </w:rPr>
        <w:t>In the European Union,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European Union. The provision of benefits or advantages to physicians is also governed by the national anti-bribery laws of the EU Member States. Violation of these laws could result in substantial fines and imprisonment.</w:t>
      </w:r>
    </w:p>
    <w:p>
      <w:pPr>
        <w:spacing w:after="0" w:line="68" w:lineRule="exact"/>
        <w:rPr>
          <w:sz w:val="20"/>
          <w:szCs w:val="20"/>
          <w:color w:val="auto"/>
        </w:rPr>
      </w:pPr>
    </w:p>
    <w:p>
      <w:pPr>
        <w:ind w:right="20" w:firstLine="508"/>
        <w:spacing w:after="0" w:line="25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w:t>
      </w:r>
    </w:p>
    <w:p>
      <w:pPr>
        <w:spacing w:after="0" w:line="80" w:lineRule="exact"/>
        <w:rPr>
          <w:sz w:val="20"/>
          <w:szCs w:val="20"/>
          <w:color w:val="auto"/>
        </w:rPr>
      </w:pPr>
    </w:p>
    <w:p>
      <w:pPr>
        <w:jc w:val="both"/>
        <w:ind w:right="540" w:firstLine="508"/>
        <w:spacing w:after="0" w:line="263" w:lineRule="auto"/>
        <w:rPr>
          <w:sz w:val="20"/>
          <w:szCs w:val="20"/>
          <w:color w:val="auto"/>
        </w:rPr>
      </w:pPr>
      <w:r>
        <w:rPr>
          <w:rFonts w:ascii="Arial" w:cs="Arial" w:eastAsia="Arial" w:hAnsi="Arial"/>
          <w:sz w:val="18"/>
          <w:szCs w:val="18"/>
          <w:color w:val="auto"/>
        </w:rPr>
        <w:t>While the UK has left the EU, as mentioned above, it should be noted that the UK still has the strictest anti-bribery regime in Europe, the UK Bribery Act 2010. The Act is applicable English law and continues to apply to any company incorporated in or “carrying on business” in the United Kingdom, irrespective of where in the world the alleged bribery activity occurs.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Legislation Regarding Marketing, Authorization and Pricing of Pharmaceutical Products in the European Union</w:t>
      </w:r>
    </w:p>
    <w:p>
      <w:pPr>
        <w:spacing w:after="0" w:line="117" w:lineRule="exact"/>
        <w:rPr>
          <w:sz w:val="20"/>
          <w:szCs w:val="20"/>
          <w:color w:val="auto"/>
        </w:rPr>
      </w:pPr>
    </w:p>
    <w:p>
      <w:pPr>
        <w:ind w:right="780" w:firstLine="590"/>
        <w:spacing w:after="0" w:line="277" w:lineRule="auto"/>
        <w:rPr>
          <w:sz w:val="20"/>
          <w:szCs w:val="20"/>
          <w:color w:val="auto"/>
        </w:rPr>
      </w:pPr>
      <w:r>
        <w:rPr>
          <w:rFonts w:ascii="Arial" w:cs="Arial" w:eastAsia="Arial" w:hAnsi="Arial"/>
          <w:sz w:val="18"/>
          <w:szCs w:val="18"/>
          <w:color w:val="auto"/>
        </w:rPr>
        <w:t>Other core legislation relating to the marketing, authorization and pricing of pharmaceutical products in the European Union includes the following:</w:t>
      </w:r>
    </w:p>
    <w:p>
      <w:pPr>
        <w:spacing w:after="0" w:line="62" w:lineRule="exact"/>
        <w:rPr>
          <w:sz w:val="20"/>
          <w:szCs w:val="20"/>
          <w:color w:val="auto"/>
        </w:rPr>
      </w:pPr>
    </w:p>
    <w:p>
      <w:pPr>
        <w:ind w:left="1500" w:right="80" w:hanging="372"/>
        <w:spacing w:after="0" w:line="254"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Directive 2001/83/EC, establishing the requirements and procedures governing the marketing authorization for medicinal products for human use, as well as the rules for the constant supervision of products following authorization. This Directive has been amended several times, most recently by Directive 2012/26/EU regarding pharmacovigilance, and the Falsified Medicines Directive 2011/62/EU.</w:t>
      </w:r>
    </w:p>
    <w:p>
      <w:pPr>
        <w:spacing w:after="0" w:line="2" w:lineRule="exact"/>
        <w:rPr>
          <w:rFonts w:ascii="Arial" w:cs="Arial" w:eastAsia="Arial" w:hAnsi="Arial"/>
          <w:sz w:val="18"/>
          <w:szCs w:val="18"/>
          <w:color w:val="auto"/>
        </w:rPr>
      </w:pPr>
    </w:p>
    <w:p>
      <w:pPr>
        <w:ind w:left="1500" w:right="20" w:hanging="372"/>
        <w:spacing w:after="0" w:line="250"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 (EC) 726/2004, as amended, establishing procedures for the authorization, supervision and pharmacovigilance of medicinal products for human and veterinary use and establishing the EMA.</w:t>
      </w:r>
    </w:p>
    <w:p>
      <w:pPr>
        <w:ind w:left="1500" w:right="240" w:hanging="372"/>
        <w:spacing w:after="0" w:line="250"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 (EC) 469/2009, establishing the requirements necessary to obtain a Supplementary Protection Certificate, which extends the period of patent protection applicable to medicinal products at the EU-level.</w:t>
      </w:r>
    </w:p>
    <w:p>
      <w:pPr>
        <w:ind w:left="1500" w:right="20" w:hanging="372"/>
        <w:spacing w:after="0" w:line="250"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Directive 89/105/EEC, ensuring the transparency of measures taken by the European Union member states to set the prices and reimbursements of medicinal products. Specifically, while each member state has competence over the pricing and reimbursement of medicines for human use, they must also comply with this Directive, which establishes procedures to ensure that member state decisions and policies do not obstruct trade in medicinal products. The European Commission proposed to repeal and replace Directive 89/105/EEC, but this proposal was withdrawn in 2015.</w:t>
      </w:r>
    </w:p>
    <w:p>
      <w:pPr>
        <w:spacing w:after="0" w:line="1" w:lineRule="exact"/>
        <w:rPr>
          <w:rFonts w:ascii="Arial" w:cs="Arial" w:eastAsia="Arial" w:hAnsi="Arial"/>
          <w:sz w:val="18"/>
          <w:szCs w:val="18"/>
          <w:color w:val="auto"/>
        </w:rPr>
      </w:pPr>
    </w:p>
    <w:p>
      <w:pPr>
        <w:ind w:left="1500" w:right="80" w:hanging="372"/>
        <w:spacing w:after="0" w:line="250"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Directive 2003/94/EC, laying down the principles of good manufacturing practice in respect of medicinal products and investigational medicinal products for human use (the "GMP Directive").</w:t>
      </w:r>
    </w:p>
    <w:p>
      <w:pPr>
        <w:ind w:left="1500" w:right="80" w:hanging="372"/>
        <w:spacing w:after="0" w:line="263" w:lineRule="auto"/>
        <w:tabs>
          <w:tab w:leader="none" w:pos="1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Directive 2005/28/EC of April 8, 2005, laying down principles and detailed guidelines for good clinical practice as regards investigational medicinal products for human use, as well as the requirements for authorization of the manufacturing or importation of such products (the "GCP Directive").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Legislation and Regulations</w:t>
      </w:r>
    </w:p>
    <w:p>
      <w:pPr>
        <w:spacing w:after="0" w:line="117" w:lineRule="exact"/>
        <w:rPr>
          <w:sz w:val="20"/>
          <w:szCs w:val="20"/>
          <w:color w:val="auto"/>
        </w:rPr>
      </w:pPr>
    </w:p>
    <w:p>
      <w:pPr>
        <w:ind w:right="540" w:firstLine="442"/>
        <w:spacing w:after="0" w:line="277" w:lineRule="auto"/>
        <w:rPr>
          <w:sz w:val="20"/>
          <w:szCs w:val="20"/>
          <w:color w:val="auto"/>
        </w:rPr>
      </w:pPr>
      <w:r>
        <w:rPr>
          <w:rFonts w:ascii="Arial" w:cs="Arial" w:eastAsia="Arial" w:hAnsi="Arial"/>
          <w:sz w:val="18"/>
          <w:szCs w:val="18"/>
          <w:color w:val="auto"/>
        </w:rPr>
        <w:t>From time to time, legislation is drafted, introduced and passed in the European Union, its member states and other states of Europe that could significantly change the statutory provisions governing the testing, approval, manufacturing, marketing, coverage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ind w:right="220"/>
        <w:spacing w:after="0" w:line="277" w:lineRule="auto"/>
        <w:rPr>
          <w:sz w:val="20"/>
          <w:szCs w:val="20"/>
          <w:color w:val="auto"/>
        </w:rPr>
      </w:pPr>
      <w:r>
        <w:rPr>
          <w:rFonts w:ascii="Arial" w:cs="Arial" w:eastAsia="Arial" w:hAnsi="Arial"/>
          <w:sz w:val="18"/>
          <w:szCs w:val="18"/>
          <w:color w:val="auto"/>
        </w:rPr>
        <w:t>and reimbursement of pharmaceutical products. In addition to new legislation, pharmaceutical regulations and policies are often revised or interpreted by the EMA and national agencies in ways that may significantly affect our business and our products.</w:t>
      </w:r>
    </w:p>
    <w:p>
      <w:pPr>
        <w:spacing w:after="0" w:line="62" w:lineRule="exact"/>
        <w:rPr>
          <w:sz w:val="20"/>
          <w:szCs w:val="20"/>
          <w:color w:val="auto"/>
        </w:rPr>
      </w:pPr>
    </w:p>
    <w:p>
      <w:pPr>
        <w:ind w:right="40" w:firstLine="442"/>
        <w:spacing w:after="0" w:line="270" w:lineRule="auto"/>
        <w:rPr>
          <w:sz w:val="20"/>
          <w:szCs w:val="20"/>
          <w:color w:val="auto"/>
        </w:rPr>
      </w:pPr>
      <w:r>
        <w:rPr>
          <w:rFonts w:ascii="Arial" w:cs="Arial" w:eastAsia="Arial" w:hAnsi="Arial"/>
          <w:sz w:val="17"/>
          <w:szCs w:val="17"/>
          <w:color w:val="auto"/>
        </w:rPr>
        <w:t>Since the United Kingdom formally left the European Union on January 31, 2020 and the transition period, during which EU laws continued to apply to the United Kingdom, expired on December 31, 2020, EU laws now only apply to the United Kingdom in respect of Northern Ireland as laid out in the Protocol on Ireland and Northern Ireland. However, the European Union and the United Kingdom have concluded the TCA, which entered into force on May 1, 2021. Since the TCA does not, however, contain wholesale mutual recognition of UK and EU pharmaceutical regulations and product standards, future UK pharmaceutical regulations and product standards may differ from those in the European Union. To that end, the UK’s MHRA launched a comprehensive consultation on September 16, 2021 with proposals to amend the regulatory framework for medical devices in the UK. The stated objectives of the proposals include expansion of the scope of the UK Regulations, remove trade barriers, further the availability of medical devices and improve the favourability of the UK market. The consultation period closes on November 25, 2021 with a view to new regulations coming into force on July 1 2023 with appropriate transitional measures.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Significant uncertainty exists as to the coverage and reimbursement status of products approved by the FDA and other government authorities. Sales of products will depend, in part, on the extent to which the costs of the products will be covered by third-party payors, including government health programs such as, in the United States, Medicare and Medicaid, commercial health insurers and managed 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w:t>
      </w:r>
    </w:p>
    <w:p>
      <w:pPr>
        <w:spacing w:after="0" w:line="19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drug product does not necessarily imply that an adequate reimbursement rate will be approved. Third-party reimbursement may not be sufficient to maintain price levels high enough to realize an appropriate return on our investment in product development.</w:t>
      </w:r>
    </w:p>
    <w:p>
      <w:pPr>
        <w:spacing w:after="0" w:line="188"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a product to be cost effective compared to other available therapies, they may not cover the product after approval as a benefit under their plans or, if they do, the level of payment may not be sufficient to allow a company to sell its products at a profit. The U.S. government, state legislatures and foreign governments have shown significant interest in implementing cost containment programs to limit the growth of government-paid health care costs, including price controls, risk sharing,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As a result, the marketability of any product which receives regulatory approval for commercial sale may suffer if the government and third-party payors fail to provide adequate coverage and reimbursement.</w:t>
      </w:r>
    </w:p>
    <w:p>
      <w:pPr>
        <w:spacing w:after="0" w:line="185"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In addition, an increasing emphasis on managed care in the United States has increased and will continue to increase the pressure on drug pricing. Coverage policies, third-party reimbursement rates and drug pricing regulation may change at any time. In particular, the Patient Protection and Affordable Care Act, as amended by the Health Care and Education Affordability Reconciliation Act,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Even if favorable coverage and reimbursement status is attained for one or more products that receive regulatory approval, less favorable coverage policies and reimbursement rates may be implemented in the future.</w:t>
      </w:r>
    </w:p>
    <w:p>
      <w:pPr>
        <w:spacing w:after="0" w:line="17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ind w:right="80"/>
        <w:spacing w:after="0" w:line="277" w:lineRule="auto"/>
        <w:rPr>
          <w:sz w:val="20"/>
          <w:szCs w:val="20"/>
          <w:color w:val="auto"/>
        </w:rPr>
      </w:pPr>
      <w:r>
        <w:rPr>
          <w:rFonts w:ascii="Arial" w:cs="Arial" w:eastAsia="Arial" w:hAnsi="Arial"/>
          <w:sz w:val="18"/>
          <w:szCs w:val="18"/>
          <w:color w:val="auto"/>
        </w:rPr>
        <w:t>country that has price controls or reimbursement limitations for drug products may not allow favorable reimbursement and pricing arrangements for any of our products.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Healthcare Laws and Regulations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drug products that are granted marketing approval. Arrangements with healthcare providers, physicians, third-party payors and customers are subject to broadly applicable fraud and abuse and other healthcare laws and regulations that may constrain the business or financial arrangements and relationships through which we market, sell and distribute products for which we obtain marketing approval. Restrictions under applicable federal and state healthcare laws and regulations, include the following:</w:t>
      </w:r>
    </w:p>
    <w:p>
      <w:pPr>
        <w:spacing w:after="0" w:line="80" w:lineRule="exact"/>
        <w:rPr>
          <w:sz w:val="20"/>
          <w:szCs w:val="20"/>
          <w:color w:val="auto"/>
        </w:rPr>
      </w:pPr>
    </w:p>
    <w:p>
      <w:pPr>
        <w:ind w:left="880" w:right="100" w:hanging="373"/>
        <w:spacing w:after="0" w:line="259"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soliciting, offering, receiving or providing any remuneration (in cash or in kind), directly or indirectly, to induce or reward either the referral of an individual for, or the purchase, lease, order or recommendation of, any item, facility or service for which payment may be made in whole or in part under a federal healthcare program such as Medicare and Medicaid;</w:t>
      </w:r>
    </w:p>
    <w:p>
      <w:pPr>
        <w:spacing w:after="0" w:line="78" w:lineRule="exact"/>
        <w:rPr>
          <w:rFonts w:ascii="Arial" w:cs="Arial" w:eastAsia="Arial" w:hAnsi="Arial"/>
          <w:sz w:val="18"/>
          <w:szCs w:val="18"/>
          <w:color w:val="auto"/>
        </w:rPr>
      </w:pPr>
    </w:p>
    <w:p>
      <w:pPr>
        <w:jc w:val="both"/>
        <w:ind w:left="880" w:right="240" w:hanging="373"/>
        <w:spacing w:after="0" w:line="311"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federal Foreign Corrupt Practices Act (“FCPA”) prohibits, among other things, U.S. corporations and persons acting on their behalf from offering, promising, authorizing or making payments to any foreign government official (including certain healthcare professionals in many countries), political party, or political candidate in an attempt to obtain or retain business or otherwise seek preferential treatment abroad;</w:t>
      </w:r>
    </w:p>
    <w:p>
      <w:pPr>
        <w:spacing w:after="0" w:line="40" w:lineRule="exact"/>
        <w:rPr>
          <w:rFonts w:ascii="Arial" w:cs="Arial" w:eastAsia="Arial" w:hAnsi="Arial"/>
          <w:sz w:val="16"/>
          <w:szCs w:val="16"/>
          <w:color w:val="auto"/>
        </w:rPr>
      </w:pPr>
    </w:p>
    <w:p>
      <w:pPr>
        <w:ind w:left="880" w:right="20" w:hanging="373"/>
        <w:spacing w:after="0" w:line="25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False Claims Act, which may be enforced by the U.S. Department of Justice or private whistleblowers to bring civil actions (qui tam actions) on behalf of the federal government, imposes civil penalties, as well as liability for treble damages and for attorneys’ fees and costs, on individuals or entities for knowingly presenting, or causing to be presented, to the federal government, claims for payment that are false or fraudulent, making a false statement material to a false or fraudulent claim, or improperly avoiding, decreasing, or concealing an obligation to pay money to the federal government;</w:t>
      </w:r>
    </w:p>
    <w:p>
      <w:pPr>
        <w:spacing w:after="0" w:line="79" w:lineRule="exact"/>
        <w:rPr>
          <w:rFonts w:ascii="Arial" w:cs="Arial" w:eastAsia="Arial" w:hAnsi="Arial"/>
          <w:sz w:val="18"/>
          <w:szCs w:val="18"/>
          <w:color w:val="auto"/>
        </w:rPr>
      </w:pPr>
    </w:p>
    <w:p>
      <w:pPr>
        <w:ind w:left="880" w:right="100" w:hanging="373"/>
        <w:spacing w:after="0" w:line="263"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Department of Health and Human Services’ Civil Monetary Penalties authorities, which imposes administrative sanctions for, among other things, presenting or causing to be presented false claims for government payment and providing remuneration to government health program beneficiaries to influence them to order or receive healthcare items or services;</w:t>
      </w:r>
    </w:p>
    <w:p>
      <w:pPr>
        <w:spacing w:after="0" w:line="75" w:lineRule="exact"/>
        <w:rPr>
          <w:rFonts w:ascii="Arial" w:cs="Arial" w:eastAsia="Arial" w:hAnsi="Arial"/>
          <w:sz w:val="18"/>
          <w:szCs w:val="18"/>
          <w:color w:val="auto"/>
        </w:rPr>
      </w:pPr>
    </w:p>
    <w:p>
      <w:pPr>
        <w:ind w:left="880" w:right="560" w:hanging="373"/>
        <w:spacing w:after="0" w:line="342"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imposes criminal and civil liability for, among other conduct, executing a scheme to defraud any healthcare benefit program and making false statements relating to healthcare matters;</w:t>
      </w:r>
    </w:p>
    <w:p>
      <w:pPr>
        <w:spacing w:after="0" w:line="15" w:lineRule="exact"/>
        <w:rPr>
          <w:rFonts w:ascii="Arial" w:cs="Arial" w:eastAsia="Arial" w:hAnsi="Arial"/>
          <w:sz w:val="16"/>
          <w:szCs w:val="16"/>
          <w:color w:val="auto"/>
        </w:rPr>
      </w:pPr>
    </w:p>
    <w:p>
      <w:pPr>
        <w:jc w:val="both"/>
        <w:ind w:left="880" w:right="520" w:hanging="373"/>
        <w:spacing w:after="0" w:line="286"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its implementing regulations, also imposes criminal and civil liability and penalties on those who violate requirements, including mandatory contractual terms, intended to safeguard the privacy, security, transmission and use of individually identifiable health information;</w:t>
      </w:r>
    </w:p>
    <w:p>
      <w:pPr>
        <w:spacing w:after="0" w:line="57" w:lineRule="exact"/>
        <w:rPr>
          <w:rFonts w:ascii="Arial" w:cs="Arial" w:eastAsia="Arial" w:hAnsi="Arial"/>
          <w:sz w:val="17"/>
          <w:szCs w:val="17"/>
          <w:color w:val="auto"/>
        </w:rPr>
      </w:pPr>
    </w:p>
    <w:p>
      <w:pPr>
        <w:ind w:left="880" w:right="220" w:hanging="373"/>
        <w:spacing w:after="0" w:line="308"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false statements statute relating to healthcare matters prohibits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880" w:right="120" w:hanging="373"/>
        <w:spacing w:after="0" w:line="311"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federal Physician Payment Sunshine Act requires manufacturers of drugs (among other products) to report to the Centers for Medicare and Medicaid Services within the U.S. Department of Health and Human Services information related to payments and other transfers of value to physicians and teaching hospitals, as well as physician ownership and investment interests in the reporting manufacturers;</w:t>
      </w:r>
    </w:p>
    <w:p>
      <w:pPr>
        <w:spacing w:after="0" w:line="40" w:lineRule="exact"/>
        <w:rPr>
          <w:rFonts w:ascii="Arial" w:cs="Arial" w:eastAsia="Arial" w:hAnsi="Arial"/>
          <w:sz w:val="16"/>
          <w:szCs w:val="16"/>
          <w:color w:val="auto"/>
        </w:rPr>
      </w:pPr>
    </w:p>
    <w:p>
      <w:pPr>
        <w:ind w:left="880" w:right="100" w:hanging="373"/>
        <w:spacing w:after="0" w:line="342"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similar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spacing w:after="0" w:line="15" w:lineRule="exact"/>
        <w:rPr>
          <w:rFonts w:ascii="Arial" w:cs="Arial" w:eastAsia="Arial" w:hAnsi="Arial"/>
          <w:sz w:val="16"/>
          <w:szCs w:val="16"/>
          <w:color w:val="auto"/>
        </w:rPr>
      </w:pPr>
    </w:p>
    <w:p>
      <w:pPr>
        <w:ind w:left="880" w:hanging="373"/>
        <w:spacing w:after="0" w:line="259"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state laws require pharmaceutical companies to comply with voluntary compliance guidelines promulgated by a pharmaceutical industry association and relevant compliance guidance issues by HHS Office of Inspector General; bar drug manufacturers from offering or providing certain types of payments or gifts to physicians and other health care providers; and/or require disclosure of gifts or payments to physicians and other healthcare providers.</w:t>
      </w:r>
    </w:p>
    <w:p>
      <w:pPr>
        <w:spacing w:after="0" w:line="18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Various state and foreign laws also govern the privacy and security of health information in some circumstances; many of these laws differ from each other in significant ways and often are not preempted by HIPAA, thus complicating compliance efforts.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Financial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information required in this Item 1 is included in Part IV, Item 15 of this Annual Report on 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Arrowhead Employees</w:t>
      </w:r>
    </w:p>
    <w:p>
      <w:pPr>
        <w:spacing w:after="0" w:line="225" w:lineRule="exact"/>
        <w:rPr>
          <w:sz w:val="20"/>
          <w:szCs w:val="20"/>
          <w:color w:val="auto"/>
        </w:rPr>
      </w:pPr>
    </w:p>
    <w:p>
      <w:pPr>
        <w:ind w:right="160" w:firstLine="300"/>
        <w:spacing w:after="0" w:line="259" w:lineRule="auto"/>
        <w:rPr>
          <w:sz w:val="20"/>
          <w:szCs w:val="20"/>
          <w:color w:val="auto"/>
        </w:rPr>
      </w:pPr>
      <w:r>
        <w:rPr>
          <w:rFonts w:ascii="Arial" w:cs="Arial" w:eastAsia="Arial" w:hAnsi="Arial"/>
          <w:sz w:val="18"/>
          <w:szCs w:val="18"/>
          <w:color w:val="auto"/>
        </w:rPr>
        <w:t>As of September 30, 2021, Arrowhead employed 329 fulltime employees at three facilities in the US, including Pasadena, CA, Madison, WI and San Diego, CA. During fiscal year 2021, we grew our capabilities across the three sites by adding 97 new employees. The new employees were hired to support and extend our clinical and preclinical pipeline, with hires in clinical development and operations, research, manufacturing, and general and administrative functions.</w:t>
      </w:r>
    </w:p>
    <w:p>
      <w:pPr>
        <w:spacing w:after="0" w:line="19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Arrowhead Pharmaceuticals, Inc. Employees by Geography</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11"/>
        </w:trPr>
        <w:tc>
          <w:tcPr>
            <w:tcW w:w="5460" w:type="dxa"/>
            <w:vAlign w:val="bottom"/>
          </w:tcPr>
          <w:p>
            <w:pPr>
              <w:spacing w:after="0"/>
              <w:rPr>
                <w:sz w:val="18"/>
                <w:szCs w:val="18"/>
                <w:color w:val="auto"/>
              </w:rPr>
            </w:pPr>
          </w:p>
        </w:tc>
        <w:tc>
          <w:tcPr>
            <w:tcW w:w="30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Number of Employees as of</w:t>
            </w:r>
          </w:p>
        </w:tc>
      </w:tr>
      <w:tr>
        <w:trPr>
          <w:trHeight w:val="234"/>
        </w:trPr>
        <w:tc>
          <w:tcPr>
            <w:tcW w:w="5460" w:type="dxa"/>
            <w:vAlign w:val="bottom"/>
          </w:tcPr>
          <w:p>
            <w:pPr>
              <w:spacing w:after="0"/>
              <w:rPr>
                <w:sz w:val="20"/>
                <w:szCs w:val="20"/>
                <w:color w:val="auto"/>
              </w:rPr>
            </w:pPr>
          </w:p>
        </w:tc>
        <w:tc>
          <w:tcPr>
            <w:tcW w:w="2120" w:type="dxa"/>
            <w:vAlign w:val="bottom"/>
            <w:tcBorders>
              <w:bottom w:val="single" w:sz="8" w:color="auto"/>
            </w:tcBorders>
            <w:gridSpan w:val="3"/>
          </w:tcPr>
          <w:p>
            <w:pPr>
              <w:jc w:val="center"/>
              <w:ind w:left="773"/>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Site</w:t>
            </w:r>
          </w:p>
        </w:tc>
        <w:tc>
          <w:tcPr>
            <w:tcW w:w="16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Pasadena, CA</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19"/>
                <w:szCs w:val="19"/>
                <w:color w:val="auto"/>
              </w:rPr>
            </w:pP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Madison, WI</w:t>
            </w:r>
          </w:p>
        </w:tc>
        <w:tc>
          <w:tcPr>
            <w:tcW w:w="162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San Diego, CA</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00"/>
        <w:spacing w:after="0" w:line="259" w:lineRule="auto"/>
        <w:rPr>
          <w:sz w:val="20"/>
          <w:szCs w:val="20"/>
          <w:color w:val="auto"/>
        </w:rPr>
      </w:pPr>
      <w:r>
        <w:rPr>
          <w:rFonts w:ascii="Arial" w:cs="Arial" w:eastAsia="Arial" w:hAnsi="Arial"/>
          <w:sz w:val="18"/>
          <w:szCs w:val="18"/>
          <w:color w:val="auto"/>
        </w:rPr>
        <w:t>We expect to continue to add additional employees in fiscal year 2022 with a focus on expanding our in-house manufacturing capacity, as well as increasing expertise and bandwidth in clinical and preclinical research and development. The Company continually evaluates the business need and opportunity and balances in-house expertise and capacity with outsourced expertise and capacity. Currently, we outsource substantial clinical trial work to clinical research organizations and certain drug manufacturing to contract manufacturers.</w:t>
      </w:r>
    </w:p>
    <w:p>
      <w:pPr>
        <w:spacing w:after="0" w:line="187" w:lineRule="exact"/>
        <w:rPr>
          <w:sz w:val="20"/>
          <w:szCs w:val="20"/>
          <w:color w:val="auto"/>
        </w:rPr>
      </w:pPr>
    </w:p>
    <w:p>
      <w:pPr>
        <w:ind w:right="20" w:firstLine="300"/>
        <w:spacing w:after="0" w:line="275" w:lineRule="auto"/>
        <w:rPr>
          <w:sz w:val="20"/>
          <w:szCs w:val="20"/>
          <w:color w:val="auto"/>
        </w:rPr>
      </w:pPr>
      <w:r>
        <w:rPr>
          <w:rFonts w:ascii="Arial" w:cs="Arial" w:eastAsia="Arial" w:hAnsi="Arial"/>
          <w:sz w:val="17"/>
          <w:szCs w:val="17"/>
          <w:color w:val="auto"/>
        </w:rPr>
        <w:t>Drug development is a complex endeavor which requires deep expertise and experience across a broad array of disciplines. Pharmaceutical companies both large and small compete for a limited number qualified applicants to fill specialized positions. To attract qualified applicants to the Company, Arrowhead offers a total rewards package consisting of base salary and cash target bonus targeting the 50</w:t>
      </w:r>
      <w:r>
        <w:rPr>
          <w:rFonts w:ascii="Arial" w:cs="Arial" w:eastAsia="Arial" w:hAnsi="Arial"/>
          <w:sz w:val="14"/>
          <w:szCs w:val="14"/>
          <w:color w:val="auto"/>
        </w:rPr>
        <w:t>th</w:t>
      </w:r>
      <w:r>
        <w:rPr>
          <w:rFonts w:ascii="Arial" w:cs="Arial" w:eastAsia="Arial" w:hAnsi="Arial"/>
          <w:sz w:val="17"/>
          <w:szCs w:val="17"/>
          <w:color w:val="auto"/>
        </w:rPr>
        <w:t xml:space="preserve"> to 75</w:t>
      </w:r>
      <w:r>
        <w:rPr>
          <w:rFonts w:ascii="Arial" w:cs="Arial" w:eastAsia="Arial" w:hAnsi="Arial"/>
          <w:sz w:val="14"/>
          <w:szCs w:val="14"/>
          <w:color w:val="auto"/>
        </w:rPr>
        <w:t>th</w:t>
      </w:r>
      <w:r>
        <w:rPr>
          <w:rFonts w:ascii="Arial" w:cs="Arial" w:eastAsia="Arial" w:hAnsi="Arial"/>
          <w:sz w:val="17"/>
          <w:szCs w:val="17"/>
          <w:color w:val="auto"/>
        </w:rPr>
        <w:t xml:space="preserve"> percentile of market based on geography, a comprehensive benefit package and equity compensation for every employee. Bonus opportunity and equity compensation increase as a percentage of total compensation based on level of responsibility. Actual bonus payout is based on performance.</w:t>
      </w:r>
    </w:p>
    <w:p>
      <w:pPr>
        <w:spacing w:after="0" w:line="176" w:lineRule="exact"/>
        <w:rPr>
          <w:sz w:val="20"/>
          <w:szCs w:val="20"/>
          <w:color w:val="auto"/>
        </w:rPr>
      </w:pPr>
    </w:p>
    <w:p>
      <w:pPr>
        <w:ind w:right="240" w:firstLine="300"/>
        <w:spacing w:after="0" w:line="263" w:lineRule="auto"/>
        <w:rPr>
          <w:sz w:val="20"/>
          <w:szCs w:val="20"/>
          <w:color w:val="auto"/>
        </w:rPr>
      </w:pPr>
      <w:r>
        <w:rPr>
          <w:rFonts w:ascii="Arial" w:cs="Arial" w:eastAsia="Arial" w:hAnsi="Arial"/>
          <w:sz w:val="18"/>
          <w:szCs w:val="18"/>
          <w:color w:val="auto"/>
        </w:rPr>
        <w:t>A large majority of Arrowhead’s employees have obtained advanced degrees in their professions. Arrowhead supports our employees’ further development with individualized development plans, mentoring, coaching, group training, conference attendance and financial support including tuition reimbursement.</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Response to COVID-19</w:t>
      </w:r>
    </w:p>
    <w:p>
      <w:pPr>
        <w:spacing w:after="0" w:line="225" w:lineRule="exact"/>
        <w:rPr>
          <w:sz w:val="20"/>
          <w:szCs w:val="20"/>
          <w:color w:val="auto"/>
        </w:rPr>
      </w:pPr>
    </w:p>
    <w:p>
      <w:pPr>
        <w:ind w:right="200" w:firstLine="300"/>
        <w:spacing w:after="0" w:line="277" w:lineRule="auto"/>
        <w:rPr>
          <w:sz w:val="20"/>
          <w:szCs w:val="20"/>
          <w:color w:val="auto"/>
        </w:rPr>
      </w:pPr>
      <w:r>
        <w:rPr>
          <w:rFonts w:ascii="Arial" w:cs="Arial" w:eastAsia="Arial" w:hAnsi="Arial"/>
          <w:sz w:val="18"/>
          <w:szCs w:val="18"/>
          <w:color w:val="auto"/>
        </w:rPr>
        <w:t>Beginning in March 2020, Arrowhead has supported our employees and government efforts to curb the COVID-19 pandemic through a multifaceted communication, infrastructure, and behavior modification and enforcement effort:</w:t>
      </w:r>
    </w:p>
    <w:p>
      <w:pPr>
        <w:spacing w:after="0" w:line="62" w:lineRule="exact"/>
        <w:rPr>
          <w:sz w:val="20"/>
          <w:szCs w:val="20"/>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clear and regular COVID-19 policies, safety protocols, and updates to all employees;</w:t>
      </w:r>
    </w:p>
    <w:p>
      <w:pPr>
        <w:spacing w:after="0" w:line="23" w:lineRule="exact"/>
        <w:rPr>
          <w:rFonts w:ascii="Arial" w:cs="Arial" w:eastAsia="Arial" w:hAnsi="Arial"/>
          <w:sz w:val="18"/>
          <w:szCs w:val="18"/>
          <w:color w:val="auto"/>
        </w:rPr>
      </w:pPr>
    </w:p>
    <w:p>
      <w:pPr>
        <w:ind w:left="740" w:right="100" w:hanging="368"/>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Decreasing density and increasing physical distancing in workspaces for employees working onsite by scheduling adjustments and adding work from home flexibility;</w:t>
      </w: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Adjusting attendance policies to encourage those who are sick to stay home;</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cleaning protocols across all locations;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additional personal protective equipment and cleaning supplies;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Implementing protocols to address actual and suspected COVID-19 cases and potential exposure;</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Prohibiting all domestic and international non-essential travel for all employees through mid-2021;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Complying with local and national public health advisories.</w:t>
      </w:r>
    </w:p>
    <w:p>
      <w:pPr>
        <w:spacing w:after="0" w:line="143" w:lineRule="exact"/>
        <w:rPr>
          <w:sz w:val="20"/>
          <w:szCs w:val="20"/>
          <w:color w:val="auto"/>
        </w:rPr>
      </w:pPr>
    </w:p>
    <w:p>
      <w:pPr>
        <w:ind w:right="280" w:firstLine="300"/>
        <w:spacing w:after="0" w:line="277" w:lineRule="auto"/>
        <w:rPr>
          <w:sz w:val="20"/>
          <w:szCs w:val="20"/>
          <w:color w:val="auto"/>
        </w:rPr>
      </w:pPr>
      <w:r>
        <w:rPr>
          <w:rFonts w:ascii="Arial" w:cs="Arial" w:eastAsia="Arial" w:hAnsi="Arial"/>
          <w:sz w:val="18"/>
          <w:szCs w:val="18"/>
          <w:color w:val="auto"/>
        </w:rPr>
        <w:t>In 2020 through June 2021, we provided a childcare subsidy to support employees who incurred additional expenses related to the loss of in person schooling and childcare.</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Diversity and Inclusion</w:t>
      </w:r>
    </w:p>
    <w:p>
      <w:pPr>
        <w:spacing w:after="0" w:line="225" w:lineRule="exact"/>
        <w:rPr>
          <w:sz w:val="20"/>
          <w:szCs w:val="20"/>
          <w:color w:val="auto"/>
        </w:rPr>
      </w:pPr>
    </w:p>
    <w:p>
      <w:pPr>
        <w:ind w:firstLine="300"/>
        <w:spacing w:after="0" w:line="259" w:lineRule="auto"/>
        <w:rPr>
          <w:sz w:val="20"/>
          <w:szCs w:val="20"/>
          <w:color w:val="auto"/>
        </w:rPr>
      </w:pPr>
      <w:r>
        <w:rPr>
          <w:rFonts w:ascii="Arial" w:cs="Arial" w:eastAsia="Arial" w:hAnsi="Arial"/>
          <w:sz w:val="18"/>
          <w:szCs w:val="18"/>
          <w:color w:val="auto"/>
        </w:rPr>
        <w:t>Arrowhead is committed maintaining a welcome, healthy and equitable environment where all employees can excel and contribute to our mission of bringing safe and effective medicine to patients in need. In 2021, we initiated formal training and processes to promote awareness of inclusion and diversity issues for management and employees, including anti-bias training and employee outreach and engagement. In the coming year, we will continue and extend those efforts.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Investor Information</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u w:val="single" w:color="auto"/>
          <w:color w:val="auto"/>
        </w:rPr>
        <w:t>http://www.arrowheadpharmaceuticals.com.</w:t>
      </w:r>
      <w:r>
        <w:rPr>
          <w:rFonts w:ascii="Arial" w:cs="Arial" w:eastAsia="Arial" w:hAnsi="Arial"/>
          <w:sz w:val="16"/>
          <w:szCs w:val="16"/>
          <w:color w:val="auto"/>
        </w:rPr>
        <w:t xml:space="preserve"> Our reports filed or furnished pursuant to Section 13(a) or 15(d) of the Securities Exchange Act of 1934, as amended, including our annual reports on Form 10-K, our quarterly reports on Form 10-Q and our current reports on Form 8-K, and amendments to those reports, are accessible through our website, free of charge, as soon as reasonably practicable after these reports are filed electronically with, or otherwise furnished to, the SEC. These SEC reports can be accessed through the “Investors” section of our website.</w:t>
      </w:r>
    </w:p>
    <w:p>
      <w:pPr>
        <w:spacing w:after="0" w:line="15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 xml:space="preserve">The SEC maintains an Internet website that contains reports, proxy and information statements, and other information regarding Arrowhead and other issuers that file electronically with the SEC. The SEC’s Internet website address is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65" w:right="519" w:bottom="1440" w:gutter="0" w:footer="0" w:header="0"/>
        </w:sectPr>
      </w:pPr>
    </w:p>
    <w:bookmarkStart w:id="34" w:name="page35"/>
    <w:bookmarkEnd w:id="34"/>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60" w:firstLine="578"/>
        <w:spacing w:after="0" w:line="293" w:lineRule="auto"/>
        <w:rPr>
          <w:sz w:val="20"/>
          <w:szCs w:val="20"/>
          <w:color w:val="auto"/>
        </w:rPr>
      </w:pPr>
      <w:r>
        <w:rPr>
          <w:rFonts w:ascii="Arial" w:cs="Arial" w:eastAsia="Arial" w:hAnsi="Arial"/>
          <w:sz w:val="16"/>
          <w:szCs w:val="16"/>
          <w:i w:val="1"/>
          <w:iCs w:val="1"/>
          <w:color w:val="auto"/>
        </w:rPr>
        <w:t>You should carefully consider the risks discussed below and all of the other information contained in this report in evaluating us and an investment in our securities. If any of the following risks and uncertainties should occur, they could have a material adverse effect on our business, financial condition or results of operations. In that case, the trading price of our Common Stock could decline. Many of the following risks and uncertainties may be exacerbated by the COVID-19 pandemic and any worsening of the global business and economic environment as a result. Additionally, we note that we have accrued net losses annually since inception given the stage of our drug development. We urge you to consider our likelihood of success and prospects in light of the risks, expenses and difficulties frequently encountered by entities at similar stages of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Discovery, Development, and Commercialization of Medicines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may be adversely affected by the novel coronavirus (COVID-19) pandemic and other public health epidemics.</w:t>
      </w:r>
    </w:p>
    <w:p>
      <w:pPr>
        <w:spacing w:after="0" w:line="62" w:lineRule="exact"/>
        <w:rPr>
          <w:sz w:val="20"/>
          <w:szCs w:val="20"/>
          <w:color w:val="auto"/>
        </w:rPr>
      </w:pPr>
    </w:p>
    <w:p>
      <w:pPr>
        <w:ind w:right="140" w:firstLine="655"/>
        <w:spacing w:after="0" w:line="253" w:lineRule="auto"/>
        <w:rPr>
          <w:sz w:val="20"/>
          <w:szCs w:val="20"/>
          <w:color w:val="auto"/>
        </w:rPr>
      </w:pPr>
      <w:r>
        <w:rPr>
          <w:rFonts w:ascii="Arial" w:cs="Arial" w:eastAsia="Arial" w:hAnsi="Arial"/>
          <w:sz w:val="18"/>
          <w:szCs w:val="18"/>
          <w:color w:val="auto"/>
        </w:rPr>
        <w:t>Our business and its operations, including but not limited to our research and development activities and our supply chain, could be adversely affected by health epidemics in regions where we have business operations, and such health epidemics could cause significant disruption in the operations of third parties upon whom we rely. In March 2020, the World Health Organization declared the COVID-19 outbreak a global pandemic. In response to public health directives and orders related to COVID-19, we implemented work-from-home policies for substantially all of our employees to the extent work can be performed effectively at home. The effects of executive and similar government orders, shelter-in-place orders and our work-from-home policies may negatively impact our productivity, disrupt our business, increase our expenses, including costs associated with preventive and precautionary measures that we, companies with which we conduct business, and governments are taking, and delay our clinical trials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results of operations and financial condition.</w:t>
      </w:r>
    </w:p>
    <w:p>
      <w:pPr>
        <w:spacing w:after="0" w:line="86" w:lineRule="exact"/>
        <w:rPr>
          <w:sz w:val="20"/>
          <w:szCs w:val="20"/>
          <w:color w:val="auto"/>
        </w:rPr>
      </w:pPr>
    </w:p>
    <w:p>
      <w:pPr>
        <w:ind w:right="60" w:firstLine="655"/>
        <w:spacing w:after="0" w:line="259" w:lineRule="auto"/>
        <w:rPr>
          <w:sz w:val="20"/>
          <w:szCs w:val="20"/>
          <w:color w:val="auto"/>
        </w:rPr>
      </w:pPr>
      <w:r>
        <w:rPr>
          <w:rFonts w:ascii="Arial" w:cs="Arial" w:eastAsia="Arial" w:hAnsi="Arial"/>
          <w:sz w:val="18"/>
          <w:szCs w:val="18"/>
          <w:color w:val="auto"/>
        </w:rPr>
        <w:t>Quarantines, shelter-in-place, executive and similar government orders, or the perception that such orders, shutdowns or other restrictions, including vaccination requirements or mandates, on the conduct of business operations could occur, related to COVID-19 or other infectious diseases, have impacted and may continue to impact personnel at our business partners in the United States and other countries, or our access to raw materials for our research and development facility discovery efforts, which would disrupt our supply chain.</w:t>
      </w:r>
    </w:p>
    <w:p>
      <w:pPr>
        <w:spacing w:after="0" w:line="79" w:lineRule="exact"/>
        <w:rPr>
          <w:sz w:val="20"/>
          <w:szCs w:val="20"/>
          <w:color w:val="auto"/>
        </w:rPr>
      </w:pPr>
    </w:p>
    <w:p>
      <w:pPr>
        <w:jc w:val="both"/>
        <w:ind w:right="80" w:firstLine="655"/>
        <w:spacing w:after="0" w:line="263" w:lineRule="auto"/>
        <w:rPr>
          <w:sz w:val="20"/>
          <w:szCs w:val="20"/>
          <w:color w:val="auto"/>
        </w:rPr>
      </w:pPr>
      <w:r>
        <w:rPr>
          <w:rFonts w:ascii="Arial" w:cs="Arial" w:eastAsia="Arial" w:hAnsi="Arial"/>
          <w:sz w:val="18"/>
          <w:szCs w:val="18"/>
          <w:color w:val="auto"/>
        </w:rPr>
        <w:t>In addition, our clinical trials and preclinical programs have been and continue to be affected by the COVID-19 pandemic. For example, we have experienced delays in our earlier stage programs due to a shortage in non-human primates which are critical for our preclinical programs. Additionally, we have experienced delays in enrollment in our clinical trials.</w:t>
      </w:r>
    </w:p>
    <w:p>
      <w:pPr>
        <w:spacing w:after="0" w:line="76" w:lineRule="exact"/>
        <w:rPr>
          <w:sz w:val="20"/>
          <w:szCs w:val="20"/>
          <w:color w:val="auto"/>
        </w:rPr>
      </w:pPr>
    </w:p>
    <w:p>
      <w:pPr>
        <w:ind w:right="100" w:firstLine="655"/>
        <w:spacing w:after="0" w:line="254" w:lineRule="auto"/>
        <w:rPr>
          <w:sz w:val="20"/>
          <w:szCs w:val="20"/>
          <w:color w:val="auto"/>
        </w:rPr>
      </w:pPr>
      <w:r>
        <w:rPr>
          <w:rFonts w:ascii="Arial" w:cs="Arial" w:eastAsia="Arial" w:hAnsi="Arial"/>
          <w:sz w:val="18"/>
          <w:szCs w:val="18"/>
          <w:color w:val="auto"/>
        </w:rPr>
        <w:t>Additionally, the Company’s operations at its research and development facilities in Madison, Wisconsin and San Diego, California, as well as its corporate headquarters in Pasadena, California have continued to operate with limited impact, other than for enhanced safety measures, including work from home policies. However, the Company cannot predict the impact that the progression of COVID-19 will have on future financial results due to a variety of factors including the ability of the Company’s clinical sites to continue to enroll subjects, the ability of the Company’s suppliers to continue to operate, the continued good health and safety of the Company’s employees, and ultimately the length of the COVID-19 pandemic, which in turn may be impacted by the efficacy, distribution and public acceptance of vaccines and treatments. If COVID-19 continues to spread in the United States and elsewhere, including as a result of mutations or variants, we may experience additional disruptions that could severely impact our business, preclinical studies and clinical trials, including:</w:t>
      </w:r>
    </w:p>
    <w:p>
      <w:pPr>
        <w:spacing w:after="0" w:line="84"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receiving authorization from local regulatory authorities to initiate any planned clinical trials;</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9"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interruption in global shipping that may affect the transport of clinical trial materials;</w:t>
      </w:r>
    </w:p>
    <w:p>
      <w:pPr>
        <w:ind w:left="740" w:right="38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our clinical trials are conducted, which may result in unexpected costs, or to discontinue the clinical trials altogether;</w:t>
      </w:r>
    </w:p>
    <w:p>
      <w:pPr>
        <w:ind w:left="740" w:right="30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ind w:left="740" w:right="12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and data entry and verification, due to limitations on travel imposed or recommended by federal or state governments, employers and others, or interruption of clinical trial subject visits and study procedures, the occurrence of which could affect the completeness and integrity of clinical trial data and, as a result, the determine the outcomes of the trial;</w:t>
      </w:r>
    </w:p>
    <w:p>
      <w:pPr>
        <w:spacing w:after="0" w:line="1" w:lineRule="exact"/>
        <w:rPr>
          <w:rFonts w:ascii="Arial" w:cs="Arial" w:eastAsia="Arial" w:hAnsi="Arial"/>
          <w:sz w:val="18"/>
          <w:szCs w:val="18"/>
          <w:color w:val="auto"/>
        </w:rPr>
      </w:pPr>
    </w:p>
    <w:p>
      <w:pPr>
        <w:ind w:left="740" w:right="20" w:hanging="368"/>
        <w:spacing w:after="0" w:line="26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ind w:left="740" w:right="100" w:hanging="368"/>
        <w:spacing w:after="0" w:line="258"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not be able to travel to our clinical trial sites as a result of quarantines or other restrictions resulting from COVID-19;</w:t>
      </w:r>
    </w:p>
    <w:p>
      <w:pPr>
        <w:spacing w:after="0" w:line="1" w:lineRule="exact"/>
        <w:rPr>
          <w:rFonts w:ascii="Arial" w:cs="Arial" w:eastAsia="Arial" w:hAnsi="Arial"/>
          <w:sz w:val="18"/>
          <w:szCs w:val="18"/>
          <w:color w:val="auto"/>
        </w:rPr>
      </w:pPr>
    </w:p>
    <w:p>
      <w:pPr>
        <w:ind w:left="740" w:right="60" w:hanging="368"/>
        <w:spacing w:after="0" w:line="250"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not be able to comply with clinical trial protocols if quarantines impede patient movement or interrupt healthcare services;</w:t>
      </w:r>
    </w:p>
    <w:p>
      <w:pPr>
        <w:ind w:left="740" w:hanging="368"/>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interruptions or delays in preclinical studies due to restricted or limited operations at our research and development laboratory facilities;</w:t>
      </w:r>
    </w:p>
    <w:p>
      <w:pPr>
        <w:spacing w:after="0" w:line="20" w:lineRule="exact"/>
        <w:rPr>
          <w:rFonts w:ascii="Arial" w:cs="Arial" w:eastAsia="Arial" w:hAnsi="Arial"/>
          <w:sz w:val="17"/>
          <w:szCs w:val="17"/>
          <w:color w:val="auto"/>
        </w:rPr>
      </w:pPr>
    </w:p>
    <w:p>
      <w:pPr>
        <w:ind w:left="740" w:right="440" w:hanging="368"/>
        <w:spacing w:after="0" w:line="281"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delays in necessary interactions with local regulators, ethics committees and other important agencies and contractors due to limitations in employee resources, forced furlough of government employees or diversion of government resources to focus on the COVID-19 pandemic;</w:t>
      </w:r>
    </w:p>
    <w:p>
      <w:pPr>
        <w:spacing w:after="0" w:line="1" w:lineRule="exact"/>
        <w:rPr>
          <w:rFonts w:ascii="Arial" w:cs="Arial" w:eastAsia="Arial" w:hAnsi="Arial"/>
          <w:sz w:val="16"/>
          <w:szCs w:val="16"/>
          <w:color w:val="auto"/>
        </w:rPr>
      </w:pPr>
    </w:p>
    <w:p>
      <w:pPr>
        <w:ind w:left="740" w:right="700" w:hanging="368"/>
        <w:spacing w:after="0" w:line="250"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 or delays to our clinical activities.</w:t>
      </w:r>
    </w:p>
    <w:p>
      <w:pPr>
        <w:spacing w:after="0" w:line="103" w:lineRule="exact"/>
        <w:rPr>
          <w:sz w:val="20"/>
          <w:szCs w:val="20"/>
          <w:color w:val="auto"/>
        </w:rPr>
      </w:pPr>
    </w:p>
    <w:p>
      <w:pPr>
        <w:ind w:right="40" w:firstLine="655"/>
        <w:spacing w:after="0" w:line="257" w:lineRule="auto"/>
        <w:rPr>
          <w:sz w:val="20"/>
          <w:szCs w:val="20"/>
          <w:color w:val="auto"/>
        </w:rPr>
      </w:pPr>
      <w:r>
        <w:rPr>
          <w:rFonts w:ascii="Arial" w:cs="Arial" w:eastAsia="Arial" w:hAnsi="Arial"/>
          <w:sz w:val="18"/>
          <w:szCs w:val="18"/>
          <w:color w:val="auto"/>
        </w:rPr>
        <w:t>The spread of COVID-19, which has caused a broad impact globally, may materially affect us economically. While the long-term economic impact brought by COVID-19, and the duration of such impact, may be difficult to assess or predict, the widespread pandemic has resulted in significant disruption of global financial markets, which could reduce our ability to access capital and negatively affect our future liquidity. In addition, a recession or market correction resulting from the spread of COVID-19 and related government orders and restrictions could materially affect our business and the value of our common stock.</w:t>
      </w:r>
    </w:p>
    <w:p>
      <w:pPr>
        <w:spacing w:after="0" w:line="80" w:lineRule="exact"/>
        <w:rPr>
          <w:sz w:val="20"/>
          <w:szCs w:val="20"/>
          <w:color w:val="auto"/>
        </w:rPr>
      </w:pPr>
    </w:p>
    <w:p>
      <w:pPr>
        <w:ind w:right="260" w:firstLine="655"/>
        <w:spacing w:after="0" w:line="259" w:lineRule="auto"/>
        <w:rPr>
          <w:sz w:val="20"/>
          <w:szCs w:val="20"/>
          <w:color w:val="auto"/>
        </w:rPr>
      </w:pPr>
      <w:r>
        <w:rPr>
          <w:rFonts w:ascii="Arial" w:cs="Arial" w:eastAsia="Arial" w:hAnsi="Arial"/>
          <w:sz w:val="18"/>
          <w:szCs w:val="18"/>
          <w:color w:val="auto"/>
        </w:rPr>
        <w:t>The COVID-19 pandemic continues to evolve rapidly. The ultimate impact of the COVID-19 pandemic or a similar public health emergency is highly uncertain and subject to change. We do not yet know the full extent of potential delays or impacts on our business, our clinical trials, healthcare systems, or the global economy as a whole. However, any one or a combination of these events could have an adverse effect on our results of operations and financial condition.</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our new drugs, and, as a result, we may not be able to successfully develop products for commercial use.</w:t>
      </w:r>
    </w:p>
    <w:p>
      <w:pPr>
        <w:spacing w:after="0" w:line="62" w:lineRule="exact"/>
        <w:rPr>
          <w:sz w:val="20"/>
          <w:szCs w:val="20"/>
          <w:color w:val="auto"/>
        </w:rPr>
      </w:pPr>
    </w:p>
    <w:p>
      <w:pPr>
        <w:ind w:right="120" w:firstLine="578"/>
        <w:spacing w:after="0" w:line="286" w:lineRule="auto"/>
        <w:rPr>
          <w:sz w:val="20"/>
          <w:szCs w:val="20"/>
          <w:color w:val="auto"/>
        </w:rPr>
      </w:pPr>
      <w:r>
        <w:rPr>
          <w:rFonts w:ascii="Arial" w:cs="Arial" w:eastAsia="Arial" w:hAnsi="Arial"/>
          <w:sz w:val="16"/>
          <w:szCs w:val="16"/>
          <w:color w:val="auto"/>
        </w:rPr>
        <w:t>Our research and development efforts involve therapeutics based on RNA interference and our delivery systems, which are largely unproven technologies. Our scientists and engineers are working on developing technology in the early stages. However, such technology’s commercial feasibility and acceptance are unknown. Scientific research and development requires significant amounts of capital and takes a long time to reach commercial viability if it can be achieved at all. To date, our research and development projects have not produced commercially viable drugs and may never do so. During the research and development process, we may experience technological barriers that we may be unable to overcome. Because we use platform technology to develop drug candidates, toxicology signals that may emerge in the course of testing of one particular candidate may apply broadly across our drug candidate platform. Further, certain underlying premises in our development programs are not proven and many of the drug targets that we are pursuing have not yet been validated clinically. For instance, the reduction of the production of mutant alpha-1 antitrypsin in the liver may not lead to a reduction of globules in the liver, and even if it leads to a reduction in such globules, this may not lead to other beneficial hepatic changes. It is also unknown at this time what changes in the liver may be required to gain regulatory approval and/or favorable reimbursement for a drug that reduces the production of mutant alpha-1 antitrypsin in the liver. Similar uncertainties and risks exist that are specific to each of our development programs. Because of these and similar uncertainties, it is possible that no commercial products will be successfully developed. If we are unable to successfully develop commercial products, we will be unable to generate revenue or build a sustainable or profitable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our product candidates will obtain regulatory approval.</w:t>
      </w:r>
    </w:p>
    <w:p>
      <w:pPr>
        <w:spacing w:after="0" w:line="117" w:lineRule="exact"/>
        <w:rPr>
          <w:sz w:val="20"/>
          <w:szCs w:val="20"/>
          <w:color w:val="auto"/>
        </w:rPr>
      </w:pPr>
    </w:p>
    <w:p>
      <w:pPr>
        <w:ind w:right="600" w:firstLine="578"/>
        <w:spacing w:after="0" w:line="277" w:lineRule="auto"/>
        <w:rPr>
          <w:sz w:val="20"/>
          <w:szCs w:val="20"/>
          <w:color w:val="auto"/>
        </w:rPr>
      </w:pPr>
      <w:r>
        <w:rPr>
          <w:rFonts w:ascii="Arial" w:cs="Arial" w:eastAsia="Arial" w:hAnsi="Arial"/>
          <w:sz w:val="18"/>
          <w:szCs w:val="18"/>
          <w:color w:val="auto"/>
        </w:rPr>
        <w:t>The sale of human therapeutic products in the United States and foreign jurisdictions is subject to extensive and time consuming regulatory approval which requires, among other things:</w:t>
      </w:r>
    </w:p>
    <w:p>
      <w:pPr>
        <w:spacing w:after="0" w:line="62" w:lineRule="exact"/>
        <w:rPr>
          <w:sz w:val="20"/>
          <w:szCs w:val="20"/>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controlled research and human clinical testing;</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establishment of the safety and efficacy of the product;</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review and approval of a submission containing manufacturing, pre-clinical and clinical data;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adherence to cGMP regulations during production and storage.</w:t>
      </w:r>
    </w:p>
    <w:p>
      <w:pPr>
        <w:spacing w:after="0" w:line="211" w:lineRule="exact"/>
        <w:rPr>
          <w:sz w:val="20"/>
          <w:szCs w:val="20"/>
          <w:color w:val="auto"/>
        </w:rPr>
      </w:pPr>
    </w:p>
    <w:p>
      <w:pPr>
        <w:ind w:right="20" w:firstLine="578"/>
        <w:spacing w:after="0" w:line="291" w:lineRule="auto"/>
        <w:rPr>
          <w:sz w:val="20"/>
          <w:szCs w:val="20"/>
          <w:color w:val="auto"/>
        </w:rPr>
      </w:pPr>
      <w:r>
        <w:rPr>
          <w:rFonts w:ascii="Arial" w:cs="Arial" w:eastAsia="Arial" w:hAnsi="Arial"/>
          <w:sz w:val="16"/>
          <w:szCs w:val="16"/>
          <w:color w:val="auto"/>
        </w:rPr>
        <w:t>The product candidates we currently have under development will require significant development, pre-clinical and clinical testing and investment of significant funds to gain regulatory approval before they can be commercialized. The results of our research and human clinical testing of our products may not meet regulatory requirements. Some of our product candidates, if approved, will require the completion of post-market studies. There can be no assurance that any of our products will be further developed and approved. The process of completing clinical testing and obtaining required approvals will take a number of years and require the use of substantial resources. Further, there can be no assurance that product candidates employing a new technology will be shown to be safe and effective in clinical trials or receive applicable regulatory approvals. If we fail to obtain regulatory approvals for any or all of our products, we will not be able to market such product and our operations may be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If testing of a particular product candidate does not yield successful results, then we will be unable to commercialize that product candidate.</w:t>
      </w:r>
    </w:p>
    <w:p>
      <w:pPr>
        <w:spacing w:after="0" w:line="140" w:lineRule="exact"/>
        <w:rPr>
          <w:sz w:val="20"/>
          <w:szCs w:val="20"/>
          <w:color w:val="auto"/>
        </w:rPr>
      </w:pPr>
    </w:p>
    <w:p>
      <w:pPr>
        <w:jc w:val="both"/>
        <w:ind w:right="420" w:firstLine="578"/>
        <w:spacing w:after="0" w:line="263" w:lineRule="auto"/>
        <w:rPr>
          <w:sz w:val="20"/>
          <w:szCs w:val="20"/>
          <w:color w:val="auto"/>
        </w:rPr>
      </w:pPr>
      <w:r>
        <w:rPr>
          <w:rFonts w:ascii="Arial" w:cs="Arial" w:eastAsia="Arial" w:hAnsi="Arial"/>
          <w:sz w:val="18"/>
          <w:szCs w:val="18"/>
          <w:color w:val="auto"/>
        </w:rPr>
        <w:t>We must demonstrate our product candidates’ safety and efficacy in humans through extensive clinical testing. Our research and development programs are at an early stage of development. We may experience numerous unforeseen events during, or as a result of, the testing process that could delay or prevent commercialization of any products, including the following:</w:t>
      </w:r>
    </w:p>
    <w:p>
      <w:pPr>
        <w:spacing w:after="0" w:line="76" w:lineRule="exact"/>
        <w:rPr>
          <w:sz w:val="20"/>
          <w:szCs w:val="20"/>
          <w:color w:val="auto"/>
        </w:rPr>
      </w:pPr>
    </w:p>
    <w:p>
      <w:pPr>
        <w:ind w:left="740" w:hanging="368"/>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results of pre-clinical studies may be inconclusive, or they may not be indicative of results that will be obtained in human clinical trials;</w:t>
      </w:r>
    </w:p>
    <w:p>
      <w:pPr>
        <w:spacing w:after="0" w:line="34" w:lineRule="exact"/>
        <w:rPr>
          <w:rFonts w:ascii="Arial" w:cs="Arial" w:eastAsia="Arial" w:hAnsi="Arial"/>
          <w:sz w:val="17"/>
          <w:szCs w:val="17"/>
          <w:color w:val="auto"/>
        </w:rPr>
      </w:pPr>
    </w:p>
    <w:p>
      <w:pPr>
        <w:ind w:left="740" w:hanging="368"/>
        <w:spacing w:after="0"/>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safety and efficacy results attained in early human clinical trials may not be indicative of results that are obtained in later clinical trials;</w:t>
      </w:r>
    </w:p>
    <w:p>
      <w:pPr>
        <w:spacing w:after="0" w:line="20" w:lineRule="exact"/>
        <w:rPr>
          <w:rFonts w:ascii="Arial" w:cs="Arial" w:eastAsia="Arial" w:hAnsi="Arial"/>
          <w:sz w:val="17"/>
          <w:szCs w:val="17"/>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after reviewing test results, we may abandon projects that we might previously have believed to be promising;</w:t>
      </w:r>
    </w:p>
    <w:p>
      <w:pPr>
        <w:spacing w:after="0" w:line="9" w:lineRule="exact"/>
        <w:rPr>
          <w:rFonts w:ascii="Arial" w:cs="Arial" w:eastAsia="Arial" w:hAnsi="Arial"/>
          <w:sz w:val="18"/>
          <w:szCs w:val="18"/>
          <w:color w:val="auto"/>
        </w:rPr>
      </w:pPr>
    </w:p>
    <w:p>
      <w:pPr>
        <w:ind w:left="740" w:right="400" w:hanging="368"/>
        <w:spacing w:after="0" w:line="250"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our regulators may suspend or terminate clinical trials because the participating subjects or patients are being exposed to unacceptable health risks; and</w:t>
      </w:r>
    </w:p>
    <w:p>
      <w:pPr>
        <w:ind w:left="740" w:right="200" w:hanging="368"/>
        <w:spacing w:after="0" w:line="260"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not have the desired effects or may include undesirable side effects or other characteristics that preclude regulatory approval or limit their commercial use if approved.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Topline data may not accurately reflect the complete results of a particular study or trial.</w:t>
      </w:r>
    </w:p>
    <w:p>
      <w:pPr>
        <w:spacing w:after="0" w:line="117" w:lineRule="exact"/>
        <w:rPr>
          <w:sz w:val="20"/>
          <w:szCs w:val="20"/>
          <w:color w:val="auto"/>
        </w:rPr>
      </w:pPr>
    </w:p>
    <w:p>
      <w:pPr>
        <w:ind w:right="20" w:firstLine="578"/>
        <w:spacing w:after="0" w:line="285" w:lineRule="auto"/>
        <w:rPr>
          <w:sz w:val="20"/>
          <w:szCs w:val="20"/>
          <w:color w:val="auto"/>
        </w:rPr>
      </w:pPr>
      <w:r>
        <w:rPr>
          <w:rFonts w:ascii="Arial" w:cs="Arial" w:eastAsia="Arial" w:hAnsi="Arial"/>
          <w:sz w:val="16"/>
          <w:szCs w:val="16"/>
          <w:color w:val="auto"/>
        </w:rPr>
        <w:t>We may publicly disclose topline or interim data from time to time, which is based on a preliminary analysis of then-available efficacy and safety data such as the data reported from the AROAAT2002, AROANG31001, and AROAPOC31001 clinical studies which are based on preliminary analysis of key efficacy and safety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Further, others, including regulatory agencies, may not accept or agree with our assumptions, estimations,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may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 future analysis of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take us longer than we project to complete clinical trials, and we may not be able to complete them at all.</w:t>
      </w:r>
    </w:p>
    <w:p>
      <w:pPr>
        <w:spacing w:after="0" w:line="117" w:lineRule="exact"/>
        <w:rPr>
          <w:sz w:val="20"/>
          <w:szCs w:val="20"/>
          <w:color w:val="auto"/>
        </w:rPr>
      </w:pPr>
    </w:p>
    <w:p>
      <w:pPr>
        <w:ind w:firstLine="578"/>
        <w:spacing w:after="0" w:line="291" w:lineRule="auto"/>
        <w:rPr>
          <w:sz w:val="20"/>
          <w:szCs w:val="20"/>
          <w:color w:val="auto"/>
        </w:rPr>
      </w:pPr>
      <w:r>
        <w:rPr>
          <w:rFonts w:ascii="Arial" w:cs="Arial" w:eastAsia="Arial" w:hAnsi="Arial"/>
          <w:sz w:val="16"/>
          <w:szCs w:val="16"/>
          <w:color w:val="auto"/>
        </w:rPr>
        <w:t>Although for planning purposes, we project the commencement, continuation and completion of our clinical trials, a number of factors, including scheduling conflicts with participating clinicians and clinical institutions, and difficulties in identifying or enrolling patients who meet trial eligibility criteria, may cause significant delays. Enrollment of clinical trials may be particularly difficult in orphan diseases or limited-sized patient populations. The FDA or other regulatory bodies may require additional, longer or broader clinical trials to establish safety and effectiveness, notwithstanding guidance the Company may have received from those bodies during clinical trial planning and execution. Further, the cost for conducting clinical trials is significant and if our cash resources become limited we may not be able to commence, continue, and/or complete our clinical trials. We may not commence or complete clinical trials involving any of our product candidates as projected or may not conduct them successfully.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Breakthrough Therapy designation for ARO-AAT may not lead to a faster development or review process.</w:t>
      </w:r>
    </w:p>
    <w:p>
      <w:pPr>
        <w:spacing w:after="0" w:line="117" w:lineRule="exact"/>
        <w:rPr>
          <w:sz w:val="20"/>
          <w:szCs w:val="20"/>
          <w:color w:val="auto"/>
        </w:rPr>
      </w:pPr>
    </w:p>
    <w:p>
      <w:pPr>
        <w:ind w:right="40" w:firstLine="578"/>
        <w:spacing w:after="0" w:line="273" w:lineRule="auto"/>
        <w:rPr>
          <w:sz w:val="20"/>
          <w:szCs w:val="20"/>
          <w:color w:val="auto"/>
        </w:rPr>
      </w:pPr>
      <w:r>
        <w:rPr>
          <w:rFonts w:ascii="Arial" w:cs="Arial" w:eastAsia="Arial" w:hAnsi="Arial"/>
          <w:sz w:val="17"/>
          <w:szCs w:val="17"/>
          <w:color w:val="auto"/>
        </w:rPr>
        <w:t>We have been granted a Breakthrough Therapy designation for ARO-AAT in the United States for the treatment of liver disease associated with AATD. Breakthrough Therapy designation is intended to facilitate the development and expedite the review of new therapies to treat serious conditions with unmet medical needs by providing sponsors with the opportunity for frequent interactions and additional drug development guidance with the FDA and its senior managers.Breakthrough Therapy designation applies to the combination of the drug candidate and the specific indication for which it is being studied. Product candidates that receive Breakthrough Therapy designation may receive more frequent interactions with the FDA regarding the product candidate’s development plan and clinical trials and may be eligible for the FDA’s Rolling Review.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right="20" w:firstLine="300"/>
        <w:spacing w:after="0" w:line="259" w:lineRule="auto"/>
        <w:rPr>
          <w:sz w:val="20"/>
          <w:szCs w:val="20"/>
          <w:color w:val="auto"/>
        </w:rPr>
      </w:pPr>
      <w:r>
        <w:rPr>
          <w:rFonts w:ascii="Arial" w:cs="Arial" w:eastAsia="Arial" w:hAnsi="Arial"/>
          <w:sz w:val="18"/>
          <w:szCs w:val="18"/>
          <w:color w:val="auto"/>
        </w:rPr>
        <w:t>Despite receiving Breakthrough Therapy designation, ARO-AAT may not actually receive faster clinical development or regulatory review or approval any sooner than other product candidates that do not have such designation, or at all. Furthermore, such a designation does not increase the likelihood that ARO-AAT will receive marketing approval in the United States. The FDA may also rescind Breakthrough Therapy designation if it determines that ARO-AAT no longer meets the relevant criteria.</w:t>
      </w:r>
    </w:p>
    <w:p>
      <w:pPr>
        <w:spacing w:after="0" w:line="29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our product candidates are approved for commercialization, failure to comply with regulatory requirements or unanticipated problems with our products may result in various adverse actions such as the suspension or withdrawal of one or more of our products, closure of a facility or enforcement of substantial penalties or fines.</w:t>
      </w:r>
    </w:p>
    <w:p>
      <w:pPr>
        <w:spacing w:after="0" w:line="76" w:lineRule="exact"/>
        <w:rPr>
          <w:sz w:val="20"/>
          <w:szCs w:val="20"/>
          <w:color w:val="auto"/>
        </w:rPr>
      </w:pPr>
    </w:p>
    <w:p>
      <w:pPr>
        <w:ind w:right="160" w:firstLine="655"/>
        <w:spacing w:after="0" w:line="253" w:lineRule="auto"/>
        <w:rPr>
          <w:sz w:val="20"/>
          <w:szCs w:val="20"/>
          <w:color w:val="auto"/>
        </w:rPr>
      </w:pPr>
      <w:r>
        <w:rPr>
          <w:rFonts w:ascii="Arial" w:cs="Arial" w:eastAsia="Arial" w:hAnsi="Arial"/>
          <w:sz w:val="18"/>
          <w:szCs w:val="18"/>
          <w:color w:val="auto"/>
        </w:rPr>
        <w:t>If regulatory approval to sell any of our product candidates is received, regulatory agencies will subject any marketed product(s), as well as the manufacturing facilities, to continual review and periodic inspection. If previously unknown problems with a product or with regulatory requirements are discovered, such as adverse events of unanticipated severity or frequency, problems with a manufacturing process or laboratory facility, or failure to comply with applicable regulatory approval requirements, a regulatory agency may impose restrictions or penalties on that product or on us. Such restrictions or penalties may include, among other things:</w:t>
      </w:r>
    </w:p>
    <w:p>
      <w:pPr>
        <w:spacing w:after="0" w:line="3" w:lineRule="exact"/>
        <w:rPr>
          <w:sz w:val="20"/>
          <w:szCs w:val="20"/>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the withdrawal of the product from the market or product recalls;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warning letters or holds on clinical trials;</w:t>
      </w:r>
    </w:p>
    <w:p>
      <w:pPr>
        <w:spacing w:after="0" w:line="9" w:lineRule="exact"/>
        <w:rPr>
          <w:rFonts w:ascii="Arial" w:cs="Arial" w:eastAsia="Arial" w:hAnsi="Arial"/>
          <w:sz w:val="18"/>
          <w:szCs w:val="18"/>
          <w:color w:val="auto"/>
        </w:rPr>
      </w:pPr>
    </w:p>
    <w:p>
      <w:pPr>
        <w:ind w:left="740" w:right="740" w:hanging="368"/>
        <w:spacing w:after="0" w:line="250"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closure of the facility, enforcement of substantial fines, injunctions, or the imposition of civil or criminal penalties.</w:t>
      </w:r>
    </w:p>
    <w:p>
      <w:pPr>
        <w:spacing w:after="0" w:line="21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Even if our product candidates are approved for commercialization, future regulatory reviews or inspections may result in the suspension or withdrawal of one or more of our products, closure of a facility or enforcement of substantial fines.</w:t>
      </w:r>
    </w:p>
    <w:p>
      <w:pPr>
        <w:spacing w:after="0" w:line="62" w:lineRule="exact"/>
        <w:rPr>
          <w:sz w:val="20"/>
          <w:szCs w:val="20"/>
          <w:color w:val="auto"/>
        </w:rPr>
      </w:pPr>
    </w:p>
    <w:p>
      <w:pPr>
        <w:ind w:right="40" w:firstLine="655"/>
        <w:spacing w:after="0" w:line="301" w:lineRule="auto"/>
        <w:rPr>
          <w:sz w:val="20"/>
          <w:szCs w:val="20"/>
          <w:color w:val="auto"/>
        </w:rPr>
      </w:pPr>
      <w:r>
        <w:rPr>
          <w:rFonts w:ascii="Arial" w:cs="Arial" w:eastAsia="Arial" w:hAnsi="Arial"/>
          <w:sz w:val="16"/>
          <w:szCs w:val="16"/>
          <w:color w:val="auto"/>
        </w:rPr>
        <w:t>If regulatory approval to sell any of our product candidates is received, regulatory agencies will subject any marketed product(s), as well as the manufacturing facilities, to continual review and periodic inspection. If previously unknown problems with a product or manufacturing and laboratory facility are discovered, or we fail to comply with applicable regulatory approval requirements, a regulatory agency may impose restrictions on that product or on us. The agency may require the withdrawal of the product from the market, closure of the facility or enforcement of substantial fines.</w:t>
      </w:r>
    </w:p>
    <w:p>
      <w:pPr>
        <w:spacing w:after="0" w:line="1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face potential product liability exposure, and if successful claims are brought against us, we may incur substantial liability for a product candidate and may have to limit its commercialization.</w:t>
      </w:r>
    </w:p>
    <w:p>
      <w:pPr>
        <w:spacing w:after="0" w:line="62" w:lineRule="exact"/>
        <w:rPr>
          <w:sz w:val="20"/>
          <w:szCs w:val="20"/>
          <w:color w:val="auto"/>
        </w:rPr>
      </w:pPr>
    </w:p>
    <w:p>
      <w:pPr>
        <w:ind w:right="20" w:firstLine="655"/>
        <w:spacing w:after="0" w:line="259"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 us to the risk of product liability claims. Product liability claims might be brought against us by clinical trial participants, consumers, health-care providers, pharmaceutical companies, or others selling our products. If we cannot successfully defend ourselves against these claims, we may incur substantial liabilities. Regardless of merit or eventual outcomes of such claims, product liability claims may result in:</w:t>
      </w:r>
    </w:p>
    <w:p>
      <w:pPr>
        <w:spacing w:after="0" w:line="79" w:lineRule="exact"/>
        <w:rPr>
          <w:sz w:val="20"/>
          <w:szCs w:val="20"/>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litigation;</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03" w:lineRule="exact"/>
        <w:rPr>
          <w:sz w:val="20"/>
          <w:szCs w:val="20"/>
          <w:color w:val="auto"/>
        </w:rPr>
      </w:pPr>
    </w:p>
    <w:p>
      <w:pPr>
        <w:ind w:right="20" w:firstLine="655"/>
        <w:spacing w:after="0" w:line="263" w:lineRule="auto"/>
        <w:rPr>
          <w:sz w:val="20"/>
          <w:szCs w:val="20"/>
          <w:color w:val="auto"/>
        </w:rPr>
      </w:pPr>
      <w:r>
        <w:rPr>
          <w:rFonts w:ascii="Arial" w:cs="Arial" w:eastAsia="Arial" w:hAnsi="Arial"/>
          <w:sz w:val="18"/>
          <w:szCs w:val="18"/>
          <w:color w:val="auto"/>
        </w:rPr>
        <w:t>Our insurance coverage may not be sufficient to reimburse us for all expenses or losses we may suffer. Moreover, insurance coverage is becoming increasingly expensive and, in the future, we may not be able to maintain insurance coverage at a reasonable cost or in sufficient amounts to protect us against losses.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if approved, will depend in part on the extent to which government authorities and health insurers establish adequate reimbursement levels and pricing policies.</w:t>
      </w:r>
    </w:p>
    <w:p>
      <w:pPr>
        <w:spacing w:after="0" w:line="62" w:lineRule="exact"/>
        <w:rPr>
          <w:sz w:val="20"/>
          <w:szCs w:val="20"/>
          <w:color w:val="auto"/>
        </w:rPr>
      </w:pPr>
    </w:p>
    <w:p>
      <w:pPr>
        <w:ind w:right="40" w:firstLine="655"/>
        <w:spacing w:after="0" w:line="290" w:lineRule="auto"/>
        <w:rPr>
          <w:sz w:val="20"/>
          <w:szCs w:val="20"/>
          <w:color w:val="auto"/>
        </w:rPr>
      </w:pPr>
      <w:r>
        <w:rPr>
          <w:rFonts w:ascii="Arial" w:cs="Arial" w:eastAsia="Arial" w:hAnsi="Arial"/>
          <w:sz w:val="16"/>
          <w:szCs w:val="16"/>
          <w:color w:val="auto"/>
        </w:rPr>
        <w:t>Sales of any approved drug candidate will depend in part on the availability of coverage and reimbursement from third-party payers such as government insurance programs, including Medicare and Medicaid, private health insurers, health maintenance organizations and other health care related organizations, who are increasingly challenging the price of medical products and services. Accordingly, coverage and reimbursement may be uncertain. Adoption of any drug by the medical community may be limited if third-party payers will not offer coverage. Additionally, significant uncertainty exists as to the reimbursement status of newly approved drugs. Cost control initiatives may decrease coverage and payment levels for any drug and, in turn, the price that we will be able to charge and/or the volume of our sales. We are unable to predict all changes to the coverage or reimbursement methodologies that will be applied by private or government payers. Any denial of private or government payer coverage or inadequate reimbursement could harm our business and reduce our revenue. If we partner with third parties with respect to any of our product candidates, we may be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8" w:name="page39"/>
    <w:bookmarkEnd w:id="38"/>
    <w:p>
      <w:pPr>
        <w:ind w:right="280"/>
        <w:spacing w:after="0" w:line="277" w:lineRule="auto"/>
        <w:rPr>
          <w:sz w:val="20"/>
          <w:szCs w:val="20"/>
          <w:color w:val="auto"/>
        </w:rPr>
      </w:pPr>
      <w:r>
        <w:rPr>
          <w:rFonts w:ascii="Arial" w:cs="Arial" w:eastAsia="Arial" w:hAnsi="Arial"/>
          <w:sz w:val="18"/>
          <w:szCs w:val="18"/>
          <w:color w:val="auto"/>
        </w:rPr>
        <w:t>reliant on that partner to obtain reimbursement from government and private payors for the drug, if approved, and any failure of that partner to establish adequate reimbursement could have a negative impact on our revenues and profitability.</w:t>
      </w:r>
    </w:p>
    <w:p>
      <w:pPr>
        <w:spacing w:after="0" w:line="62" w:lineRule="exact"/>
        <w:rPr>
          <w:sz w:val="20"/>
          <w:szCs w:val="20"/>
          <w:color w:val="auto"/>
        </w:rPr>
      </w:pPr>
    </w:p>
    <w:p>
      <w:pPr>
        <w:ind w:firstLine="655"/>
        <w:spacing w:after="0" w:line="255" w:lineRule="auto"/>
        <w:rPr>
          <w:sz w:val="20"/>
          <w:szCs w:val="20"/>
          <w:color w:val="auto"/>
        </w:rPr>
      </w:pPr>
      <w:r>
        <w:rPr>
          <w:rFonts w:ascii="Arial" w:cs="Arial" w:eastAsia="Arial" w:hAnsi="Arial"/>
          <w:sz w:val="18"/>
          <w:szCs w:val="18"/>
          <w:color w:val="auto"/>
        </w:rPr>
        <w:t>In addition, both the federal and state governments in the United States and foreign governments continue to propose and pass new legislation, regulations, and policies affecting coverage and reimbursement rates, which are designed to contain or reduce the cost of health care. Further federal and state proposals and healthcare reforms are likely, which could limit the prices that can be charged for the product candidates that we develop and may further limit our commercial opportunity. There may be future changes that result in reductions in potential coverage and reimbursement levels for our product candidates, if approved and commercialized, and we cannot predict the scope of any future changes or the impact that those changes would have on our operations.</w:t>
      </w:r>
    </w:p>
    <w:p>
      <w:pPr>
        <w:spacing w:after="0" w:line="84" w:lineRule="exact"/>
        <w:rPr>
          <w:sz w:val="20"/>
          <w:szCs w:val="20"/>
          <w:color w:val="auto"/>
        </w:rPr>
      </w:pPr>
    </w:p>
    <w:p>
      <w:pPr>
        <w:ind w:right="220" w:firstLine="655"/>
        <w:spacing w:after="0" w:line="277" w:lineRule="auto"/>
        <w:rPr>
          <w:sz w:val="20"/>
          <w:szCs w:val="20"/>
          <w:color w:val="auto"/>
        </w:rPr>
      </w:pPr>
      <w:r>
        <w:rPr>
          <w:rFonts w:ascii="Arial" w:cs="Arial" w:eastAsia="Arial" w:hAnsi="Arial"/>
          <w:sz w:val="18"/>
          <w:szCs w:val="18"/>
          <w:color w:val="auto"/>
        </w:rPr>
        <w:t>If future reimbursement for approved product candidates, if any, is substantially less than we project, or rebate obligations associated with them are substantially greater than we expect, our future net revenue and profitability could be materially diminished.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enjoy the market exclusivity benefits of our orphan drug designations.</w:t>
      </w:r>
    </w:p>
    <w:p>
      <w:pPr>
        <w:spacing w:after="0" w:line="117" w:lineRule="exact"/>
        <w:rPr>
          <w:sz w:val="20"/>
          <w:szCs w:val="20"/>
          <w:color w:val="auto"/>
        </w:rPr>
      </w:pPr>
    </w:p>
    <w:p>
      <w:pPr>
        <w:ind w:right="20" w:firstLine="661"/>
        <w:spacing w:after="0" w:line="287" w:lineRule="auto"/>
        <w:rPr>
          <w:sz w:val="20"/>
          <w:szCs w:val="20"/>
          <w:color w:val="auto"/>
        </w:rPr>
      </w:pPr>
      <w:r>
        <w:rPr>
          <w:rFonts w:ascii="Arial" w:cs="Arial" w:eastAsia="Arial" w:hAnsi="Arial"/>
          <w:sz w:val="16"/>
          <w:szCs w:val="16"/>
          <w:color w:val="auto"/>
        </w:rPr>
        <w:t>Although we may obtain orphan designations in the treatment of certain diseases our products are intended to treat, the designation may not be applicable to any particular product we might get approved and that product may not be the first product to receive approval for that indication. Under the Orphan Drug Act, the first product with an orphan designation receives market exclusivity, which prohibits the FDA from approving the “same” drug for the same indication. The FDA has stated that drugs can be the “same” even when they are not identical but has not provided guidance with respect to how it will determine “sameness” for RNAi drugs. It is possible that another RNAi drug could be approved for the treatment of a disease one of our orphan products is intended to treat before our product is approved, which means that we may not obtain orphan drug exclusivity and could also potentially be blocked from approval until the first product’s orphan drug exclusivity period expires or we demonstrate, if we can, that our product is superior. Further, even if we obtain orphan drug exclusivity for a product, that exclusivity may not effectively protect the product from competition because different drugs can be approved for the same condition. Even after an orphan drug is approved and granted orphan drug exclusivity, the FDA can subsequently approve the same drug for the same condition if the FDA concludes that the later drug is safer, more effective or makes a major contribution to patient care. Further, orphan drug exclusivity can be lost if the FDA later determines that the request for designation was materially defective or if the applicant is unable to assure the availability of sufficient quantities of the drug to meet the needs of patients with the disease or condition for which the drug was designated.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attraction and retention of senior management and scientists with relevant expertise.</w:t>
      </w:r>
    </w:p>
    <w:p>
      <w:pPr>
        <w:spacing w:after="0" w:line="117" w:lineRule="exact"/>
        <w:rPr>
          <w:sz w:val="20"/>
          <w:szCs w:val="20"/>
          <w:color w:val="auto"/>
        </w:rPr>
      </w:pPr>
    </w:p>
    <w:p>
      <w:pPr>
        <w:ind w:right="20" w:firstLine="655"/>
        <w:spacing w:after="0" w:line="254" w:lineRule="auto"/>
        <w:rPr>
          <w:sz w:val="20"/>
          <w:szCs w:val="20"/>
          <w:color w:val="auto"/>
        </w:rPr>
      </w:pPr>
      <w:r>
        <w:rPr>
          <w:rFonts w:ascii="Arial" w:cs="Arial" w:eastAsia="Arial" w:hAnsi="Arial"/>
          <w:sz w:val="18"/>
          <w:szCs w:val="18"/>
          <w:color w:val="auto"/>
        </w:rPr>
        <w:t>Our future success depends to a significant extent on the continued services of our key employees, including our senior scientific, technical and managerial personnel. We do not maintain key person life insurance for any of our executives and we do not maintain employment agreements with many senior employees. Competition for qualified employees in the pharmaceutical industry is high, and our ability to execute our strategy will depend in part on our ability to continue to attract and retain qualified scientists, management and other employees. This will depend in part on our ability to create and maintain a desirable workplace culture, which may be impacted by the long-term effects of the COVID-19 pandemic on the nature of the office environment and employee preferences for remote working. If we are unable to find, hire and retain qualified individuals, we will have difficulty implementing our business plan in a timely manner, or at all.</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protect our patents and other proprietary rights is uncertain, exposing us to the possible loss of competitive advantage.</w:t>
      </w:r>
    </w:p>
    <w:p>
      <w:pPr>
        <w:spacing w:after="0" w:line="129" w:lineRule="exact"/>
        <w:rPr>
          <w:sz w:val="20"/>
          <w:szCs w:val="20"/>
          <w:color w:val="auto"/>
        </w:rPr>
      </w:pPr>
    </w:p>
    <w:p>
      <w:pPr>
        <w:ind w:right="20" w:firstLine="578"/>
        <w:spacing w:after="0" w:line="288" w:lineRule="auto"/>
        <w:rPr>
          <w:sz w:val="20"/>
          <w:szCs w:val="20"/>
          <w:color w:val="auto"/>
        </w:rPr>
      </w:pPr>
      <w:r>
        <w:rPr>
          <w:rFonts w:ascii="Arial" w:cs="Arial" w:eastAsia="Arial" w:hAnsi="Arial"/>
          <w:sz w:val="16"/>
          <w:szCs w:val="16"/>
          <w:color w:val="auto"/>
        </w:rPr>
        <w:t>We have licensed rights to pending patents and have filed and expect to continue to file patent applications. Researchers sponsored by us may also file patent applications that we may need to license. Such patent applications may not be available for licensing or may not be economically feasible to license. Certain of our patents may not be granted or may not contain claims of the necessary breadth because, for example, prior patents exist. If a particular patent is not granted, the value of the invention described in the patent would be diminished. Further, even if these patents are granted, they may be difficult to enforce. Even if ultimately successful, efforts to enforce our patent rights could be expensive, distracting for management, cause our patents to be invalidated or held unenforceable, and thus frustrate commercialization of products. Even if patents are issued and are enforceable, others may develop similar, superior or parallel technologies to any technology developed by us and not infringe on our patents. Our technology may prove to infringe upon patents or rights owned by others. Patent prosecution and maintenance is expensive, and we may be forced to curtail prosecution or maintenance if our cash resources are limited. Thus, the patents held by or licensed to us may not afford us any meaningful competitive advantage. If we are unable to derive value from our licensed or owned intellectual property, the value of your investment may decline.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9" w:name="page40"/>
    <w:bookmarkEnd w:id="39"/>
    <w:p>
      <w:pPr>
        <w:ind w:right="20"/>
        <w:spacing w:after="0" w:line="277" w:lineRule="auto"/>
        <w:rPr>
          <w:sz w:val="20"/>
          <w:szCs w:val="20"/>
          <w:color w:val="auto"/>
        </w:rPr>
      </w:pPr>
      <w:r>
        <w:rPr>
          <w:rFonts w:ascii="Arial" w:cs="Arial" w:eastAsia="Arial" w:hAnsi="Arial"/>
          <w:sz w:val="18"/>
          <w:szCs w:val="18"/>
          <w:b w:val="1"/>
          <w:bCs w:val="1"/>
          <w:i w:val="1"/>
          <w:iCs w:val="1"/>
          <w:color w:val="auto"/>
        </w:rPr>
        <w:t>We are party to technology license agreements with third parties that require us to satisfy obligations to keep them effective and, if these agreements are terminated, our technology and our business would be seriously and adversely affected.</w:t>
      </w:r>
    </w:p>
    <w:p>
      <w:pPr>
        <w:spacing w:after="0" w:line="62" w:lineRule="exact"/>
        <w:rPr>
          <w:sz w:val="20"/>
          <w:szCs w:val="20"/>
          <w:color w:val="auto"/>
        </w:rPr>
      </w:pPr>
    </w:p>
    <w:p>
      <w:pPr>
        <w:ind w:right="320" w:firstLine="578"/>
        <w:spacing w:after="0" w:line="301" w:lineRule="auto"/>
        <w:rPr>
          <w:sz w:val="20"/>
          <w:szCs w:val="20"/>
          <w:color w:val="auto"/>
        </w:rPr>
      </w:pPr>
      <w:r>
        <w:rPr>
          <w:rFonts w:ascii="Arial" w:cs="Arial" w:eastAsia="Arial" w:hAnsi="Arial"/>
          <w:sz w:val="16"/>
          <w:szCs w:val="16"/>
          <w:color w:val="auto"/>
        </w:rPr>
        <w:t>We are party to license agreements to incorporate third party proprietary technologies into our drug products under development. These license agreements require us to pay royalties and satisfy other conditions. If we fail to satisfy our obligations under these agreements, the terms of the licenses may be materially modified, such as by rendering currently exclusive licenses non-exclusive, or it may give our licensors the right to terminate their respective agreement with us, which could limit our ability to implement our current business plan and harm our business and financial condition.</w:t>
      </w:r>
    </w:p>
    <w:p>
      <w:pPr>
        <w:spacing w:after="0" w:line="26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may be subject to patent infringement claims, which could result in substantial costs and liability and prevent us from commercializing our potential products.</w:t>
      </w:r>
    </w:p>
    <w:p>
      <w:pPr>
        <w:spacing w:after="0" w:line="62" w:lineRule="exact"/>
        <w:rPr>
          <w:sz w:val="20"/>
          <w:szCs w:val="20"/>
          <w:color w:val="auto"/>
        </w:rPr>
      </w:pPr>
    </w:p>
    <w:p>
      <w:pPr>
        <w:ind w:firstLine="578"/>
        <w:spacing w:after="0" w:line="291" w:lineRule="auto"/>
        <w:rPr>
          <w:sz w:val="20"/>
          <w:szCs w:val="20"/>
          <w:color w:val="auto"/>
        </w:rPr>
      </w:pPr>
      <w:r>
        <w:rPr>
          <w:rFonts w:ascii="Arial" w:cs="Arial" w:eastAsia="Arial" w:hAnsi="Arial"/>
          <w:sz w:val="16"/>
          <w:szCs w:val="16"/>
          <w:color w:val="auto"/>
        </w:rPr>
        <w:t>Because the intellectual property landscape in the fields in which we participate is rapidly evolving and interdisciplinary, it is difficult to conclusively assess our freedom to operate without infringing on third party rights. However, if granted marketing approval, we are currently aware of certain patent rights held by third parties that, if found to be valid and enforceable, could be alleged to render one or more of our drug candidates infringing. If a claim should be brought and is successful, we may be required to pay substantial damages, be forced to abandon any affected drug candidates and/or seek a license from the patent holder. In addition, any patent infringement claims brought against us, whether or not successful, may cause us to incur significant expenses and divert the attention of our management and key personnel from other business concerns. These could negatively affect our results of operations and prospects. We cannot be certain that patents owned or licensed by us will not be challenged, potentially successfully, by others.</w:t>
      </w:r>
    </w:p>
    <w:p>
      <w:pPr>
        <w:spacing w:after="0" w:line="166" w:lineRule="exact"/>
        <w:rPr>
          <w:sz w:val="20"/>
          <w:szCs w:val="20"/>
          <w:color w:val="auto"/>
        </w:rPr>
      </w:pPr>
    </w:p>
    <w:p>
      <w:pPr>
        <w:ind w:right="140" w:firstLine="578"/>
        <w:spacing w:after="0" w:line="255" w:lineRule="auto"/>
        <w:rPr>
          <w:sz w:val="20"/>
          <w:szCs w:val="20"/>
          <w:color w:val="auto"/>
        </w:rPr>
      </w:pPr>
      <w:r>
        <w:rPr>
          <w:rFonts w:ascii="Arial" w:cs="Arial" w:eastAsia="Arial" w:hAnsi="Arial"/>
          <w:sz w:val="18"/>
          <w:szCs w:val="18"/>
          <w:color w:val="auto"/>
        </w:rPr>
        <w:t>In addition, if our product candidates are found to infringe the intellectual property rights of third parties, these third parties may assert infringement claims against our customers, licensees, and other parties with whom we have business relationships and we may be required to indemnify those parties for any damages they suffer as a result of these claims. The claims may require us to initiate or defend protracted and costly litigation on behalf of customers, licensees, and other parties regardless of the merits of these claims. If any of these claims succeed, we may be forced to pay damages on behalf of those parties or may be required to obtain licenses for the products they use. If we cannot obtain all necessary licenses on commercially reasonable terms, we may be unable to continue selling such products.</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license patent rights from third-party owners and we rely on such owners to obtain, maintain and enforce the patents underlying such licenses.</w:t>
      </w:r>
    </w:p>
    <w:p>
      <w:pPr>
        <w:spacing w:after="0" w:line="140" w:lineRule="exact"/>
        <w:rPr>
          <w:sz w:val="20"/>
          <w:szCs w:val="20"/>
          <w:color w:val="auto"/>
        </w:rPr>
      </w:pPr>
    </w:p>
    <w:p>
      <w:pPr>
        <w:ind w:right="320" w:firstLine="578"/>
        <w:spacing w:after="0" w:line="277" w:lineRule="auto"/>
        <w:rPr>
          <w:sz w:val="20"/>
          <w:szCs w:val="20"/>
          <w:color w:val="auto"/>
        </w:rPr>
      </w:pPr>
      <w:r>
        <w:rPr>
          <w:rFonts w:ascii="Arial" w:cs="Arial" w:eastAsia="Arial" w:hAnsi="Arial"/>
          <w:sz w:val="18"/>
          <w:szCs w:val="18"/>
          <w:color w:val="auto"/>
        </w:rPr>
        <w:t>We are a party to a number of licenses that give us rights to third-party intellectual property that is necessary or useful for our business. We also expect to enter into additional licenses to third-party intellectual property in the future.</w:t>
      </w:r>
    </w:p>
    <w:p>
      <w:pPr>
        <w:spacing w:after="0" w:line="170" w:lineRule="exact"/>
        <w:rPr>
          <w:sz w:val="20"/>
          <w:szCs w:val="20"/>
          <w:color w:val="auto"/>
        </w:rPr>
      </w:pPr>
    </w:p>
    <w:p>
      <w:pPr>
        <w:ind w:right="40" w:firstLine="578"/>
        <w:spacing w:after="0" w:line="255" w:lineRule="auto"/>
        <w:rPr>
          <w:sz w:val="20"/>
          <w:szCs w:val="20"/>
          <w:color w:val="auto"/>
        </w:rPr>
      </w:pPr>
      <w:r>
        <w:rPr>
          <w:rFonts w:ascii="Arial" w:cs="Arial" w:eastAsia="Arial" w:hAnsi="Arial"/>
          <w:sz w:val="18"/>
          <w:szCs w:val="18"/>
          <w:color w:val="auto"/>
        </w:rPr>
        <w:t>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licensed from various third parties may be subject to retained rights.</w:t>
      </w:r>
    </w:p>
    <w:p>
      <w:pPr>
        <w:spacing w:after="0" w:line="117" w:lineRule="exact"/>
        <w:rPr>
          <w:sz w:val="20"/>
          <w:szCs w:val="20"/>
          <w:color w:val="auto"/>
        </w:rPr>
      </w:pPr>
    </w:p>
    <w:p>
      <w:pPr>
        <w:jc w:val="both"/>
        <w:ind w:right="180" w:firstLine="578"/>
        <w:spacing w:after="0" w:line="279" w:lineRule="auto"/>
        <w:rPr>
          <w:sz w:val="20"/>
          <w:szCs w:val="20"/>
          <w:color w:val="auto"/>
        </w:rPr>
      </w:pPr>
      <w:r>
        <w:rPr>
          <w:rFonts w:ascii="Arial" w:cs="Arial" w:eastAsia="Arial" w:hAnsi="Arial"/>
          <w:sz w:val="17"/>
          <w:szCs w:val="17"/>
          <w:color w:val="auto"/>
        </w:rPr>
        <w:t>Our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other proprietary information.</w:t>
      </w:r>
    </w:p>
    <w:p>
      <w:pPr>
        <w:spacing w:after="0" w:line="140" w:lineRule="exact"/>
        <w:rPr>
          <w:sz w:val="20"/>
          <w:szCs w:val="20"/>
          <w:color w:val="auto"/>
        </w:rPr>
      </w:pPr>
    </w:p>
    <w:p>
      <w:pPr>
        <w:ind w:right="20" w:firstLine="578"/>
        <w:spacing w:after="0" w:line="293" w:lineRule="auto"/>
        <w:rPr>
          <w:sz w:val="20"/>
          <w:szCs w:val="20"/>
          <w:color w:val="auto"/>
        </w:rPr>
      </w:pPr>
      <w:r>
        <w:rPr>
          <w:rFonts w:ascii="Arial" w:cs="Arial" w:eastAsia="Arial" w:hAnsi="Arial"/>
          <w:sz w:val="16"/>
          <w:szCs w:val="16"/>
          <w:color w:val="auto"/>
        </w:rPr>
        <w:t>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As our organization grows, so does the risk of unauthorized disclosure of confidential information. In addition, while the company undertakes efforts to protect its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right="500"/>
        <w:spacing w:after="0" w:line="277" w:lineRule="auto"/>
        <w:rPr>
          <w:sz w:val="20"/>
          <w:szCs w:val="20"/>
          <w:color w:val="auto"/>
        </w:rPr>
      </w:pPr>
      <w:r>
        <w:rPr>
          <w:rFonts w:ascii="Arial" w:cs="Arial" w:eastAsia="Arial" w:hAnsi="Arial"/>
          <w:sz w:val="18"/>
          <w:szCs w:val="18"/>
          <w:color w:val="auto"/>
        </w:rPr>
        <w:t>determine the scope of our proprietary rights, and failure to obtain or maintain trade secret protection could adversely affect our competitive business position.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secure first-tier technologies when competing against other companies or investors.</w:t>
      </w:r>
    </w:p>
    <w:p>
      <w:pPr>
        <w:spacing w:after="0" w:line="117" w:lineRule="exact"/>
        <w:rPr>
          <w:sz w:val="20"/>
          <w:szCs w:val="20"/>
          <w:color w:val="auto"/>
        </w:rPr>
      </w:pPr>
    </w:p>
    <w:p>
      <w:pPr>
        <w:ind w:right="100" w:firstLine="578"/>
        <w:spacing w:after="0" w:line="273" w:lineRule="auto"/>
        <w:rPr>
          <w:sz w:val="20"/>
          <w:szCs w:val="20"/>
          <w:color w:val="auto"/>
        </w:rPr>
      </w:pPr>
      <w:r>
        <w:rPr>
          <w:rFonts w:ascii="Arial" w:cs="Arial" w:eastAsia="Arial" w:hAnsi="Arial"/>
          <w:sz w:val="17"/>
          <w:szCs w:val="17"/>
          <w:color w:val="auto"/>
        </w:rPr>
        <w:t>Our future success may require that we acquire patent rights and know-how to new or complimentary technologies. However, we compete with a substantial number of other companies that may also compete for technologies we desire. In addition, many venture capital firms and other institutional investors, as well as other pharmaceutical and biotech companies, invest in companies seeking to commercialize various types of emerging technologies. Many of these companies have greater financial, scientific and commercial resources than us. Therefore, we may not be able to secure the technologies we desire. Furthermore, should any commercial undertaking by us prove to be successful, there can be no assurance competitors with greater financial resources will not offer competitive products and/or technologies.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Model</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business model assumes we will generate revenue by, among other activities, marketing or out-licensing the products we develop. Our drug candidates are in the early stages of development and because we have a short development history with both RNA interference and our delivery technologies, there is a limited amount of information about us upon which you can evaluate our business and prospects.</w:t>
      </w:r>
    </w:p>
    <w:p>
      <w:pPr>
        <w:spacing w:after="0" w:line="57" w:lineRule="exact"/>
        <w:rPr>
          <w:sz w:val="20"/>
          <w:szCs w:val="20"/>
          <w:color w:val="auto"/>
        </w:rPr>
      </w:pPr>
    </w:p>
    <w:p>
      <w:pPr>
        <w:ind w:right="40" w:firstLine="578"/>
        <w:spacing w:after="0" w:line="257" w:lineRule="auto"/>
        <w:rPr>
          <w:sz w:val="20"/>
          <w:szCs w:val="20"/>
          <w:color w:val="auto"/>
        </w:rPr>
      </w:pPr>
      <w:r>
        <w:rPr>
          <w:rFonts w:ascii="Arial" w:cs="Arial" w:eastAsia="Arial" w:hAnsi="Arial"/>
          <w:sz w:val="18"/>
          <w:szCs w:val="18"/>
          <w:color w:val="auto"/>
        </w:rPr>
        <w:t>We have no approved drugs and thus have not begun to market or generate revenues from the commercialization of any products. We have only a limited history upon which one can evaluate our RNAi therapeutic business as our drug candidates are still at an early stage of development.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80" w:lineRule="exact"/>
        <w:rPr>
          <w:sz w:val="20"/>
          <w:szCs w:val="20"/>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Execute product development activities using unproven technologies;</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Build, maintain, and protect a strong intellectual property portfolio;</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Demonstrate safety and efficacy of our drug candidates in multiple human clinical studies;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Receive FDA approval and approval from similar foreign regulatory bodies;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Gain market acceptance for the development and commercialization of any drugs we develop;</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Ensure our products are reimbursed by commercial and/or government payors at a rate that permits commercial viability;</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and maintain successful strategic relationships with suppliers, distributors, and commercial licensing partners;</w:t>
      </w:r>
    </w:p>
    <w:p>
      <w:pPr>
        <w:spacing w:after="0" w:line="9" w:lineRule="exact"/>
        <w:rPr>
          <w:rFonts w:ascii="Arial" w:cs="Arial" w:eastAsia="Arial" w:hAnsi="Arial"/>
          <w:sz w:val="18"/>
          <w:szCs w:val="18"/>
          <w:color w:val="auto"/>
        </w:rPr>
      </w:pPr>
    </w:p>
    <w:p>
      <w:pPr>
        <w:ind w:left="740" w:right="360" w:hanging="368"/>
        <w:spacing w:after="0" w:line="250"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our spending and cash requirements as our expenses will increase in the near term if we add programs and additional preclinical and clinical trials; and</w:t>
      </w: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market any products for which we obtain marketing approval.</w:t>
      </w:r>
    </w:p>
    <w:p>
      <w:pPr>
        <w:spacing w:after="0" w:line="211" w:lineRule="exact"/>
        <w:rPr>
          <w:sz w:val="20"/>
          <w:szCs w:val="20"/>
          <w:color w:val="auto"/>
        </w:rPr>
      </w:pPr>
    </w:p>
    <w:p>
      <w:pPr>
        <w:ind w:right="260" w:firstLine="578"/>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develop products, raise capital, expand our business or continue our operations.</w:t>
      </w:r>
    </w:p>
    <w:p>
      <w:pPr>
        <w:spacing w:after="0" w:line="27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need to establish additional relationships with strategic and development partners to fully develop our drug candidates and market any approved products.</w:t>
      </w:r>
    </w:p>
    <w:p>
      <w:pPr>
        <w:spacing w:after="0" w:line="62" w:lineRule="exact"/>
        <w:rPr>
          <w:sz w:val="20"/>
          <w:szCs w:val="20"/>
          <w:color w:val="auto"/>
        </w:rPr>
      </w:pPr>
    </w:p>
    <w:p>
      <w:pPr>
        <w:ind w:right="80" w:firstLine="578"/>
        <w:spacing w:after="0" w:line="287" w:lineRule="auto"/>
        <w:rPr>
          <w:sz w:val="20"/>
          <w:szCs w:val="20"/>
          <w:color w:val="auto"/>
        </w:rPr>
      </w:pPr>
      <w:r>
        <w:rPr>
          <w:rFonts w:ascii="Arial" w:cs="Arial" w:eastAsia="Arial" w:hAnsi="Arial"/>
          <w:sz w:val="16"/>
          <w:szCs w:val="16"/>
          <w:color w:val="auto"/>
        </w:rPr>
        <w:t>Over the past several years we have entered into license and collaboration agreements with Takeda, Janssen, Amgen and Horizon. Our business strategy includes obtaining additional collaborations with other pharmaceutical and biotech companies to support the development of our RNAi therapeutics and other drug candidates. We do not possess all of the financial and development resources necessary to develop and commercialize products that may result from our technologies. Unless we expand our product development capacity and enhance our internal marketing capability, we may need to make appropriate arrangements with strategic partners to develop and commercialize any drug candidates that may be approved. We may not be able to attract such partners, and even if we are able to enter into such partnerships, the terms may be less favorable than anticipated. Further, entering into partnership agreements may limit our commercialization options and/or require us to share revenues and profits with our partners. If we do not find appropriate partners, or if our existing arrangements or future agreements are not successful, our ability to develop and commercialize products could be adversely affected. Even if we are able to find collaborative partners, the overall success of the development and commercialization of product candidates in those programs will depend largely on the efforts of other parties and will be beyond our control. In addition, in the event we pursue our commercialization strategy through collaboration or licenses to third parties, there are a variety of technical, business and legal risks, including:</w:t>
      </w:r>
    </w:p>
    <w:p>
      <w:pPr>
        <w:spacing w:after="0" w:line="64" w:lineRule="exact"/>
        <w:rPr>
          <w:sz w:val="20"/>
          <w:szCs w:val="20"/>
          <w:color w:val="auto"/>
        </w:rPr>
      </w:pPr>
    </w:p>
    <w:p>
      <w:pPr>
        <w:ind w:left="740" w:right="180" w:hanging="368"/>
        <w:spacing w:after="0" w:line="258"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collaborators may be willing or able to devote to the development or commercialization of our drug candidates or to their marketing and distribution; and</w:t>
      </w:r>
    </w:p>
    <w:p>
      <w:pPr>
        <w:spacing w:after="0" w:line="1" w:lineRule="exact"/>
        <w:rPr>
          <w:rFonts w:ascii="Arial" w:cs="Arial" w:eastAsia="Arial" w:hAnsi="Arial"/>
          <w:sz w:val="18"/>
          <w:szCs w:val="18"/>
          <w:color w:val="auto"/>
        </w:rPr>
      </w:pPr>
    </w:p>
    <w:p>
      <w:pPr>
        <w:ind w:left="740" w:right="100" w:hanging="368"/>
        <w:spacing w:after="0" w:line="260"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Disputes may arise between us and our collaborators that result in the delay or termination of the research, development or commercialization of our drug candidates or that result in costly litigation or arbitration that diverts our management’s resources.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ind w:right="20" w:firstLine="578"/>
        <w:spacing w:after="0" w:line="277" w:lineRule="auto"/>
        <w:rPr>
          <w:sz w:val="20"/>
          <w:szCs w:val="20"/>
          <w:color w:val="auto"/>
        </w:rPr>
      </w:pPr>
      <w:r>
        <w:rPr>
          <w:rFonts w:ascii="Arial" w:cs="Arial" w:eastAsia="Arial" w:hAnsi="Arial"/>
          <w:sz w:val="18"/>
          <w:szCs w:val="18"/>
          <w:color w:val="auto"/>
        </w:rPr>
        <w:t>The occurrence of any of the above events or other related events could impair our ability to generate revenues and harm our business and financial condition.</w:t>
      </w:r>
    </w:p>
    <w:p>
      <w:pPr>
        <w:spacing w:after="0" w:line="278"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Our ability to generate milestone and royalty payments under our current and potential future licensing and collaboration agreements is substantially controlled by our partners, and as such, we will likely need other sources of financing to continue to develop our internal drug candidates.</w:t>
      </w:r>
    </w:p>
    <w:p>
      <w:pPr>
        <w:spacing w:after="0" w:line="1" w:lineRule="exact"/>
        <w:rPr>
          <w:sz w:val="20"/>
          <w:szCs w:val="20"/>
          <w:color w:val="auto"/>
        </w:rPr>
      </w:pPr>
    </w:p>
    <w:p>
      <w:pPr>
        <w:ind w:right="300" w:firstLine="578"/>
        <w:spacing w:after="0" w:line="296" w:lineRule="auto"/>
        <w:rPr>
          <w:sz w:val="20"/>
          <w:szCs w:val="20"/>
          <w:color w:val="auto"/>
        </w:rPr>
      </w:pPr>
      <w:r>
        <w:rPr>
          <w:rFonts w:ascii="Arial" w:cs="Arial" w:eastAsia="Arial" w:hAnsi="Arial"/>
          <w:sz w:val="16"/>
          <w:szCs w:val="16"/>
          <w:color w:val="auto"/>
        </w:rPr>
        <w:t>For instance, under our licensing and collaboration agreements with Amgen, Janssen, Takeda and Horizon, our partners substantially control clinical development and commercialization for all of the candidates covered under those agreements. To the extent that (i) our partners’ interests in advancing these candidates or targets changes, (ii) unforeseen scientific issues with the candidates arise, or (iii) the pace at which our partners move the candidates through clinical trials toward commercialization slows, our ability to collect milestones and royalties may be significantly diminished. This would further cause us to rely upon other sources of financing to continue to develop our other internal drug candidates.</w:t>
      </w:r>
    </w:p>
    <w:p>
      <w:pPr>
        <w:spacing w:after="0" w:line="269"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We may lose a considerable amount of control over our intellectual property and may not receive anticipated revenues in strategic transactions, particularly where the consideration is contingent on the achievement of development or sales milestones.</w:t>
      </w:r>
    </w:p>
    <w:p>
      <w:pPr>
        <w:spacing w:after="0" w:line="38" w:lineRule="exact"/>
        <w:rPr>
          <w:sz w:val="20"/>
          <w:szCs w:val="20"/>
          <w:color w:val="auto"/>
        </w:rPr>
      </w:pPr>
    </w:p>
    <w:p>
      <w:pPr>
        <w:jc w:val="both"/>
        <w:ind w:right="320" w:firstLine="578"/>
        <w:spacing w:after="0" w:line="263" w:lineRule="auto"/>
        <w:rPr>
          <w:sz w:val="20"/>
          <w:szCs w:val="20"/>
          <w:color w:val="auto"/>
        </w:rPr>
      </w:pPr>
      <w:r>
        <w:rPr>
          <w:rFonts w:ascii="Arial" w:cs="Arial" w:eastAsia="Arial" w:hAnsi="Arial"/>
          <w:sz w:val="18"/>
          <w:szCs w:val="18"/>
          <w:color w:val="auto"/>
        </w:rPr>
        <w:t>Our business model has been to develop new technologies and to utilize the intellectual property created through the research and development process to develop commercially successful products. If the acquirers of our technologies fail to achieve performance milestones, we may not receive a significant portion of the total value of any sale, license or other strategic transaction.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achieve commercial acceptance of our drug candidates to generate revenues and achieve profitability.</w:t>
      </w:r>
    </w:p>
    <w:p>
      <w:pPr>
        <w:spacing w:after="0" w:line="117" w:lineRule="exact"/>
        <w:rPr>
          <w:sz w:val="20"/>
          <w:szCs w:val="20"/>
          <w:color w:val="auto"/>
        </w:rPr>
      </w:pPr>
    </w:p>
    <w:p>
      <w:pPr>
        <w:ind w:right="40" w:firstLine="578"/>
        <w:spacing w:after="0" w:line="284" w:lineRule="auto"/>
        <w:rPr>
          <w:sz w:val="20"/>
          <w:szCs w:val="20"/>
          <w:color w:val="auto"/>
        </w:rPr>
      </w:pPr>
      <w:r>
        <w:rPr>
          <w:rFonts w:ascii="Arial" w:cs="Arial" w:eastAsia="Arial" w:hAnsi="Arial"/>
          <w:sz w:val="16"/>
          <w:szCs w:val="16"/>
          <w:color w:val="auto"/>
        </w:rPr>
        <w:t>Even if our research and development efforts yield technologically feasible applications, we may not successfully develop commercial products. Drug development takes years of study in human clinical trials prior to regulatory approval, and, even if we are successful, it may not be on a timely basis. During our drug development period, superior competitive technologies may be introduced which could diminish or extinguish the potential commercial uses for our drug candidates. Additionally, the degree to which the medical community and consumers will adopt any product we develop is uncertain. The rate and degree of market acceptance of our products will depend on a number of factors, including the establishment and demonstration in the medical community of the clinical efficacy and safety of our products, their potential advantage over alternative treatments, and the costs to patients and third-party payors, including insurance companies and Medicare. Recent efforts in the United States and abroad to reduce overall healthcare spending has put significant pressure on the price of prescription drugs and certain companies have been publicly criticized for the relatively high cost of their</w:t>
      </w:r>
    </w:p>
    <w:p>
      <w:pPr>
        <w:spacing w:after="0" w:line="1"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therapies. These pressures may force us to sell any approved drugs at a lower price than we or analysts may anticipate or may result in lower levels of reimbursement and coverage from third parties.</w:t>
      </w:r>
    </w:p>
    <w:p>
      <w:pPr>
        <w:spacing w:after="0" w:line="185" w:lineRule="exact"/>
        <w:rPr>
          <w:sz w:val="20"/>
          <w:szCs w:val="20"/>
          <w:color w:val="auto"/>
        </w:rPr>
      </w:pPr>
    </w:p>
    <w:p>
      <w:pPr>
        <w:ind w:right="200" w:firstLine="578"/>
        <w:spacing w:after="0" w:line="257" w:lineRule="auto"/>
        <w:rPr>
          <w:sz w:val="20"/>
          <w:szCs w:val="20"/>
          <w:color w:val="auto"/>
        </w:rPr>
      </w:pPr>
      <w:r>
        <w:rPr>
          <w:rFonts w:ascii="Arial" w:cs="Arial" w:eastAsia="Arial" w:hAnsi="Arial"/>
          <w:sz w:val="18"/>
          <w:szCs w:val="18"/>
          <w:color w:val="auto"/>
        </w:rPr>
        <w:t>We cannot predict whether significant commercial market acceptance for our products, if approved, will ever develop, and we cannot reliably estimate the projected size of any such potential market. Our revenue growth and achievement of consistent profitability will depend substantially on our ability to introduce products that will be accepted by the medical community. If we are unable to cost-effectively achieve acceptance of our technology among the medical establishment and patients, or if the associated products do not achieve wide market acceptance, our business will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outside sources for various components and processes for our products.</w:t>
      </w:r>
    </w:p>
    <w:p>
      <w:pPr>
        <w:spacing w:after="0" w:line="117" w:lineRule="exact"/>
        <w:rPr>
          <w:sz w:val="20"/>
          <w:szCs w:val="20"/>
          <w:color w:val="auto"/>
        </w:rPr>
      </w:pPr>
    </w:p>
    <w:p>
      <w:pPr>
        <w:ind w:firstLine="578"/>
        <w:spacing w:after="0" w:line="272" w:lineRule="auto"/>
        <w:rPr>
          <w:sz w:val="20"/>
          <w:szCs w:val="20"/>
          <w:color w:val="auto"/>
        </w:rPr>
      </w:pPr>
      <w:r>
        <w:rPr>
          <w:rFonts w:ascii="Arial" w:cs="Arial" w:eastAsia="Arial" w:hAnsi="Arial"/>
          <w:sz w:val="17"/>
          <w:szCs w:val="17"/>
          <w:color w:val="auto"/>
        </w:rPr>
        <w:t>We rely on third parties for various components and processes for our product candidates. We may not be able to achieve multiple sourcing because there may be no acceptable second source, other companies may choose not to work with us, or the component or process sought may be so new that a second source does not exist or does not exist on acceptable terms. There may be a disruption or delay in the performance of our third-party contractors, suppliers or collaborators which is beyond our control. If such third parties are unable to satisfy their commitments to us, the development of our products would be adversely affected. Therefore, it is possible that our development plans will have to be slowed down or stopped completely at times due to our inability to obtain required raw materials, components, and outsourced processes at an acceptable cost, if at all, or to get a timely response from vendors, particularly as a result of recent labor market and global supply chain constraints.</w:t>
      </w:r>
    </w:p>
    <w:p>
      <w:pPr>
        <w:spacing w:after="0" w:line="393"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We have limited manufacturing capability and must rely on third-party manufacturers to manufacture our clinical supplies and commercial products, if and when approved, and if they fail to meet their obligations, the development and commercialization of our products could be adversely affected.</w:t>
      </w:r>
    </w:p>
    <w:p>
      <w:pPr>
        <w:spacing w:after="0" w:line="1" w:lineRule="exact"/>
        <w:rPr>
          <w:sz w:val="20"/>
          <w:szCs w:val="20"/>
          <w:color w:val="auto"/>
        </w:rPr>
      </w:pPr>
    </w:p>
    <w:p>
      <w:pPr>
        <w:ind w:right="80" w:firstLine="578"/>
        <w:spacing w:after="0" w:line="259" w:lineRule="auto"/>
        <w:rPr>
          <w:sz w:val="20"/>
          <w:szCs w:val="20"/>
          <w:color w:val="auto"/>
        </w:rPr>
      </w:pPr>
      <w:r>
        <w:rPr>
          <w:rFonts w:ascii="Arial" w:cs="Arial" w:eastAsia="Arial" w:hAnsi="Arial"/>
          <w:sz w:val="18"/>
          <w:szCs w:val="18"/>
          <w:color w:val="auto"/>
        </w:rPr>
        <w:t>We have limited manufacturing capabilities and experience. Our drug candidates are composed of multiple components and require specialized formulations for which scale-up and manufacturing could be difficult. We have limited experience in such scale-up and manufacturing requiring us to depend on a limited number of third parties, who may not be able to deliver in a timely manner, or at all. In order to develop products, apply for regulatory approvals, and commercialize our products, we will need to develop, contract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2" w:name="page43"/>
    <w:bookmarkEnd w:id="42"/>
    <w:p>
      <w:pPr>
        <w:spacing w:after="0" w:line="275" w:lineRule="auto"/>
        <w:rPr>
          <w:sz w:val="20"/>
          <w:szCs w:val="20"/>
          <w:color w:val="auto"/>
        </w:rPr>
      </w:pPr>
      <w:r>
        <w:rPr>
          <w:rFonts w:ascii="Arial" w:cs="Arial" w:eastAsia="Arial" w:hAnsi="Arial"/>
          <w:sz w:val="17"/>
          <w:szCs w:val="17"/>
          <w:color w:val="auto"/>
        </w:rPr>
        <w:t>for, or otherwise arrange for the necessary manufacturing capabilities. Our internal GMP manufacturing capabilities are limited to small-scale production of material. There are a limited number of manufacturers that supply synthetic oligonucleotides. There are risks inherent in pharmaceutical manufacturing that could affect the ability of our contract manufacturers to meet our delivery time requirements or provide adequate amounts of material to meet our needs. Included in these risks are synthesis and purification failures and contamination during the manufacturing process, which could result in unusable product and cause delays in our development process, as well as additional expense to us.</w:t>
      </w:r>
    </w:p>
    <w:p>
      <w:pPr>
        <w:spacing w:after="0" w:line="176" w:lineRule="exact"/>
        <w:rPr>
          <w:sz w:val="20"/>
          <w:szCs w:val="20"/>
          <w:color w:val="auto"/>
        </w:rPr>
      </w:pPr>
    </w:p>
    <w:p>
      <w:pPr>
        <w:ind w:right="20" w:firstLine="578"/>
        <w:spacing w:after="0" w:line="287" w:lineRule="auto"/>
        <w:rPr>
          <w:sz w:val="20"/>
          <w:szCs w:val="20"/>
          <w:color w:val="auto"/>
        </w:rPr>
      </w:pPr>
      <w:r>
        <w:rPr>
          <w:rFonts w:ascii="Arial" w:cs="Arial" w:eastAsia="Arial" w:hAnsi="Arial"/>
          <w:sz w:val="16"/>
          <w:szCs w:val="16"/>
          <w:color w:val="auto"/>
        </w:rPr>
        <w:t>Additionally, our product candidates have not yet been manufactured for commercial use. If any of our product candidates become approved for commercial sale, we will need to establish either internal or third-party manufacturing capacity. Manufacturing partner requirements may require us to fund capital improvements, perhaps on behalf of third parties, to support the scale-up of manufacturing and related activities. We may not be able to establish scaled manufacturing capacity for an approved product in a timely or economic manner, if at all. If we or our third-party manufacturers are unable to provide commercial quantities of such an approved product, we will have to successfully transfer manufacturing technology to a different manufacturer. Engaging a new manufacturer for such an approved product could require us to conduct comparative studies or utilize other means to determine bioequivalence of the new and prior manufacturers’ products, which could delay or prevent our ability to commercialize such an approved product. If we or any of these manufacturers is unable or unwilling to increase its manufacturing capacity or if we are unable to establish alternative arrangements on a timely basis or on acceptable terms, the development and commercialization of such an approved product may be delayed or there may be a shortage in supply. Any inability to manufacture our product candidates or future approved drugs in sufficient quantities when needed would seriously harm our business. For example, recent global supply chain constraints have led to intermittent lab supply shortages, which are critical for our preclinical programs. While we are exploring alternative suppliers for certain critical materials, there can be no assurance that our efforts will be successful.</w:t>
      </w:r>
    </w:p>
    <w:p>
      <w:pPr>
        <w:spacing w:after="0" w:line="168" w:lineRule="exact"/>
        <w:rPr>
          <w:sz w:val="20"/>
          <w:szCs w:val="20"/>
          <w:color w:val="auto"/>
        </w:rPr>
      </w:pPr>
    </w:p>
    <w:p>
      <w:pPr>
        <w:ind w:right="20" w:firstLine="655"/>
        <w:spacing w:after="0" w:line="269" w:lineRule="auto"/>
        <w:rPr>
          <w:sz w:val="20"/>
          <w:szCs w:val="20"/>
          <w:color w:val="auto"/>
        </w:rPr>
      </w:pPr>
      <w:r>
        <w:rPr>
          <w:rFonts w:ascii="Arial" w:cs="Arial" w:eastAsia="Arial" w:hAnsi="Arial"/>
          <w:sz w:val="17"/>
          <w:szCs w:val="17"/>
          <w:color w:val="auto"/>
        </w:rPr>
        <w:t>Manufacturers of our approved products, if any, must comply with cGMP requirements relating to methods, facilities and controls used in the manufacturing, processing and packaging of the product, which are intended to ensure that drug products are safe and that they consistently meet applicable requirements and specifications. These requirements include quality control, quality assurance, and the maintenance of records and documentation. Manufacturers of our approved products, if any, may be unable to comply with these cGMP requirements and with other FDA, state and foreign regulatory requirements. These requirements are enforced by the FDA and other health authorities through periodic announced and unannounced inspections of manufacturing facilities. A failure to comply with these requirements or to provide adequate and timely corrective actions in response to deficiencies identified in an inspection may result in enforcement action, including warning letters, fines and civil penalties, suspension of production, suspension or delay in product approval, product seizure or recall, plant shutdown, or the delay, withholding, or withdrawal of product approval. If the safety of any quantities supplied is compromised due to a manufacturer’s failure to adhere to applicable laws or for other reasons, we may not be able to obtain regulatory approval for or successfully commercialize our products, which would seriously harm our business.</w:t>
      </w:r>
    </w:p>
    <w:p>
      <w:pPr>
        <w:spacing w:after="0" w:line="29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if they fail to fulfill their obligations, the development of our products may be adversely affected.</w:t>
      </w:r>
    </w:p>
    <w:p>
      <w:pPr>
        <w:spacing w:after="0" w:line="62" w:lineRule="exact"/>
        <w:rPr>
          <w:sz w:val="20"/>
          <w:szCs w:val="20"/>
          <w:color w:val="auto"/>
        </w:rPr>
      </w:pPr>
    </w:p>
    <w:p>
      <w:pPr>
        <w:ind w:right="60" w:firstLine="578"/>
        <w:spacing w:after="0" w:line="289" w:lineRule="auto"/>
        <w:rPr>
          <w:sz w:val="20"/>
          <w:szCs w:val="20"/>
          <w:color w:val="auto"/>
        </w:rPr>
      </w:pPr>
      <w:r>
        <w:rPr>
          <w:rFonts w:ascii="Arial" w:cs="Arial" w:eastAsia="Arial" w:hAnsi="Arial"/>
          <w:sz w:val="16"/>
          <w:szCs w:val="16"/>
          <w:color w:val="auto"/>
        </w:rPr>
        <w:t>We rely on independent clinical investigators, contract research organizations and other third-party service providers to assist us in managing, monitoring and otherwise carrying out our clinical trials. We contract with certain third-parties to provide certain services, including site selection, enrollment, monitoring and data management services. We rely on these parties to carry out our clinical trials in compliance with GCP and other relevant requirements. Although we depend heavily on these parties, we do not control them and therefore we cannot be assured that these third-parties will adequately perform all of their contractual obligations to us. These third parties may face disruptions due to the COVID-19 pandemic that may affect our ability to initiate and complete our clinical studies. If our third-party service providers cannot adequately and timely fulfill their obligations to us, or if the quality and accuracy of our clinical trial data is compromised due to failure by such third parties to adhere to our protocols, GCP, or other regulatory requirements or if such third-parties otherwise fail to meet deadlines, our development plans may be delayed or terminated. Further, if clinical study results are compromised, then we may need to repeat the affected studies, which could result in significant additional costs and delays to us.</w:t>
      </w:r>
    </w:p>
    <w:p>
      <w:pPr>
        <w:spacing w:after="0" w:line="2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face competition from various entities including large pharmaceutical companies, small biotech companies, private companies, and research institutions.</w:t>
      </w:r>
    </w:p>
    <w:p>
      <w:pPr>
        <w:spacing w:after="0" w:line="62" w:lineRule="exact"/>
        <w:rPr>
          <w:sz w:val="20"/>
          <w:szCs w:val="20"/>
          <w:color w:val="auto"/>
        </w:rPr>
      </w:pPr>
    </w:p>
    <w:p>
      <w:pPr>
        <w:ind w:right="160" w:firstLine="578"/>
        <w:spacing w:after="0" w:line="296" w:lineRule="auto"/>
        <w:rPr>
          <w:sz w:val="20"/>
          <w:szCs w:val="20"/>
          <w:color w:val="auto"/>
        </w:rPr>
      </w:pPr>
      <w:r>
        <w:rPr>
          <w:rFonts w:ascii="Arial" w:cs="Arial" w:eastAsia="Arial" w:hAnsi="Arial"/>
          <w:sz w:val="16"/>
          <w:szCs w:val="16"/>
          <w:color w:val="auto"/>
        </w:rPr>
        <w:t>Many of our competitors have greater financial resources and may have more experience in research and development, manufacturing, managing clinical trials and/or regulatory compliance than we do. Our competitors may compete with us for lead clinical trial investigators, clinical trial site locations and patient enrollment. These competitors may also compete with us on recruiting scientific and management personnel. Because our products are in the early stages of development, along with many of the competing products, and given unpredictability inherent in drug development, it is difficult to predict which third parties may provide the most competition, and on what specific basis that competition may be based.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b w:val="1"/>
          <w:bCs w:val="1"/>
          <w:i w:val="1"/>
          <w:iCs w:val="1"/>
          <w:color w:val="auto"/>
        </w:rPr>
        <w:t>We may have difficulty expanding our operations successfully as we evolve from a company primarily involved in discovery and pre-clinical testing into one that develops and commercializes drugs.</w:t>
      </w:r>
    </w:p>
    <w:p>
      <w:pPr>
        <w:spacing w:after="0" w:line="62" w:lineRule="exact"/>
        <w:rPr>
          <w:sz w:val="20"/>
          <w:szCs w:val="20"/>
          <w:color w:val="auto"/>
        </w:rPr>
      </w:pPr>
    </w:p>
    <w:p>
      <w:pPr>
        <w:ind w:firstLine="578"/>
        <w:spacing w:after="0" w:line="271" w:lineRule="auto"/>
        <w:rPr>
          <w:sz w:val="20"/>
          <w:szCs w:val="20"/>
          <w:color w:val="auto"/>
        </w:rPr>
      </w:pPr>
      <w:r>
        <w:rPr>
          <w:rFonts w:ascii="Arial" w:cs="Arial" w:eastAsia="Arial" w:hAnsi="Arial"/>
          <w:sz w:val="17"/>
          <w:szCs w:val="17"/>
          <w:color w:val="auto"/>
        </w:rPr>
        <w:t>We expect that as we increase the number of product candidates we are developing we will also need to expand our operations. This expected growth may place a strain on our administrative and operational infrastructure and information technology systems. As product candidates we develop enter and advance through clinical trials, we will need to expand our development, regulatory, manufacturing, marketing, and sales capabilities or contract with other organizations to provide these capabilities for us. As our operations expand due to our development progress, we expect that we will need to manage additional relationships with various collaborators, suppliers, and other organizations. Our ability to manage our operations and future growth will require us to continue to improve our operational, financial, information technology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information technology system failures.</w:t>
      </w:r>
    </w:p>
    <w:p>
      <w:pPr>
        <w:spacing w:after="0" w:line="117" w:lineRule="exact"/>
        <w:rPr>
          <w:sz w:val="20"/>
          <w:szCs w:val="20"/>
          <w:color w:val="auto"/>
        </w:rPr>
      </w:pPr>
    </w:p>
    <w:p>
      <w:pPr>
        <w:ind w:right="60" w:firstLine="578"/>
        <w:spacing w:after="0" w:line="287" w:lineRule="auto"/>
        <w:rPr>
          <w:sz w:val="20"/>
          <w:szCs w:val="20"/>
          <w:color w:val="auto"/>
        </w:rPr>
      </w:pPr>
      <w:r>
        <w:rPr>
          <w:rFonts w:ascii="Arial" w:cs="Arial" w:eastAsia="Arial" w:hAnsi="Arial"/>
          <w:sz w:val="16"/>
          <w:szCs w:val="16"/>
          <w:color w:val="auto"/>
        </w:rPr>
        <w:t>Our internal computer systems and those of our contractors and consultants are vulnerable to damage from computer viruses, unauthorized access, ransomware and other cyber-attacks, human error, natural disasters, terrorism, war, and telecommunication and electrical failures. Such events could cause interruption of our operations and loss of intellectual property. For example, the loss of pre-clinical trial data or data from completed or ongoing clinical trials for our product candidates could result in delays in our regulatory filings and development efforts and significantly increase our costs. Further, cybersecurity breaches may allow hackers access to our preclinical compounds, strategies, discoveries, trade secrets, and/or other confidential information. To the extent that any disruption or security breach were to result in a loss of or damage to our data, or inappropriate disclosure of confidential, proprietary or private information, we could incur liability or regulatory penalties, including under laws and regulations governing the protection of health and other personally identifiable information, we could lose valuable trade secret rights, the development of our product candidates could be delayed, and we could suffer reputational damage and damage to key business relationships. The risk of a cyber-security breach or other informational technology disruption, particularly through cyber-attacks, has generally increased as the number, intensity and sophistication of attempted attacks and intrusions from around the world have increased. We have experienced cyber-security attacks in the past, which to date have not had a material impact on our operations or development programs; however; there is no assurance that such impacts will not be material in the future.</w:t>
      </w:r>
    </w:p>
    <w:p>
      <w:pPr>
        <w:spacing w:after="0" w:line="276"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Because we use biological materials, hazardous materials, chemicals and radioactive compounds, if we do not comply with laws regulating the protection of the environment and health and human safety, our business could be adversely affected.</w:t>
      </w:r>
    </w:p>
    <w:p>
      <w:pPr>
        <w:spacing w:after="0" w:line="38" w:lineRule="exact"/>
        <w:rPr>
          <w:sz w:val="20"/>
          <w:szCs w:val="20"/>
          <w:color w:val="auto"/>
        </w:rPr>
      </w:pPr>
    </w:p>
    <w:p>
      <w:pPr>
        <w:ind w:right="120" w:firstLine="578"/>
        <w:spacing w:after="0" w:line="290" w:lineRule="auto"/>
        <w:rPr>
          <w:sz w:val="20"/>
          <w:szCs w:val="20"/>
          <w:color w:val="auto"/>
        </w:rPr>
      </w:pPr>
      <w:r>
        <w:rPr>
          <w:rFonts w:ascii="Arial" w:cs="Arial" w:eastAsia="Arial" w:hAnsi="Arial"/>
          <w:sz w:val="16"/>
          <w:szCs w:val="16"/>
          <w:color w:val="auto"/>
        </w:rPr>
        <w:t>Our research, development and manufacturing activities involve the use of potentially harmful biological materials as well as materials, chemicals and various radioactive compounds that could be hazardous to human health and safety or the environment. We store most of these materials and various wastes resulting from their use at our facility in Madison, Wisconsin pending ultimate use and disposal. We cannot completely eliminate the risk of contamination, which could cause interruption to our research and development and manufacturing efforts, injury to our employees and others, environmental damage, and liabilities under federal, state and local law. In such an event, we may be held liable for any resulting damages, and any liability could exceed our resources. Although we carry insurance in amounts and types that we consider commercially reasonable, we do not have insurance coverage for losses relating to an interruption of our research, development or manufacturing efforts caused by contamination, and the coverage or coverage limits of our insurance policies may not be adequate. If our losses exceed our insurance coverage, our financial condition would be affected.</w:t>
      </w:r>
    </w:p>
    <w:p>
      <w:pPr>
        <w:spacing w:after="0" w:line="27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If a natural or man-made disaster strikes our research and development facility or otherwise affects our business, it could delay our progress developing our product candidates.</w:t>
      </w:r>
    </w:p>
    <w:p>
      <w:pPr>
        <w:spacing w:after="0" w:line="62" w:lineRule="exact"/>
        <w:rPr>
          <w:sz w:val="20"/>
          <w:szCs w:val="20"/>
          <w:color w:val="auto"/>
        </w:rPr>
      </w:pPr>
    </w:p>
    <w:p>
      <w:pPr>
        <w:ind w:right="140" w:firstLine="578"/>
        <w:spacing w:after="0" w:line="291" w:lineRule="auto"/>
        <w:rPr>
          <w:sz w:val="20"/>
          <w:szCs w:val="20"/>
          <w:color w:val="auto"/>
        </w:rPr>
      </w:pPr>
      <w:r>
        <w:rPr>
          <w:rFonts w:ascii="Arial" w:cs="Arial" w:eastAsia="Arial" w:hAnsi="Arial"/>
          <w:sz w:val="16"/>
          <w:szCs w:val="16"/>
          <w:color w:val="auto"/>
        </w:rPr>
        <w:t>We conduct research and development in facilities in Madison, Wisconsin and San Diego, California. The facilities and the equipment we use are costly to replace and require substantial lead time to repair or replace. Our facilities may be harmed by natural or man-made disasters, including, without limitation, earthquakes, floods, fires and acts of terrorism; and if our facilities are affected by a disaster, or in some cases even a loss of power, our development efforts would be delayed and significant costs could be incurred. Significant delays in our development efforts could materially impact our ability to obtain regulatory approval and to commercialize our products. Any insurance we maintain against damage to our property and the disruption of our business due to disaster may not be sufficient to cover all of our potential losses and may not continue to be available to us on acceptable terms, or at all. In addition, our development activities could be harmed or delayed by a shutdown of the U.S. government, including the FDA.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claims may result in financial losses or harm our reputation and may divert management resources.</w:t>
      </w:r>
    </w:p>
    <w:p>
      <w:pPr>
        <w:spacing w:after="0" w:line="117" w:lineRule="exact"/>
        <w:rPr>
          <w:sz w:val="20"/>
          <w:szCs w:val="20"/>
          <w:color w:val="auto"/>
        </w:rPr>
      </w:pPr>
    </w:p>
    <w:p>
      <w:pPr>
        <w:ind w:right="240" w:firstLine="578"/>
        <w:spacing w:after="0" w:line="263" w:lineRule="auto"/>
        <w:rPr>
          <w:sz w:val="20"/>
          <w:szCs w:val="20"/>
          <w:color w:val="auto"/>
        </w:rPr>
      </w:pPr>
      <w:r>
        <w:rPr>
          <w:rFonts w:ascii="Arial" w:cs="Arial" w:eastAsia="Arial" w:hAnsi="Arial"/>
          <w:sz w:val="18"/>
          <w:szCs w:val="18"/>
          <w:color w:val="auto"/>
        </w:rPr>
        <w:t>When the market price of a stock is volatile, holders of that stock have often initiated securities class action litigation against the company that issued the stock. We cannot predict with certainty the eventual outcome of such litigation, arbitration or third-party inquiry. We may not be successful in defending ourselves or asserting our rights in current or future lawsuits, investigations, or claims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ind w:right="60"/>
        <w:spacing w:after="0" w:line="301" w:lineRule="auto"/>
        <w:rPr>
          <w:sz w:val="20"/>
          <w:szCs w:val="20"/>
          <w:color w:val="auto"/>
        </w:rPr>
      </w:pPr>
      <w:r>
        <w:rPr>
          <w:rFonts w:ascii="Arial" w:cs="Arial" w:eastAsia="Arial" w:hAnsi="Arial"/>
          <w:sz w:val="16"/>
          <w:szCs w:val="16"/>
          <w:color w:val="auto"/>
        </w:rPr>
        <w:t>that have been or may be brought against us and, as a result, our business could be materially harmed. These lawsuits, arbitrations, investigations or claims may result in large judgments or settlements against us, any of which could have a negative effect on our financial performance and business. Additionally, lawsuits, arbitrations and investigations can be expensive to defend, whether or not the lawsuit, arbitration or investigation has merit, and the defense of these actions may divert the attention of our management and other resources that would otherwise be engaged in running our business.</w:t>
      </w:r>
    </w:p>
    <w:p>
      <w:pPr>
        <w:spacing w:after="0" w:line="2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operations, including our relationships with healthcare providers, physicians and third-party payers, are subject to applicable anti-kickback, fraud and abuse, and other healthcare laws and regulations, which, in the event of a violation, exposes us to liability for criminal sanctions, civil penalties, and contractual damages, and reputational harm and diminished profits and future earnings.</w:t>
      </w:r>
    </w:p>
    <w:p>
      <w:pPr>
        <w:spacing w:after="0" w:line="76" w:lineRule="exact"/>
        <w:rPr>
          <w:sz w:val="20"/>
          <w:szCs w:val="20"/>
          <w:color w:val="auto"/>
        </w:rPr>
      </w:pPr>
    </w:p>
    <w:p>
      <w:pPr>
        <w:ind w:firstLine="578"/>
        <w:spacing w:after="0" w:line="275" w:lineRule="auto"/>
        <w:rPr>
          <w:sz w:val="20"/>
          <w:szCs w:val="20"/>
          <w:color w:val="auto"/>
        </w:rPr>
      </w:pPr>
      <w:r>
        <w:rPr>
          <w:rFonts w:ascii="Arial" w:cs="Arial" w:eastAsia="Arial" w:hAnsi="Arial"/>
          <w:sz w:val="17"/>
          <w:szCs w:val="17"/>
          <w:color w:val="auto"/>
        </w:rPr>
        <w:t>Our operations, including any arrangements that we enter into with healthcare providers, physicians, and third-party payers, are subject to broadly applicable fraud and abuse and other healthcare laws and regulations. Such laws and regulations, including applicable U.S. federal and state healthcare laws and regulations, as well as foreign laws, such as the federal Anti-Kickback Statute, the False Claims Act, the Health Insurance Portability and Accountability Act of 1996, or the Foreign Corrupt Practices Act, may constrain our operation and the business or financial arrangements through which we can market, sell and distribute any drug candidates for which we obtain marketing approval.</w:t>
      </w:r>
    </w:p>
    <w:p>
      <w:pPr>
        <w:spacing w:after="0" w:line="68" w:lineRule="exact"/>
        <w:rPr>
          <w:sz w:val="20"/>
          <w:szCs w:val="20"/>
          <w:color w:val="auto"/>
        </w:rPr>
      </w:pPr>
    </w:p>
    <w:p>
      <w:pPr>
        <w:ind w:right="20" w:firstLine="578"/>
        <w:spacing w:after="0" w:line="291" w:lineRule="auto"/>
        <w:rPr>
          <w:sz w:val="20"/>
          <w:szCs w:val="20"/>
          <w:color w:val="auto"/>
        </w:rPr>
      </w:pPr>
      <w:r>
        <w:rPr>
          <w:rFonts w:ascii="Arial" w:cs="Arial" w:eastAsia="Arial" w:hAnsi="Arial"/>
          <w:sz w:val="16"/>
          <w:szCs w:val="16"/>
          <w:color w:val="auto"/>
        </w:rPr>
        <w:t>Efforts to confirm that our business arrangements with third parties comply with applicable healthcare laws and regulations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become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we expect to continue to incur net losses and may not achieve or maintain profitability.</w:t>
      </w:r>
    </w:p>
    <w:p>
      <w:pPr>
        <w:spacing w:after="0" w:line="117" w:lineRule="exact"/>
        <w:rPr>
          <w:sz w:val="20"/>
          <w:szCs w:val="20"/>
          <w:color w:val="auto"/>
        </w:rPr>
      </w:pPr>
    </w:p>
    <w:p>
      <w:pPr>
        <w:ind w:right="20" w:firstLine="578"/>
        <w:spacing w:after="0" w:line="273" w:lineRule="auto"/>
        <w:rPr>
          <w:sz w:val="20"/>
          <w:szCs w:val="20"/>
          <w:color w:val="auto"/>
        </w:rPr>
      </w:pPr>
      <w:r>
        <w:rPr>
          <w:rFonts w:ascii="Arial" w:cs="Arial" w:eastAsia="Arial" w:hAnsi="Arial"/>
          <w:sz w:val="17"/>
          <w:szCs w:val="17"/>
          <w:color w:val="auto"/>
        </w:rPr>
        <w:t>We have incurred net losses since our inception and we expect that our operating losses will continue for the foreseeable future as we continue our drug development and discovery efforts. To achieve profitability, we must, either directly or through licensing and/or partnering relationships, meet certain milestones, successfully develop and obtain regulatory approval for one or more drug candidates and effectively manufacture, market and sell any drugs we successfully develop. Even if we successfully commercialize drug candidates that receive regulatory approval, we may not be able to realize revenues at a level that would allow us to achieve or sustain profitability. Accordingly, we may never generate significant revenue and, even if we do generate significant revenue, we may never achieve consistent profitability.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funds to complete our research and development activities.</w:t>
      </w:r>
    </w:p>
    <w:p>
      <w:pPr>
        <w:spacing w:after="0" w:line="117" w:lineRule="exact"/>
        <w:rPr>
          <w:sz w:val="20"/>
          <w:szCs w:val="20"/>
          <w:color w:val="auto"/>
        </w:rPr>
      </w:pPr>
    </w:p>
    <w:p>
      <w:pPr>
        <w:ind w:right="440" w:firstLine="578"/>
        <w:spacing w:after="0" w:line="342" w:lineRule="auto"/>
        <w:rPr>
          <w:sz w:val="20"/>
          <w:szCs w:val="20"/>
          <w:color w:val="auto"/>
        </w:rPr>
      </w:pPr>
      <w:r>
        <w:rPr>
          <w:rFonts w:ascii="Arial" w:cs="Arial" w:eastAsia="Arial" w:hAnsi="Arial"/>
          <w:sz w:val="16"/>
          <w:szCs w:val="16"/>
          <w:color w:val="auto"/>
        </w:rPr>
        <w:t>Our business currently does not generate the cash that is necessary to finance our operations. Subject to the success of the research and development programs of our company and our partners, and potential licensing or partnering transactions, we may need to raise additional capital to:</w:t>
      </w:r>
    </w:p>
    <w:p>
      <w:pPr>
        <w:spacing w:after="0" w:line="16" w:lineRule="exact"/>
        <w:rPr>
          <w:sz w:val="20"/>
          <w:szCs w:val="20"/>
          <w:color w:val="auto"/>
        </w:rPr>
      </w:pPr>
    </w:p>
    <w:p>
      <w:pPr>
        <w:ind w:left="740" w:hanging="368"/>
        <w:spacing w:after="0" w:line="258"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Fund research and development infrastructure and activities relating to the development of our drug candidates, including pre-clinical and clinical trials and manufacturing to support these efforts;</w:t>
      </w:r>
    </w:p>
    <w:p>
      <w:pPr>
        <w:spacing w:after="0" w:line="1" w:lineRule="exact"/>
        <w:rPr>
          <w:rFonts w:ascii="Arial" w:cs="Arial" w:eastAsia="Arial" w:hAnsi="Arial"/>
          <w:sz w:val="18"/>
          <w:szCs w:val="18"/>
          <w:color w:val="auto"/>
        </w:rPr>
      </w:pPr>
    </w:p>
    <w:p>
      <w:pPr>
        <w:ind w:left="740" w:right="240" w:hanging="368"/>
        <w:spacing w:after="0" w:line="250"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Fund a commercialization infrastructure and activities related to the sale, marketing, customer support, and distribution of our drug products if and when they become approved;</w:t>
      </w: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Fund our general and administrative infrastructure and activities;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Pursue business development opportunities for our technologies;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 to and protect our intellectual property;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Retain our management and technical staff.</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future capital needs depend on many factors, including:</w:t>
      </w:r>
    </w:p>
    <w:p>
      <w:pPr>
        <w:spacing w:after="0" w:line="117" w:lineRule="exact"/>
        <w:rPr>
          <w:sz w:val="20"/>
          <w:szCs w:val="20"/>
          <w:color w:val="auto"/>
        </w:rPr>
      </w:pPr>
    </w:p>
    <w:p>
      <w:pPr>
        <w:ind w:left="740" w:right="260" w:hanging="368"/>
        <w:spacing w:after="0" w:line="258"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duration, and expenditures associated with our research and development, including the progression of our clinical trials, with late-stage trials generally requiring greater capital than early-stage trials;</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requirements for our clinical trials;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our research and development and clinical efforts are successful;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ind w:left="740" w:right="500" w:hanging="368"/>
        <w:spacing w:after="0" w:line="258"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of potential partnering or licensing transactions, if any, and the extent to which our business development efforts result in the acquisition of new programs or technologies;</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Competing technological developments;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intellectual property positions, if any, in our products;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regulatory approval process and regulatory standards for our drug candidates.</w:t>
      </w:r>
    </w:p>
    <w:p>
      <w:pPr>
        <w:spacing w:after="0" w:line="211" w:lineRule="exact"/>
        <w:rPr>
          <w:sz w:val="20"/>
          <w:szCs w:val="20"/>
          <w:color w:val="auto"/>
        </w:rPr>
      </w:pPr>
    </w:p>
    <w:p>
      <w:pPr>
        <w:ind w:firstLine="578"/>
        <w:spacing w:after="0" w:line="288" w:lineRule="auto"/>
        <w:rPr>
          <w:sz w:val="20"/>
          <w:szCs w:val="20"/>
          <w:color w:val="auto"/>
        </w:rPr>
      </w:pPr>
      <w:r>
        <w:rPr>
          <w:rFonts w:ascii="Arial" w:cs="Arial" w:eastAsia="Arial" w:hAnsi="Arial"/>
          <w:sz w:val="16"/>
          <w:szCs w:val="16"/>
          <w:color w:val="auto"/>
        </w:rPr>
        <w:t>We will need to raise additional funds through public or private equity offerings, debt financings or additional strategic alliances and licensing arrangements in the future to continue our operations. We may not be able to obtain additional financing on terms favorable to us, if at all. General market conditions may make it very difficult for us to seek financing from the capital markets, and the terms of any financing may adversely affect the holdings or the rights of our stockholders. For example, if we raise additional funds by issuing equity securities, further dilution to our stockholders will result, which may substantially dilute the value of your investment. In addition, as a condition to providing additional funds to us, future investors may demand, and may be granted, rights superior to those of existing stockholders. Debt financing, if available, may involve restrictive covenants that could limit our flexibility in conducting future business activities and, in the event of insolvency, would be paid before holders of equity securities received any distribution of corporate assets. In order to raise additional funds through alliance, joint venture or licensing arrangements, we may be required to relinquish rights to our technologies or drug candidates or grant licenses on terms that are not favorable to us. If adequate funds are not available, we may have to further delay, reduce or eliminate one or more of our planned activities. These actions would likely reduce the market price of our common stock.</w:t>
      </w:r>
    </w:p>
    <w:p>
      <w:pPr>
        <w:spacing w:after="0" w:line="2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consolidated financial statements prove inaccurate, our actual results may vary from those reflected in our accruals.</w:t>
      </w:r>
    </w:p>
    <w:p>
      <w:pPr>
        <w:spacing w:after="0" w:line="62" w:lineRule="exact"/>
        <w:rPr>
          <w:sz w:val="20"/>
          <w:szCs w:val="20"/>
          <w:color w:val="auto"/>
        </w:rPr>
      </w:pPr>
    </w:p>
    <w:p>
      <w:pPr>
        <w:ind w:right="60" w:firstLine="578"/>
        <w:spacing w:after="0" w:line="275" w:lineRule="auto"/>
        <w:rPr>
          <w:sz w:val="20"/>
          <w:szCs w:val="20"/>
          <w:color w:val="auto"/>
        </w:rPr>
      </w:pPr>
      <w:r>
        <w:rPr>
          <w:rFonts w:ascii="Arial" w:cs="Arial" w:eastAsia="Arial" w:hAnsi="Arial"/>
          <w:sz w:val="17"/>
          <w:szCs w:val="17"/>
          <w:color w:val="auto"/>
        </w:rPr>
        <w:t>Our consolidated financial statements have been prepared in accordance with accounting principles generally accepted in the United States of America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you, however, that our estimates, or the assumptions underlying them, will be correct.</w:t>
      </w:r>
    </w:p>
    <w:p>
      <w:pPr>
        <w:spacing w:after="0" w:line="2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investment of our cash, cash equivalents and fixed income marketable securities is subject to risks which may cause losses and affect the liquidity of these investments.</w:t>
      </w:r>
    </w:p>
    <w:p>
      <w:pPr>
        <w:spacing w:after="0" w:line="62" w:lineRule="exact"/>
        <w:rPr>
          <w:sz w:val="20"/>
          <w:szCs w:val="20"/>
          <w:color w:val="auto"/>
        </w:rPr>
      </w:pPr>
    </w:p>
    <w:p>
      <w:pPr>
        <w:ind w:right="40" w:firstLine="578"/>
        <w:spacing w:after="0" w:line="254" w:lineRule="auto"/>
        <w:rPr>
          <w:sz w:val="20"/>
          <w:szCs w:val="20"/>
          <w:color w:val="auto"/>
        </w:rPr>
      </w:pPr>
      <w:r>
        <w:rPr>
          <w:rFonts w:ascii="Arial" w:cs="Arial" w:eastAsia="Arial" w:hAnsi="Arial"/>
          <w:sz w:val="18"/>
          <w:szCs w:val="18"/>
          <w:color w:val="auto"/>
        </w:rPr>
        <w:t>At September 30, 2021, we had $428.9 million in fixed income, certificate of deposit, and equity marketable securities. Our investments may also include commercial paper, securities issued by the U.S. government obligations, and money market funds meeting the criteria of our investment policy, which is focused on the preservation of our capital. These investments are subject to general credit, liquidity, and market and interest rate risks, particularly in the current economic environment. We may realize losses in the fair value of these investments or a complete loss of these investments, which would have a negative effect on our consolidated financial statements. In addition, should our investments cease paying or reduce the amount of interest paid to us, our interest income would suffer. The market risks associated with our investment portfolio may have an adverse effect on our results of operations, liquidity and financial condition.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net operating loss carryforwards and other tax benefits may be limited.</w:t>
      </w:r>
    </w:p>
    <w:p>
      <w:pPr>
        <w:spacing w:after="0" w:line="117" w:lineRule="exact"/>
        <w:rPr>
          <w:sz w:val="20"/>
          <w:szCs w:val="20"/>
          <w:color w:val="auto"/>
        </w:rPr>
      </w:pPr>
    </w:p>
    <w:p>
      <w:pPr>
        <w:ind w:right="20" w:firstLine="655"/>
        <w:spacing w:after="0" w:line="288" w:lineRule="auto"/>
        <w:rPr>
          <w:sz w:val="20"/>
          <w:szCs w:val="20"/>
          <w:color w:val="auto"/>
        </w:rPr>
      </w:pPr>
      <w:r>
        <w:rPr>
          <w:rFonts w:ascii="Arial" w:cs="Arial" w:eastAsia="Arial" w:hAnsi="Arial"/>
          <w:sz w:val="16"/>
          <w:szCs w:val="16"/>
          <w:color w:val="auto"/>
        </w:rPr>
        <w:t>We have historically incurred net losses. Under the Internal Revenue Code of 1986, as amended (the “Code”), a corporation is generally allowed a deduction for net operating losses (NOLs) carried forward from a prior taxable year. Under that provision, we can carryforward our NOLs to offset our future taxable income, if any, until such NOLs are used or expire. As of September 30, 2021, we had federal, and state NOL carryforwards of approximately $569.0 million and $626.5 million, respectively. As a result of the Coronavirus Aid, Relief, and Economic Security Act of 2020 (“CARES Act”) and legislation commonly referred to as the Tax Cuts and Jobs Act of 2017 (“2017 Tax Act”), NOLs arising before January 1, 2018, and NOLs arising after January 1, 2018, are subject to different rules. Under the CARES Act and 2017 Tax Act, federal NOLs incurred in 2018, 2019 and 2020 can generally be carried back five years, carried forward indefinitely and can offset 100% of future taxable income for tax years before January 1, 2021 and up to 80% of future taxable income for tax years after December 31, 2020. Any NOLs arising on or after January 1, 2021, cannot be carried back, can generally be carried forward indefinitely and can offset up to 80% of future taxable income. It is uncertain if and to what extent various states will conform to the newly enacted federal tax law. These NOL carryforwards could expire unused before offsetting potential future income tax liabilities.</w:t>
      </w:r>
    </w:p>
    <w:p>
      <w:pPr>
        <w:spacing w:after="0" w:line="60" w:lineRule="exact"/>
        <w:rPr>
          <w:sz w:val="20"/>
          <w:szCs w:val="20"/>
          <w:color w:val="auto"/>
        </w:rPr>
      </w:pPr>
    </w:p>
    <w:p>
      <w:pPr>
        <w:ind w:right="60" w:firstLine="655"/>
        <w:spacing w:after="0" w:line="257" w:lineRule="auto"/>
        <w:rPr>
          <w:sz w:val="20"/>
          <w:szCs w:val="20"/>
          <w:color w:val="auto"/>
        </w:rPr>
      </w:pPr>
      <w:r>
        <w:rPr>
          <w:rFonts w:ascii="Arial" w:cs="Arial" w:eastAsia="Arial" w:hAnsi="Arial"/>
          <w:sz w:val="18"/>
          <w:szCs w:val="18"/>
          <w:color w:val="auto"/>
        </w:rPr>
        <w:t>In addition, under Section 382 of the Code and corresponding provisions of state law, if a corporation undergoes an “ownership change,” which is generally defined as a greater than 50 percent change, by value, in its equity ownership over a three-year period, the corporation’s ability to use its pre-change NOL carryforwards and other pre-change tax attributes to offset its post-change income or taxes may be limited. It is possible that we have experienced an ownership change limitation. We may experience ownership changes in the future as a result of subsequent shifts in our stock ownership, some of which may be outside of our control.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6" w:name="page47"/>
    <w:bookmarkEnd w:id="46"/>
    <w:p>
      <w:pPr>
        <w:ind w:right="60"/>
        <w:spacing w:after="0" w:line="277" w:lineRule="auto"/>
        <w:rPr>
          <w:sz w:val="20"/>
          <w:szCs w:val="20"/>
          <w:color w:val="auto"/>
        </w:rPr>
      </w:pPr>
      <w:r>
        <w:rPr>
          <w:rFonts w:ascii="Arial" w:cs="Arial" w:eastAsia="Arial" w:hAnsi="Arial"/>
          <w:sz w:val="18"/>
          <w:szCs w:val="18"/>
          <w:color w:val="auto"/>
        </w:rPr>
        <w:t>If an ownership change occurs and our ability to use our NOL carryforwards is materially limited, it would harm our future operating results by effectively increasing our future tax obligations.</w:t>
      </w:r>
    </w:p>
    <w:p>
      <w:pPr>
        <w:spacing w:after="0" w:line="27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business is subject to changing regulations for corporate governance and public disclosure that has increased both our costs and the risk of noncompliance.</w:t>
      </w:r>
    </w:p>
    <w:p>
      <w:pPr>
        <w:spacing w:after="0" w:line="62"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Each year we are required to evaluate our internal controls systems in order to allow management to report on and our Independent Registered Public Accounting Firm to attest to, our internal controls as required by Section 404 of the Sarbanes-Oxley Act. As a result, we continue to incur additional expenses and divert our management's time to comply with these regulations. In addition, if we cannot continue to comply with the requirements of Section 404 in a timely manner, we might be subject to sanctions or investigation by regulatory authorities, such as the SEC, the Public Company Accounting Oversight Board (“PCAOB”) or The Nasdaq Global Select Market. Any such action could adversely affect our financial results and the market price of our Common 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additional tax liabilities.</w:t>
      </w:r>
    </w:p>
    <w:p>
      <w:pPr>
        <w:spacing w:after="0" w:line="117" w:lineRule="exact"/>
        <w:rPr>
          <w:sz w:val="20"/>
          <w:szCs w:val="20"/>
          <w:color w:val="auto"/>
        </w:rPr>
      </w:pPr>
    </w:p>
    <w:p>
      <w:pPr>
        <w:ind w:right="100" w:firstLine="578"/>
        <w:spacing w:after="0" w:line="270" w:lineRule="auto"/>
        <w:rPr>
          <w:sz w:val="20"/>
          <w:szCs w:val="20"/>
          <w:color w:val="auto"/>
        </w:rPr>
      </w:pPr>
      <w:r>
        <w:rPr>
          <w:rFonts w:ascii="Arial" w:cs="Arial" w:eastAsia="Arial" w:hAnsi="Arial"/>
          <w:sz w:val="17"/>
          <w:szCs w:val="17"/>
          <w:color w:val="auto"/>
        </w:rPr>
        <w:t>We are subject to U.S. federal, state, local and sales taxes in the United States and Australia. Significant judgment is required in evaluating our tax positions.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for which a determination is made.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Investment and Securities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Board of Directors has the authority to issue shares of “blank check” preferred stock, which may make an acquisition of the Company by another company more difficult.</w:t>
      </w:r>
    </w:p>
    <w:p>
      <w:pPr>
        <w:spacing w:after="0" w:line="62" w:lineRule="exact"/>
        <w:rPr>
          <w:sz w:val="20"/>
          <w:szCs w:val="20"/>
          <w:color w:val="auto"/>
        </w:rPr>
      </w:pPr>
    </w:p>
    <w:p>
      <w:pPr>
        <w:ind w:right="20" w:firstLine="578"/>
        <w:spacing w:after="0" w:line="255" w:lineRule="auto"/>
        <w:rPr>
          <w:sz w:val="20"/>
          <w:szCs w:val="20"/>
          <w:color w:val="auto"/>
        </w:rPr>
      </w:pPr>
      <w:r>
        <w:rPr>
          <w:rFonts w:ascii="Arial" w:cs="Arial" w:eastAsia="Arial" w:hAnsi="Arial"/>
          <w:sz w:val="18"/>
          <w:szCs w:val="18"/>
          <w:color w:val="auto"/>
        </w:rPr>
        <w:t>We have adopted and may in the future adopt certain measures that may have the effect of delaying, deferring or preventing a takeover or other change in control of the Company that a holder of our Common Stock might consider in its best interest. For example,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 These factors could also reduce the price that certain investors might be willing to pay for shares of our Common Stock and result in the market price being lower than it would be without these provisions.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declare cash dividends on our Common Stock.</w:t>
      </w:r>
    </w:p>
    <w:p>
      <w:pPr>
        <w:spacing w:after="0" w:line="117" w:lineRule="exact"/>
        <w:rPr>
          <w:sz w:val="20"/>
          <w:szCs w:val="20"/>
          <w:color w:val="auto"/>
        </w:rPr>
      </w:pPr>
    </w:p>
    <w:p>
      <w:pPr>
        <w:ind w:right="340" w:firstLine="578"/>
        <w:spacing w:after="0" w:line="342" w:lineRule="auto"/>
        <w:rPr>
          <w:sz w:val="20"/>
          <w:szCs w:val="20"/>
          <w:color w:val="auto"/>
        </w:rPr>
      </w:pPr>
      <w:r>
        <w:rPr>
          <w:rFonts w:ascii="Arial" w:cs="Arial" w:eastAsia="Arial" w:hAnsi="Arial"/>
          <w:sz w:val="16"/>
          <w:szCs w:val="16"/>
          <w:color w:val="auto"/>
        </w:rPr>
        <w:t>We will not distribute cash to our stockholders unless and until we can develop sufficient funds from operations to meet our ongoing needs and implement our business plan. The time frame for that is unpredictable and investors should not expect dividends in the near future, if at all.</w:t>
      </w:r>
    </w:p>
    <w:p>
      <w:pPr>
        <w:spacing w:after="0" w:line="2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make adverse recommendations regarding an investment in our stock, our stock price and trading volume may decline.</w:t>
      </w:r>
    </w:p>
    <w:p>
      <w:pPr>
        <w:spacing w:after="0" w:line="62" w:lineRule="exact"/>
        <w:rPr>
          <w:sz w:val="20"/>
          <w:szCs w:val="20"/>
          <w:color w:val="auto"/>
        </w:rPr>
      </w:pPr>
    </w:p>
    <w:p>
      <w:pPr>
        <w:ind w:right="20" w:firstLine="578"/>
        <w:spacing w:after="0" w:line="289" w:lineRule="auto"/>
        <w:rPr>
          <w:sz w:val="20"/>
          <w:szCs w:val="20"/>
          <w:color w:val="auto"/>
        </w:rPr>
      </w:pPr>
      <w:r>
        <w:rPr>
          <w:rFonts w:ascii="Arial" w:cs="Arial" w:eastAsia="Arial" w:hAnsi="Arial"/>
          <w:sz w:val="16"/>
          <w:szCs w:val="16"/>
          <w:color w:val="auto"/>
        </w:rPr>
        <w:t>The trading market for our Common Stock can be influenced by the research and reports that industry or securities analysts publish about our business. Currently, coverage of our Company by industry and securities analysts is limited. Investors have many investment opportunities and may limit their investments to companies that receive greater coverage from analysts. If additional industry or securities analysts do not commence coverage of the Company, the trading price of our stock could be negatively impacted. If one or more of the analysts downgrade our stock or comment negatively on our prospects, our stock price may decline. If one or more of these analysts cease to cover our industry or us or fail to publish reports about the Company regularly, our Common Stock could lose visibility in the financial markets, which could also cause our stock price or trading volume to decline. Further, incorrect judgments, estimates or assumptions made by research analysts may adversely affect our stock price, particularly if subsequent performance falls below the levels that were projected by the research analyst(s), even if we did not set or endorse such expectations. Any of these events could cause further volatility in our stock price and could result in substantial declines in the value of our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7" w:name="page48"/>
    <w:bookmarkEnd w:id="47"/>
    <w:p>
      <w:pPr>
        <w:ind w:right="480"/>
        <w:spacing w:after="0" w:line="277" w:lineRule="auto"/>
        <w:rPr>
          <w:sz w:val="20"/>
          <w:szCs w:val="20"/>
          <w:color w:val="auto"/>
        </w:rPr>
      </w:pPr>
      <w:r>
        <w:rPr>
          <w:rFonts w:ascii="Arial" w:cs="Arial" w:eastAsia="Arial" w:hAnsi="Arial"/>
          <w:sz w:val="18"/>
          <w:szCs w:val="18"/>
          <w:b w:val="1"/>
          <w:bCs w:val="1"/>
          <w:i w:val="1"/>
          <w:iCs w:val="1"/>
          <w:color w:val="auto"/>
        </w:rPr>
        <w:t>The market for purchases and sales of our Common Stock may be limited, and the sale of a limited number of shares could cause the price to fall sharply.</w:t>
      </w:r>
    </w:p>
    <w:p>
      <w:pPr>
        <w:spacing w:after="0" w:line="62" w:lineRule="exact"/>
        <w:rPr>
          <w:sz w:val="20"/>
          <w:szCs w:val="20"/>
          <w:color w:val="auto"/>
        </w:rPr>
      </w:pPr>
    </w:p>
    <w:p>
      <w:pPr>
        <w:ind w:right="220" w:firstLine="578"/>
        <w:spacing w:after="0" w:line="275" w:lineRule="auto"/>
        <w:rPr>
          <w:sz w:val="20"/>
          <w:szCs w:val="20"/>
          <w:color w:val="auto"/>
        </w:rPr>
      </w:pPr>
      <w:r>
        <w:rPr>
          <w:rFonts w:ascii="Arial" w:cs="Arial" w:eastAsia="Arial" w:hAnsi="Arial"/>
          <w:sz w:val="17"/>
          <w:szCs w:val="17"/>
          <w:color w:val="auto"/>
        </w:rPr>
        <w:t>Although our Common Stock is listed for trading on the Nasdaq Global Select Market, at various times our securities are relatively thinly traded. Investor trading patterns could serve to exacerbate the volatility of the price of our stock. For example, mandatory sales of our Common Stock by institutional holders could be triggered if an investment in our Common Stock no longer satisfies their investment standards and guidelines. It may be difficult to sell shares of our Common Stock quickly without significantly depressing the value of the stock. Unless we are successful in developing continued investor interest in our stock, sales of our stock could result in major fluctuations in the price of the stock.</w:t>
      </w:r>
    </w:p>
    <w:p>
      <w:pPr>
        <w:spacing w:after="0" w:line="2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Common Stock price has fluctuated significantly over the last several years and may continue to do so in the future, without regard to our results of operations and prospects.</w:t>
      </w:r>
    </w:p>
    <w:p>
      <w:pPr>
        <w:spacing w:after="0" w:line="62"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Because we are early in the stage of our drug development, there are few objective metrics by which our progress may be measured. Consequently, we expect that the market price of our Common Stock will continue to fluctuate significantly. We may not continue to generate substantial revenue from the license or sale of our technology for several years, if at all. In the absence of product revenue as a measure of our operating performance, we anticipate that investors and market analysts will assess our performance by considering factors such as:</w:t>
      </w:r>
    </w:p>
    <w:p>
      <w:pPr>
        <w:spacing w:after="0" w:line="79" w:lineRule="exact"/>
        <w:rPr>
          <w:sz w:val="20"/>
          <w:szCs w:val="20"/>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developments related to our business;</w:t>
      </w:r>
    </w:p>
    <w:p>
      <w:pPr>
        <w:spacing w:after="0" w:line="23" w:lineRule="exact"/>
        <w:rPr>
          <w:rFonts w:ascii="Arial" w:cs="Arial" w:eastAsia="Arial" w:hAnsi="Arial"/>
          <w:sz w:val="18"/>
          <w:szCs w:val="18"/>
          <w:color w:val="auto"/>
        </w:rPr>
      </w:pPr>
    </w:p>
    <w:p>
      <w:pPr>
        <w:ind w:left="740" w:right="500" w:hanging="368"/>
        <w:spacing w:after="0" w:line="250"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enter into or extend investigation phase, development phase, commercialization phase and other agreements with new and/or existing partners;</w:t>
      </w: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regarding the status of any or all of our collaborations or products, including clinical trial results;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perception and/or investor sentiment regarding our technology;</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actions taken by regulatory authorities, such as the U.S. Food and Drug Administration;</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regarding developments in the RNA interference or biotechnology fields in general;</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regarding clinical trial results with our products or competitors’ products;</w:t>
      </w:r>
    </w:p>
    <w:p>
      <w:pPr>
        <w:spacing w:after="0" w:line="9" w:lineRule="exact"/>
        <w:rPr>
          <w:rFonts w:ascii="Arial" w:cs="Arial" w:eastAsia="Arial" w:hAnsi="Arial"/>
          <w:sz w:val="18"/>
          <w:szCs w:val="18"/>
          <w:color w:val="auto"/>
        </w:rPr>
      </w:pPr>
    </w:p>
    <w:p>
      <w:pPr>
        <w:ind w:left="740" w:right="160" w:hanging="368"/>
        <w:spacing w:after="0" w:line="250"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perception and/or announcements regarding other companies developing products in the field of biotechnology generally or specifically RNA interference;</w:t>
      </w: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issuance of competitive patents or disallowance or loss of our patent rights;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addition or departure of key executives;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our operating results.</w:t>
      </w:r>
    </w:p>
    <w:p>
      <w:pPr>
        <w:spacing w:after="0" w:line="211" w:lineRule="exact"/>
        <w:rPr>
          <w:sz w:val="20"/>
          <w:szCs w:val="20"/>
          <w:color w:val="auto"/>
        </w:rPr>
      </w:pPr>
    </w:p>
    <w:p>
      <w:pPr>
        <w:ind w:right="120" w:firstLine="578"/>
        <w:spacing w:after="0" w:line="277" w:lineRule="auto"/>
        <w:rPr>
          <w:sz w:val="20"/>
          <w:szCs w:val="20"/>
          <w:color w:val="auto"/>
        </w:rPr>
      </w:pPr>
      <w:r>
        <w:rPr>
          <w:rFonts w:ascii="Arial" w:cs="Arial" w:eastAsia="Arial" w:hAnsi="Arial"/>
          <w:sz w:val="18"/>
          <w:szCs w:val="18"/>
          <w:color w:val="auto"/>
        </w:rPr>
        <w:t>We will not have control over many of these factors but expect that they may influence our stock price. As a result, our stock price may be volatile and such volatility could result in the loss of all or part of your investment.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equity interest may be substantially diluted in any additional equity issuances.</w:t>
      </w:r>
    </w:p>
    <w:p>
      <w:pPr>
        <w:spacing w:after="0" w:line="117" w:lineRule="exact"/>
        <w:rPr>
          <w:sz w:val="20"/>
          <w:szCs w:val="20"/>
          <w:color w:val="auto"/>
        </w:rPr>
      </w:pPr>
    </w:p>
    <w:p>
      <w:pPr>
        <w:ind w:right="60" w:firstLine="578"/>
        <w:spacing w:after="0" w:line="275" w:lineRule="auto"/>
        <w:rPr>
          <w:sz w:val="20"/>
          <w:szCs w:val="20"/>
          <w:color w:val="auto"/>
        </w:rPr>
      </w:pPr>
      <w:r>
        <w:rPr>
          <w:rFonts w:ascii="Arial" w:cs="Arial" w:eastAsia="Arial" w:hAnsi="Arial"/>
          <w:sz w:val="17"/>
          <w:szCs w:val="17"/>
          <w:color w:val="auto"/>
        </w:rPr>
        <w:t>We expect that significant 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Inherent in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is time consuming, expensive and risky.</w:t>
      </w:r>
    </w:p>
    <w:p>
      <w:pPr>
        <w:spacing w:after="0" w:line="117" w:lineRule="exact"/>
        <w:rPr>
          <w:sz w:val="20"/>
          <w:szCs w:val="20"/>
          <w:color w:val="auto"/>
        </w:rPr>
      </w:pPr>
    </w:p>
    <w:p>
      <w:pPr>
        <w:ind w:right="500" w:firstLine="578"/>
        <w:spacing w:after="0" w:line="342" w:lineRule="auto"/>
        <w:rPr>
          <w:sz w:val="20"/>
          <w:szCs w:val="20"/>
          <w:color w:val="auto"/>
        </w:rPr>
      </w:pPr>
      <w:r>
        <w:rPr>
          <w:rFonts w:ascii="Arial" w:cs="Arial" w:eastAsia="Arial" w:hAnsi="Arial"/>
          <w:sz w:val="16"/>
          <w:szCs w:val="16"/>
          <w:color w:val="auto"/>
        </w:rPr>
        <w:t>We are focused on technology related to new and improved pharmaceutical candidates. Product candidates that appear promising in the early phases of development, such as in animal and early human clinical trials, often fail to reach the market for a number of reasons, such as:</w:t>
      </w:r>
    </w:p>
    <w:p>
      <w:pPr>
        <w:spacing w:after="0" w:line="16" w:lineRule="exact"/>
        <w:rPr>
          <w:sz w:val="20"/>
          <w:szCs w:val="20"/>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 results may be unacceptable, even though preclinical trial results were promising;</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Inefficacy and/or harmful side effects in humans or animals;</w:t>
      </w:r>
    </w:p>
    <w:p>
      <w:pPr>
        <w:spacing w:after="0" w:line="9" w:lineRule="exact"/>
        <w:rPr>
          <w:rFonts w:ascii="Arial" w:cs="Arial" w:eastAsia="Arial" w:hAnsi="Arial"/>
          <w:sz w:val="18"/>
          <w:szCs w:val="18"/>
          <w:color w:val="auto"/>
        </w:rPr>
      </w:pPr>
    </w:p>
    <w:p>
      <w:pPr>
        <w:ind w:left="740" w:right="100" w:hanging="368"/>
        <w:spacing w:after="0" w:line="250"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necessary regulatory bodies, such as the U.S. Food and Drug Administration, may not approve our potential product for the intended use, or at all; and</w:t>
      </w: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Manufacturing and distribution may be uneconomical.</w:t>
      </w:r>
    </w:p>
    <w:p>
      <w:pPr>
        <w:spacing w:after="0" w:line="211" w:lineRule="exact"/>
        <w:rPr>
          <w:sz w:val="20"/>
          <w:szCs w:val="20"/>
          <w:color w:val="auto"/>
        </w:rPr>
      </w:pPr>
    </w:p>
    <w:p>
      <w:pPr>
        <w:ind w:right="540" w:firstLine="578"/>
        <w:spacing w:after="0" w:line="308" w:lineRule="auto"/>
        <w:rPr>
          <w:sz w:val="20"/>
          <w:szCs w:val="20"/>
          <w:color w:val="auto"/>
        </w:rPr>
      </w:pPr>
      <w:r>
        <w:rPr>
          <w:rFonts w:ascii="Arial" w:cs="Arial" w:eastAsia="Arial" w:hAnsi="Arial"/>
          <w:sz w:val="17"/>
          <w:szCs w:val="17"/>
          <w:color w:val="auto"/>
        </w:rPr>
        <w:t>For example, any positive pre-clinical results in animals for our pre-clinical programs may not be replicated in human clinical studies. These programs may be also found to be unsafe in humans, particularly at higher doses needed to achieve the desired levels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right="60"/>
        <w:spacing w:after="0" w:line="271" w:lineRule="auto"/>
        <w:rPr>
          <w:sz w:val="20"/>
          <w:szCs w:val="20"/>
          <w:color w:val="auto"/>
        </w:rPr>
      </w:pPr>
      <w:r>
        <w:rPr>
          <w:rFonts w:ascii="Arial" w:cs="Arial" w:eastAsia="Arial" w:hAnsi="Arial"/>
          <w:sz w:val="17"/>
          <w:szCs w:val="17"/>
          <w:color w:val="auto"/>
        </w:rPr>
        <w:t>efficacy. Also, the positive safety results from single dose human clinical studies may not be replicated in other human studies, including multiple dose studies. Clinical and pre-clinical study results are frequently susceptible to varying interpretations by scientists, medical personnel, regulatory personnel, statisticians and others, which often delays, limits, or prevents further clinical development or regulatory approvals of potential products. Clinical trials can take many years to complete, including the process of study design, clinical site selection and the recruitment of patients. As a result, we can experience significant delays in completing clinical studies, which can increase the cost of developing a drug candidate and shorten the time that an approved product may be protected by patents. If our drug candidates are not successful in human clinical trials, we may be forced to curtail or abandon certain development programs. If we experience significant delays in commencing or completing our clinical studies, we could suffer from significant cost overruns, which could negatively affect our capital resources and our ability to complete these studies.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healthcare system is under significant financial pressure to reduce costs, which could reduce payment and reimbursement rates for drugs.</w:t>
      </w:r>
    </w:p>
    <w:p>
      <w:pPr>
        <w:spacing w:after="0" w:line="140" w:lineRule="exact"/>
        <w:rPr>
          <w:sz w:val="20"/>
          <w:szCs w:val="20"/>
          <w:color w:val="auto"/>
        </w:rPr>
      </w:pPr>
    </w:p>
    <w:p>
      <w:pPr>
        <w:jc w:val="both"/>
        <w:ind w:right="100" w:firstLine="578"/>
        <w:spacing w:after="0" w:line="275" w:lineRule="auto"/>
        <w:rPr>
          <w:sz w:val="20"/>
          <w:szCs w:val="20"/>
          <w:color w:val="auto"/>
        </w:rPr>
      </w:pPr>
      <w:r>
        <w:rPr>
          <w:rFonts w:ascii="Arial" w:cs="Arial" w:eastAsia="Arial" w:hAnsi="Arial"/>
          <w:sz w:val="17"/>
          <w:szCs w:val="17"/>
          <w:color w:val="auto"/>
        </w:rPr>
        <w:t>Throughout the world and particularly in the United States the healthcare system is under significant financial pressure to reduce costs. The price of pharmaceuticals has been a topic of considerable public discussion that could lead to price controls or other price-limiting strategies by payors that have the effect of lowering payment and reimbursement rates for drugs or otherwise making the commercialization of pharmaceuticals less profitable. Political, economic and regulatory developments may further complicate pricing negotiations, and pricing negotiations may continue after reimbursement has been obtained. These effects could reduce or eliminate our ability to return value to our stockholders.</w:t>
      </w:r>
    </w:p>
    <w:p>
      <w:pPr>
        <w:spacing w:after="0" w:line="2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Regulatory standards are subject to change over time, making it difficult to accurately predict the likelihood of marketing approval even when clinical trials meet their endpoints.</w:t>
      </w:r>
    </w:p>
    <w:p>
      <w:pPr>
        <w:spacing w:after="0" w:line="2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Regulatory standards are promulgated by various government entities and are subject to change based on factors such as scientific developments, public perceptions of risk, and political forces. Because clinical trials often take years to complete, it is sometimes possible for standards that exist during the conception and initiation of a clinical trial to change before the clinical trial is completed or reviewed by government regulators. For example, we may initiate clinical trials that are designed to show benefits on relatively short-term endpoints, but ultimately be required to show benefits in longer-term outcome studies. While some government entities have safeguards intended to ensure standards agreed upon by sponsors and regulators at the outset of a clinical trial are applied during regulatory review processes, those safeguards generally permit regulators to apply more rigorous standards where regulators believe doing so is necessary. As such, there can be no assurance that regulatory standards that are appropriate at the outset of a clinical trial program will not become more rigorous during the regulatory approval process and could potentially result in a delayed approval or denial of marketing authorization.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does not own any real property. The following table summarizes the Company’s leased facilities as of September 30, 2021.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400" w:type="dxa"/>
            <w:vAlign w:val="bottom"/>
            <w:gridSpan w:val="2"/>
          </w:tcPr>
          <w:p>
            <w:pPr>
              <w:ind w:left="440"/>
              <w:spacing w:after="0"/>
              <w:rPr>
                <w:sz w:val="20"/>
                <w:szCs w:val="20"/>
                <w:color w:val="auto"/>
              </w:rPr>
            </w:pPr>
            <w:r>
              <w:rPr>
                <w:rFonts w:ascii="Arial" w:cs="Arial" w:eastAsia="Arial" w:hAnsi="Arial"/>
                <w:sz w:val="14"/>
                <w:szCs w:val="14"/>
                <w:b w:val="1"/>
                <w:bCs w:val="1"/>
                <w:color w:val="auto"/>
              </w:rPr>
              <w:t>Office</w:t>
            </w: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Monthly</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Primary Use</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Lease</w:t>
            </w:r>
          </w:p>
        </w:tc>
        <w:tc>
          <w:tcPr>
            <w:tcW w:w="13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Lease Term</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400" w:type="dxa"/>
            <w:vAlign w:val="bottom"/>
            <w:gridSpan w:val="2"/>
          </w:tcPr>
          <w:p>
            <w:pPr>
              <w:ind w:left="440"/>
              <w:spacing w:after="0"/>
              <w:rPr>
                <w:sz w:val="20"/>
                <w:szCs w:val="20"/>
                <w:color w:val="auto"/>
              </w:rPr>
            </w:pPr>
            <w:r>
              <w:rPr>
                <w:rFonts w:ascii="Arial" w:cs="Arial" w:eastAsia="Arial" w:hAnsi="Arial"/>
                <w:sz w:val="14"/>
                <w:szCs w:val="14"/>
                <w:b w:val="1"/>
                <w:bCs w:val="1"/>
                <w:color w:val="auto"/>
              </w:rPr>
              <w:t>Space</w:t>
            </w:r>
          </w:p>
        </w:tc>
        <w:tc>
          <w:tcPr>
            <w:tcW w:w="20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Expenses</w:t>
            </w:r>
          </w:p>
        </w:tc>
        <w:tc>
          <w:tcPr>
            <w:tcW w:w="1420" w:type="dxa"/>
            <w:vAlign w:val="bottom"/>
            <w:gridSpan w:val="2"/>
            <w:vMerge w:val="continue"/>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Expiration</w:t>
            </w: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Pasadena, California</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48,000 sq. ft.</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157,490</w:t>
            </w:r>
          </w:p>
        </w:tc>
        <w:tc>
          <w:tcPr>
            <w:tcW w:w="2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Corp. Headqtrs.</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8"/>
              </w:rPr>
              <w:t>April 2027</w:t>
            </w:r>
          </w:p>
        </w:tc>
        <w:tc>
          <w:tcPr>
            <w:tcW w:w="14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 years</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Madison, Wisconsin</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111,000 sq. ft.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168,371</w:t>
            </w:r>
          </w:p>
        </w:tc>
        <w:tc>
          <w:tcPr>
            <w:tcW w:w="240" w:type="dxa"/>
            <w:vAlign w:val="bottom"/>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Research Facility</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September 2031</w:t>
            </w:r>
          </w:p>
        </w:tc>
        <w:tc>
          <w:tcPr>
            <w:tcW w:w="1300" w:type="dxa"/>
            <w:vAlign w:val="bottom"/>
          </w:tcPr>
          <w:p>
            <w:pPr>
              <w:jc w:val="right"/>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San Diego, California</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21,000 sq. ft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61,821</w:t>
            </w: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1"/>
              </w:rPr>
              <w:t>Research Facility</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January 2023</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 years</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520" w:firstLine="510"/>
        <w:spacing w:after="0" w:line="263" w:lineRule="auto"/>
        <w:rPr>
          <w:sz w:val="20"/>
          <w:szCs w:val="20"/>
          <w:color w:val="auto"/>
        </w:rPr>
      </w:pPr>
      <w:r>
        <w:rPr>
          <w:rFonts w:ascii="Arial" w:cs="Arial" w:eastAsia="Arial" w:hAnsi="Arial"/>
          <w:sz w:val="18"/>
          <w:szCs w:val="18"/>
          <w:color w:val="auto"/>
        </w:rPr>
        <w:t xml:space="preserve">Legal Proceedings are set forth in our financial statement schedules in Part IV, Item 15 of this Annual Report and are incorporated herein by reference. See Note 7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of Part IV, Item 15. </w:t>
      </w:r>
      <w:r>
        <w:rPr>
          <w:rFonts w:ascii="Arial" w:cs="Arial" w:eastAsia="Arial" w:hAnsi="Arial"/>
          <w:sz w:val="18"/>
          <w:szCs w:val="18"/>
          <w:i w:val="1"/>
          <w:iCs w:val="1"/>
          <w:color w:val="auto"/>
        </w:rPr>
        <w:t>Exhibits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Schedules</w:t>
      </w:r>
      <w:r>
        <w:rPr>
          <w:rFonts w:ascii="Arial" w:cs="Arial" w:eastAsia="Arial" w:hAnsi="Arial"/>
          <w:sz w:val="18"/>
          <w:szCs w:val="18"/>
          <w:color w:val="auto"/>
        </w:rPr>
        <w:t>.</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160" w:right="180" w:hanging="1146"/>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Our Common Stock is traded on The Nasdaq Global Select Market under the symbol “ARWR”. At November 15, 2021, 104,525,708 shares of the Company’s Common Stock were issued and outstanding, and were owned by 100 stockholders of record, based on information provided by the Company’s transfer agent.</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never paid dividends on its Common Stock and does not anticipate that it will do so in the foreseeable future.</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Authorized for Issuance Under the Equity Compensation Plans</w:t>
      </w:r>
    </w:p>
    <w:p>
      <w:pPr>
        <w:spacing w:after="0" w:line="11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disclosure required under this item related to equity compensation plans is incorporated by reference from Item 12 of Part III of this Annual Report on Form 10-K.</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Sales of Unregistered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Repurchases of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repurchase any shares of our Common Stock during the quarter ended September 30, 2021.</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Performance Graph</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following performance graph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 The graph compares the cumulative 5-year total return to stockholders on our Common Stock relative to the cumulative total returns of the Nasdaq Composite Index and the Nasdaq Biotechnology Index. We selected the Nasdaq Biotechnology Index because we believe the index reflects the market conditions within the industry in which we primarily operate. The comparison of total return on investment, defined as the change in year-end stock price plus reinvested dividends, for each of the periods assumes that $100 was invested on September 30, 2016, in each of our Common Stock, the Nasdaq Composite Index and the Nasdaq Biotechnology Index, with investment weighted on the basis of market capitalization.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ind w:left="520"/>
        <w:spacing w:after="0"/>
        <w:rPr>
          <w:sz w:val="20"/>
          <w:szCs w:val="20"/>
          <w:color w:val="auto"/>
        </w:rPr>
      </w:pPr>
      <w:r>
        <w:rPr>
          <w:rFonts w:ascii="Arial" w:cs="Arial" w:eastAsia="Arial" w:hAnsi="Arial"/>
          <w:sz w:val="16"/>
          <w:szCs w:val="16"/>
          <w:color w:val="auto"/>
        </w:rPr>
        <w:t>The comparisons in the following graph are based on historical data and are not intended to forecast the possible future performance of our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142875</wp:posOffset>
            </wp:positionV>
            <wp:extent cx="6172200" cy="3745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2200" cy="374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$100 investment in</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Ticker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05"/>
        </w:trPr>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or index</w:t>
            </w: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87"/>
        </w:trPr>
        <w:tc>
          <w:tcPr>
            <w:tcW w:w="158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right w:val="single" w:sz="8" w:color="CCEC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tcBorders>
              <w:right w:val="single" w:sz="8" w:color="CCEC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tcBorders>
              <w:right w:val="single" w:sz="8" w:color="CCECFF"/>
            </w:tcBorders>
            <w:shd w:val="clear" w:color="auto" w:fill="CCECFF"/>
          </w:tcPr>
          <w:p>
            <w:pPr>
              <w:ind w:left="120"/>
              <w:spacing w:after="0"/>
              <w:rPr>
                <w:sz w:val="20"/>
                <w:szCs w:val="20"/>
                <w:color w:val="auto"/>
              </w:rPr>
            </w:pPr>
            <w:r>
              <w:rPr>
                <w:rFonts w:ascii="Arial" w:cs="Arial" w:eastAsia="Arial" w:hAnsi="Arial"/>
                <w:sz w:val="14"/>
                <w:szCs w:val="14"/>
                <w:color w:val="auto"/>
              </w:rPr>
              <w:t>Arrowhead</w:t>
            </w:r>
          </w:p>
        </w:tc>
        <w:tc>
          <w:tcPr>
            <w:tcW w:w="600" w:type="dxa"/>
            <w:vAlign w:val="bottom"/>
            <w:vMerge w:val="restart"/>
            <w:shd w:val="clear" w:color="auto" w:fill="CCECFF"/>
          </w:tcPr>
          <w:p>
            <w:pPr>
              <w:jc w:val="center"/>
              <w:spacing w:after="0"/>
              <w:rPr>
                <w:sz w:val="20"/>
                <w:szCs w:val="20"/>
                <w:color w:val="auto"/>
              </w:rPr>
            </w:pPr>
            <w:r>
              <w:rPr>
                <w:rFonts w:ascii="Arial" w:cs="Arial" w:eastAsia="Arial" w:hAnsi="Arial"/>
                <w:sz w:val="14"/>
                <w:szCs w:val="14"/>
                <w:color w:val="auto"/>
                <w:w w:val="98"/>
              </w:rPr>
              <w:t>ARWR</w:t>
            </w:r>
          </w:p>
        </w:tc>
        <w:tc>
          <w:tcPr>
            <w:tcW w:w="26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100.00</w:t>
            </w:r>
          </w:p>
        </w:tc>
        <w:tc>
          <w:tcPr>
            <w:tcW w:w="220" w:type="dxa"/>
            <w:vAlign w:val="bottom"/>
            <w:gridSpan w:val="2"/>
            <w:vMerge w:val="restart"/>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58.91</w:t>
            </w:r>
          </w:p>
        </w:tc>
        <w:tc>
          <w:tcPr>
            <w:tcW w:w="28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260.82</w:t>
            </w:r>
          </w:p>
        </w:tc>
        <w:tc>
          <w:tcPr>
            <w:tcW w:w="28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383.40</w:t>
            </w:r>
          </w:p>
        </w:tc>
        <w:tc>
          <w:tcPr>
            <w:tcW w:w="26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585.85</w:t>
            </w:r>
          </w:p>
        </w:tc>
        <w:tc>
          <w:tcPr>
            <w:tcW w:w="22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CCECFF"/>
            </w:tcBorders>
            <w:vMerge w:val="restart"/>
            <w:shd w:val="clear" w:color="auto" w:fill="CCECFF"/>
          </w:tcPr>
          <w:p>
            <w:pPr>
              <w:jc w:val="right"/>
              <w:spacing w:after="0"/>
              <w:rPr>
                <w:sz w:val="20"/>
                <w:szCs w:val="20"/>
                <w:color w:val="auto"/>
              </w:rPr>
            </w:pPr>
            <w:r>
              <w:rPr>
                <w:rFonts w:ascii="Arial" w:cs="Arial" w:eastAsia="Arial" w:hAnsi="Arial"/>
                <w:sz w:val="14"/>
                <w:szCs w:val="14"/>
                <w:color w:val="auto"/>
              </w:rPr>
              <w:t>849.39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560" w:type="dxa"/>
            <w:vAlign w:val="bottom"/>
            <w:tcBorders>
              <w:right w:val="single" w:sz="8" w:color="CCECFF"/>
            </w:tcBorders>
            <w:vMerge w:val="restart"/>
            <w:shd w:val="clear" w:color="auto" w:fill="CCECFF"/>
          </w:tcPr>
          <w:p>
            <w:pPr>
              <w:ind w:left="120"/>
              <w:spacing w:after="0"/>
              <w:rPr>
                <w:sz w:val="20"/>
                <w:szCs w:val="20"/>
                <w:color w:val="auto"/>
              </w:rPr>
            </w:pPr>
            <w:r>
              <w:rPr>
                <w:rFonts w:ascii="Arial" w:cs="Arial" w:eastAsia="Arial" w:hAnsi="Arial"/>
                <w:sz w:val="14"/>
                <w:szCs w:val="14"/>
                <w:color w:val="auto"/>
              </w:rPr>
              <w:t>Pharmaceuticals, Inc.</w:t>
            </w:r>
          </w:p>
        </w:tc>
        <w:tc>
          <w:tcPr>
            <w:tcW w:w="600" w:type="dxa"/>
            <w:vAlign w:val="bottom"/>
            <w:vMerge w:val="continue"/>
            <w:shd w:val="clear" w:color="auto" w:fill="CCECFF"/>
          </w:tcPr>
          <w:p>
            <w:pPr>
              <w:spacing w:after="0"/>
              <w:rPr>
                <w:sz w:val="9"/>
                <w:szCs w:val="9"/>
                <w:color w:val="auto"/>
              </w:rPr>
            </w:pPr>
          </w:p>
        </w:tc>
        <w:tc>
          <w:tcPr>
            <w:tcW w:w="260" w:type="dxa"/>
            <w:vAlign w:val="bottom"/>
            <w:gridSpan w:val="2"/>
            <w:vMerge w:val="continue"/>
            <w:shd w:val="clear" w:color="auto" w:fill="CCECFF"/>
          </w:tcPr>
          <w:p>
            <w:pPr>
              <w:spacing w:after="0"/>
              <w:rPr>
                <w:sz w:val="9"/>
                <w:szCs w:val="9"/>
                <w:color w:val="auto"/>
              </w:rPr>
            </w:pPr>
          </w:p>
        </w:tc>
        <w:tc>
          <w:tcPr>
            <w:tcW w:w="1080" w:type="dxa"/>
            <w:vAlign w:val="bottom"/>
            <w:vMerge w:val="continue"/>
            <w:shd w:val="clear" w:color="auto" w:fill="CCECFF"/>
          </w:tcPr>
          <w:p>
            <w:pPr>
              <w:spacing w:after="0"/>
              <w:rPr>
                <w:sz w:val="9"/>
                <w:szCs w:val="9"/>
                <w:color w:val="auto"/>
              </w:rPr>
            </w:pPr>
          </w:p>
        </w:tc>
        <w:tc>
          <w:tcPr>
            <w:tcW w:w="220" w:type="dxa"/>
            <w:vAlign w:val="bottom"/>
            <w:gridSpan w:val="2"/>
            <w:vMerge w:val="continue"/>
            <w:shd w:val="clear" w:color="auto" w:fill="CCECFF"/>
          </w:tcPr>
          <w:p>
            <w:pPr>
              <w:spacing w:after="0"/>
              <w:rPr>
                <w:sz w:val="9"/>
                <w:szCs w:val="9"/>
                <w:color w:val="auto"/>
              </w:rPr>
            </w:pPr>
          </w:p>
        </w:tc>
        <w:tc>
          <w:tcPr>
            <w:tcW w:w="1020" w:type="dxa"/>
            <w:vAlign w:val="bottom"/>
            <w:vMerge w:val="continue"/>
            <w:shd w:val="clear" w:color="auto" w:fill="CCECFF"/>
          </w:tcPr>
          <w:p>
            <w:pPr>
              <w:spacing w:after="0"/>
              <w:rPr>
                <w:sz w:val="9"/>
                <w:szCs w:val="9"/>
                <w:color w:val="auto"/>
              </w:rPr>
            </w:pPr>
          </w:p>
        </w:tc>
        <w:tc>
          <w:tcPr>
            <w:tcW w:w="280" w:type="dxa"/>
            <w:vAlign w:val="bottom"/>
            <w:gridSpan w:val="2"/>
            <w:vMerge w:val="continue"/>
            <w:shd w:val="clear" w:color="auto" w:fill="CCECFF"/>
          </w:tcPr>
          <w:p>
            <w:pPr>
              <w:spacing w:after="0"/>
              <w:rPr>
                <w:sz w:val="9"/>
                <w:szCs w:val="9"/>
                <w:color w:val="auto"/>
              </w:rPr>
            </w:pPr>
          </w:p>
        </w:tc>
        <w:tc>
          <w:tcPr>
            <w:tcW w:w="1080" w:type="dxa"/>
            <w:vAlign w:val="bottom"/>
            <w:vMerge w:val="continue"/>
            <w:shd w:val="clear" w:color="auto" w:fill="CCECFF"/>
          </w:tcPr>
          <w:p>
            <w:pPr>
              <w:spacing w:after="0"/>
              <w:rPr>
                <w:sz w:val="9"/>
                <w:szCs w:val="9"/>
                <w:color w:val="auto"/>
              </w:rPr>
            </w:pPr>
          </w:p>
        </w:tc>
        <w:tc>
          <w:tcPr>
            <w:tcW w:w="280" w:type="dxa"/>
            <w:vAlign w:val="bottom"/>
            <w:gridSpan w:val="2"/>
            <w:vMerge w:val="continue"/>
            <w:shd w:val="clear" w:color="auto" w:fill="CCECFF"/>
          </w:tcPr>
          <w:p>
            <w:pPr>
              <w:spacing w:after="0"/>
              <w:rPr>
                <w:sz w:val="9"/>
                <w:szCs w:val="9"/>
                <w:color w:val="auto"/>
              </w:rPr>
            </w:pPr>
          </w:p>
        </w:tc>
        <w:tc>
          <w:tcPr>
            <w:tcW w:w="1080" w:type="dxa"/>
            <w:vAlign w:val="bottom"/>
            <w:vMerge w:val="continue"/>
            <w:shd w:val="clear" w:color="auto" w:fill="CCECFF"/>
          </w:tcPr>
          <w:p>
            <w:pPr>
              <w:spacing w:after="0"/>
              <w:rPr>
                <w:sz w:val="9"/>
                <w:szCs w:val="9"/>
                <w:color w:val="auto"/>
              </w:rPr>
            </w:pPr>
          </w:p>
        </w:tc>
        <w:tc>
          <w:tcPr>
            <w:tcW w:w="260" w:type="dxa"/>
            <w:vAlign w:val="bottom"/>
            <w:gridSpan w:val="2"/>
            <w:vMerge w:val="continue"/>
            <w:shd w:val="clear" w:color="auto" w:fill="CCECFF"/>
          </w:tcPr>
          <w:p>
            <w:pPr>
              <w:spacing w:after="0"/>
              <w:rPr>
                <w:sz w:val="9"/>
                <w:szCs w:val="9"/>
                <w:color w:val="auto"/>
              </w:rPr>
            </w:pPr>
          </w:p>
        </w:tc>
        <w:tc>
          <w:tcPr>
            <w:tcW w:w="1080" w:type="dxa"/>
            <w:vAlign w:val="bottom"/>
            <w:vMerge w:val="continue"/>
            <w:shd w:val="clear" w:color="auto" w:fill="CCECFF"/>
          </w:tcPr>
          <w:p>
            <w:pPr>
              <w:spacing w:after="0"/>
              <w:rPr>
                <w:sz w:val="9"/>
                <w:szCs w:val="9"/>
                <w:color w:val="auto"/>
              </w:rPr>
            </w:pPr>
          </w:p>
        </w:tc>
        <w:tc>
          <w:tcPr>
            <w:tcW w:w="220" w:type="dxa"/>
            <w:vAlign w:val="bottom"/>
            <w:gridSpan w:val="2"/>
            <w:vMerge w:val="continue"/>
            <w:shd w:val="clear" w:color="auto" w:fill="CCECFF"/>
          </w:tcPr>
          <w:p>
            <w:pPr>
              <w:spacing w:after="0"/>
              <w:rPr>
                <w:sz w:val="9"/>
                <w:szCs w:val="9"/>
                <w:color w:val="auto"/>
              </w:rPr>
            </w:pPr>
          </w:p>
        </w:tc>
        <w:tc>
          <w:tcPr>
            <w:tcW w:w="1160" w:type="dxa"/>
            <w:vAlign w:val="bottom"/>
            <w:tcBorders>
              <w:right w:val="single" w:sz="8" w:color="CCECFF"/>
            </w:tcBorders>
            <w:vMerge w:val="continue"/>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560" w:type="dxa"/>
            <w:vAlign w:val="bottom"/>
            <w:tcBorders>
              <w:right w:val="single" w:sz="8" w:color="CCECFF"/>
            </w:tcBorders>
            <w:vMerge w:val="continue"/>
            <w:shd w:val="clear" w:color="auto" w:fill="CCECFF"/>
          </w:tcPr>
          <w:p>
            <w:pPr>
              <w:spacing w:after="0"/>
              <w:rPr>
                <w:sz w:val="5"/>
                <w:szCs w:val="5"/>
                <w:color w:val="auto"/>
              </w:rPr>
            </w:pPr>
          </w:p>
        </w:tc>
        <w:tc>
          <w:tcPr>
            <w:tcW w:w="600" w:type="dxa"/>
            <w:vAlign w:val="bottom"/>
            <w:shd w:val="clear" w:color="auto" w:fill="CCECFF"/>
          </w:tcPr>
          <w:p>
            <w:pPr>
              <w:spacing w:after="0"/>
              <w:rPr>
                <w:sz w:val="5"/>
                <w:szCs w:val="5"/>
                <w:color w:val="auto"/>
              </w:rPr>
            </w:pPr>
          </w:p>
        </w:tc>
        <w:tc>
          <w:tcPr>
            <w:tcW w:w="16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1080" w:type="dxa"/>
            <w:vAlign w:val="bottom"/>
            <w:shd w:val="clear" w:color="auto" w:fill="CCECFF"/>
          </w:tcPr>
          <w:p>
            <w:pPr>
              <w:spacing w:after="0"/>
              <w:rPr>
                <w:sz w:val="5"/>
                <w:szCs w:val="5"/>
                <w:color w:val="auto"/>
              </w:rPr>
            </w:pPr>
          </w:p>
        </w:tc>
        <w:tc>
          <w:tcPr>
            <w:tcW w:w="140" w:type="dxa"/>
            <w:vAlign w:val="bottom"/>
            <w:shd w:val="clear" w:color="auto" w:fill="CCECFF"/>
          </w:tcPr>
          <w:p>
            <w:pPr>
              <w:spacing w:after="0"/>
              <w:rPr>
                <w:sz w:val="5"/>
                <w:szCs w:val="5"/>
                <w:color w:val="auto"/>
              </w:rPr>
            </w:pPr>
          </w:p>
        </w:tc>
        <w:tc>
          <w:tcPr>
            <w:tcW w:w="80" w:type="dxa"/>
            <w:vAlign w:val="bottom"/>
            <w:shd w:val="clear" w:color="auto" w:fill="CCECFF"/>
          </w:tcPr>
          <w:p>
            <w:pPr>
              <w:spacing w:after="0"/>
              <w:rPr>
                <w:sz w:val="5"/>
                <w:szCs w:val="5"/>
                <w:color w:val="auto"/>
              </w:rPr>
            </w:pPr>
          </w:p>
        </w:tc>
        <w:tc>
          <w:tcPr>
            <w:tcW w:w="1020" w:type="dxa"/>
            <w:vAlign w:val="bottom"/>
            <w:shd w:val="clear" w:color="auto" w:fill="CCECFF"/>
          </w:tcPr>
          <w:p>
            <w:pPr>
              <w:spacing w:after="0"/>
              <w:rPr>
                <w:sz w:val="5"/>
                <w:szCs w:val="5"/>
                <w:color w:val="auto"/>
              </w:rPr>
            </w:pPr>
          </w:p>
        </w:tc>
        <w:tc>
          <w:tcPr>
            <w:tcW w:w="160" w:type="dxa"/>
            <w:vAlign w:val="bottom"/>
            <w:shd w:val="clear" w:color="auto" w:fill="CCECFF"/>
          </w:tcPr>
          <w:p>
            <w:pPr>
              <w:spacing w:after="0"/>
              <w:rPr>
                <w:sz w:val="5"/>
                <w:szCs w:val="5"/>
                <w:color w:val="auto"/>
              </w:rPr>
            </w:pPr>
          </w:p>
        </w:tc>
        <w:tc>
          <w:tcPr>
            <w:tcW w:w="120" w:type="dxa"/>
            <w:vAlign w:val="bottom"/>
            <w:shd w:val="clear" w:color="auto" w:fill="CCECFF"/>
          </w:tcPr>
          <w:p>
            <w:pPr>
              <w:spacing w:after="0"/>
              <w:rPr>
                <w:sz w:val="5"/>
                <w:szCs w:val="5"/>
                <w:color w:val="auto"/>
              </w:rPr>
            </w:pPr>
          </w:p>
        </w:tc>
        <w:tc>
          <w:tcPr>
            <w:tcW w:w="1080" w:type="dxa"/>
            <w:vAlign w:val="bottom"/>
            <w:shd w:val="clear" w:color="auto" w:fill="CCECFF"/>
          </w:tcPr>
          <w:p>
            <w:pPr>
              <w:spacing w:after="0"/>
              <w:rPr>
                <w:sz w:val="5"/>
                <w:szCs w:val="5"/>
                <w:color w:val="auto"/>
              </w:rPr>
            </w:pPr>
          </w:p>
        </w:tc>
        <w:tc>
          <w:tcPr>
            <w:tcW w:w="18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1080" w:type="dxa"/>
            <w:vAlign w:val="bottom"/>
            <w:shd w:val="clear" w:color="auto" w:fill="CCECFF"/>
          </w:tcPr>
          <w:p>
            <w:pPr>
              <w:spacing w:after="0"/>
              <w:rPr>
                <w:sz w:val="5"/>
                <w:szCs w:val="5"/>
                <w:color w:val="auto"/>
              </w:rPr>
            </w:pPr>
          </w:p>
        </w:tc>
        <w:tc>
          <w:tcPr>
            <w:tcW w:w="16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1080" w:type="dxa"/>
            <w:vAlign w:val="bottom"/>
            <w:shd w:val="clear" w:color="auto" w:fill="CCECFF"/>
          </w:tcPr>
          <w:p>
            <w:pPr>
              <w:spacing w:after="0"/>
              <w:rPr>
                <w:sz w:val="5"/>
                <w:szCs w:val="5"/>
                <w:color w:val="auto"/>
              </w:rPr>
            </w:pPr>
          </w:p>
        </w:tc>
        <w:tc>
          <w:tcPr>
            <w:tcW w:w="12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1160" w:type="dxa"/>
            <w:vAlign w:val="bottom"/>
            <w:tcBorders>
              <w:right w:val="single" w:sz="8" w:color="CCECFF"/>
            </w:tcBorders>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560" w:type="dxa"/>
            <w:vAlign w:val="bottom"/>
            <w:tcBorders>
              <w:right w:val="single" w:sz="8" w:color="CCECFF"/>
            </w:tcBorders>
            <w:shd w:val="clear" w:color="auto" w:fill="CCECFF"/>
          </w:tcPr>
          <w:p>
            <w:pPr>
              <w:spacing w:after="0"/>
              <w:rPr>
                <w:sz w:val="8"/>
                <w:szCs w:val="8"/>
                <w:color w:val="auto"/>
              </w:rPr>
            </w:pPr>
          </w:p>
        </w:tc>
        <w:tc>
          <w:tcPr>
            <w:tcW w:w="60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08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102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08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08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08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1160" w:type="dxa"/>
            <w:vAlign w:val="bottom"/>
            <w:tcBorders>
              <w:right w:val="single" w:sz="8" w:color="CCECFF"/>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60" w:type="dxa"/>
            <w:vAlign w:val="bottom"/>
          </w:tcPr>
          <w:p>
            <w:pPr>
              <w:ind w:left="120"/>
              <w:spacing w:after="0"/>
              <w:rPr>
                <w:sz w:val="20"/>
                <w:szCs w:val="20"/>
                <w:color w:val="auto"/>
              </w:rPr>
            </w:pPr>
            <w:r>
              <w:rPr>
                <w:rFonts w:ascii="Arial" w:cs="Arial" w:eastAsia="Arial" w:hAnsi="Arial"/>
                <w:sz w:val="14"/>
                <w:szCs w:val="14"/>
                <w:color w:val="auto"/>
              </w:rPr>
              <w:t>NASDAQ</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rPr>
              <w:t>^NBI</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100.00</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115.39</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126.70</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103.32</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140.62</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167.98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560" w:type="dxa"/>
            <w:vAlign w:val="bottom"/>
            <w:vMerge w:val="restart"/>
          </w:tcPr>
          <w:p>
            <w:pPr>
              <w:ind w:left="120"/>
              <w:spacing w:after="0"/>
              <w:rPr>
                <w:sz w:val="20"/>
                <w:szCs w:val="20"/>
                <w:color w:val="auto"/>
              </w:rPr>
            </w:pPr>
            <w:r>
              <w:rPr>
                <w:rFonts w:ascii="Arial" w:cs="Arial" w:eastAsia="Arial" w:hAnsi="Arial"/>
                <w:sz w:val="14"/>
                <w:szCs w:val="14"/>
                <w:color w:val="auto"/>
              </w:rPr>
              <w:t>Biotechnology Index</w:t>
            </w:r>
          </w:p>
        </w:tc>
        <w:tc>
          <w:tcPr>
            <w:tcW w:w="60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560" w:type="dxa"/>
            <w:vAlign w:val="bottom"/>
            <w:tcBorders>
              <w:right w:val="single" w:sz="8" w:color="CCECFF"/>
            </w:tcBorders>
            <w:shd w:val="clear" w:color="auto" w:fill="CCECFF"/>
          </w:tcPr>
          <w:p>
            <w:pPr>
              <w:ind w:left="120"/>
              <w:spacing w:after="0"/>
              <w:rPr>
                <w:sz w:val="20"/>
                <w:szCs w:val="20"/>
                <w:color w:val="auto"/>
              </w:rPr>
            </w:pPr>
            <w:r>
              <w:rPr>
                <w:rFonts w:ascii="Arial" w:cs="Arial" w:eastAsia="Arial" w:hAnsi="Arial"/>
                <w:sz w:val="14"/>
                <w:szCs w:val="14"/>
                <w:color w:val="auto"/>
              </w:rPr>
              <w:t>NASDAQ Composite</w:t>
            </w:r>
          </w:p>
        </w:tc>
        <w:tc>
          <w:tcPr>
            <w:tcW w:w="600" w:type="dxa"/>
            <w:vAlign w:val="bottom"/>
            <w:vMerge w:val="restart"/>
            <w:shd w:val="clear" w:color="auto" w:fill="CCECFF"/>
          </w:tcPr>
          <w:p>
            <w:pPr>
              <w:jc w:val="center"/>
              <w:spacing w:after="0"/>
              <w:rPr>
                <w:sz w:val="20"/>
                <w:szCs w:val="20"/>
                <w:color w:val="auto"/>
              </w:rPr>
            </w:pPr>
            <w:r>
              <w:rPr>
                <w:rFonts w:ascii="Arial" w:cs="Arial" w:eastAsia="Arial" w:hAnsi="Arial"/>
                <w:sz w:val="14"/>
                <w:szCs w:val="14"/>
                <w:color w:val="auto"/>
              </w:rPr>
              <w:t>^IXIC</w:t>
            </w:r>
          </w:p>
        </w:tc>
        <w:tc>
          <w:tcPr>
            <w:tcW w:w="26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100.00</w:t>
            </w:r>
          </w:p>
        </w:tc>
        <w:tc>
          <w:tcPr>
            <w:tcW w:w="220" w:type="dxa"/>
            <w:vAlign w:val="bottom"/>
            <w:gridSpan w:val="2"/>
            <w:vMerge w:val="restart"/>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122.29</w:t>
            </w:r>
          </w:p>
        </w:tc>
        <w:tc>
          <w:tcPr>
            <w:tcW w:w="28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151.47</w:t>
            </w:r>
          </w:p>
        </w:tc>
        <w:tc>
          <w:tcPr>
            <w:tcW w:w="28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150.59</w:t>
            </w:r>
          </w:p>
        </w:tc>
        <w:tc>
          <w:tcPr>
            <w:tcW w:w="26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210.23</w:t>
            </w:r>
          </w:p>
        </w:tc>
        <w:tc>
          <w:tcPr>
            <w:tcW w:w="22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tcBorders>
              <w:right w:val="single" w:sz="8" w:color="CCECFF"/>
            </w:tcBorders>
            <w:vMerge w:val="restart"/>
            <w:shd w:val="clear" w:color="auto" w:fill="CCECFF"/>
          </w:tcPr>
          <w:p>
            <w:pPr>
              <w:jc w:val="right"/>
              <w:spacing w:after="0"/>
              <w:rPr>
                <w:sz w:val="20"/>
                <w:szCs w:val="20"/>
                <w:color w:val="auto"/>
              </w:rPr>
            </w:pPr>
            <w:r>
              <w:rPr>
                <w:rFonts w:ascii="Arial" w:cs="Arial" w:eastAsia="Arial" w:hAnsi="Arial"/>
                <w:sz w:val="14"/>
                <w:szCs w:val="14"/>
                <w:color w:val="auto"/>
              </w:rPr>
              <w:t>272.00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560" w:type="dxa"/>
            <w:vAlign w:val="bottom"/>
            <w:tcBorders>
              <w:right w:val="single" w:sz="8" w:color="CCECFF"/>
            </w:tcBorders>
            <w:vMerge w:val="restart"/>
            <w:shd w:val="clear" w:color="auto" w:fill="CCECFF"/>
          </w:tcPr>
          <w:p>
            <w:pPr>
              <w:ind w:left="120"/>
              <w:spacing w:after="0"/>
              <w:rPr>
                <w:sz w:val="20"/>
                <w:szCs w:val="20"/>
                <w:color w:val="auto"/>
              </w:rPr>
            </w:pPr>
            <w:r>
              <w:rPr>
                <w:rFonts w:ascii="Arial" w:cs="Arial" w:eastAsia="Arial" w:hAnsi="Arial"/>
                <w:sz w:val="14"/>
                <w:szCs w:val="14"/>
                <w:color w:val="auto"/>
              </w:rPr>
              <w:t>Index</w:t>
            </w:r>
          </w:p>
        </w:tc>
        <w:tc>
          <w:tcPr>
            <w:tcW w:w="600" w:type="dxa"/>
            <w:vAlign w:val="bottom"/>
            <w:vMerge w:val="continue"/>
            <w:shd w:val="clear" w:color="auto" w:fill="CCECFF"/>
          </w:tcPr>
          <w:p>
            <w:pPr>
              <w:spacing w:after="0"/>
              <w:rPr>
                <w:sz w:val="9"/>
                <w:szCs w:val="9"/>
                <w:color w:val="auto"/>
              </w:rPr>
            </w:pPr>
          </w:p>
        </w:tc>
        <w:tc>
          <w:tcPr>
            <w:tcW w:w="260" w:type="dxa"/>
            <w:vAlign w:val="bottom"/>
            <w:gridSpan w:val="2"/>
            <w:vMerge w:val="continue"/>
            <w:shd w:val="clear" w:color="auto" w:fill="CCECFF"/>
          </w:tcPr>
          <w:p>
            <w:pPr>
              <w:spacing w:after="0"/>
              <w:rPr>
                <w:sz w:val="9"/>
                <w:szCs w:val="9"/>
                <w:color w:val="auto"/>
              </w:rPr>
            </w:pPr>
          </w:p>
        </w:tc>
        <w:tc>
          <w:tcPr>
            <w:tcW w:w="1080" w:type="dxa"/>
            <w:vAlign w:val="bottom"/>
            <w:vMerge w:val="continue"/>
            <w:shd w:val="clear" w:color="auto" w:fill="CCECFF"/>
          </w:tcPr>
          <w:p>
            <w:pPr>
              <w:spacing w:after="0"/>
              <w:rPr>
                <w:sz w:val="9"/>
                <w:szCs w:val="9"/>
                <w:color w:val="auto"/>
              </w:rPr>
            </w:pPr>
          </w:p>
        </w:tc>
        <w:tc>
          <w:tcPr>
            <w:tcW w:w="220" w:type="dxa"/>
            <w:vAlign w:val="bottom"/>
            <w:gridSpan w:val="2"/>
            <w:vMerge w:val="continue"/>
            <w:shd w:val="clear" w:color="auto" w:fill="CCECFF"/>
          </w:tcPr>
          <w:p>
            <w:pPr>
              <w:spacing w:after="0"/>
              <w:rPr>
                <w:sz w:val="9"/>
                <w:szCs w:val="9"/>
                <w:color w:val="auto"/>
              </w:rPr>
            </w:pPr>
          </w:p>
        </w:tc>
        <w:tc>
          <w:tcPr>
            <w:tcW w:w="1020" w:type="dxa"/>
            <w:vAlign w:val="bottom"/>
            <w:vMerge w:val="continue"/>
            <w:shd w:val="clear" w:color="auto" w:fill="CCECFF"/>
          </w:tcPr>
          <w:p>
            <w:pPr>
              <w:spacing w:after="0"/>
              <w:rPr>
                <w:sz w:val="9"/>
                <w:szCs w:val="9"/>
                <w:color w:val="auto"/>
              </w:rPr>
            </w:pPr>
          </w:p>
        </w:tc>
        <w:tc>
          <w:tcPr>
            <w:tcW w:w="280" w:type="dxa"/>
            <w:vAlign w:val="bottom"/>
            <w:gridSpan w:val="2"/>
            <w:vMerge w:val="continue"/>
            <w:shd w:val="clear" w:color="auto" w:fill="CCECFF"/>
          </w:tcPr>
          <w:p>
            <w:pPr>
              <w:spacing w:after="0"/>
              <w:rPr>
                <w:sz w:val="9"/>
                <w:szCs w:val="9"/>
                <w:color w:val="auto"/>
              </w:rPr>
            </w:pPr>
          </w:p>
        </w:tc>
        <w:tc>
          <w:tcPr>
            <w:tcW w:w="1080" w:type="dxa"/>
            <w:vAlign w:val="bottom"/>
            <w:vMerge w:val="continue"/>
            <w:shd w:val="clear" w:color="auto" w:fill="CCECFF"/>
          </w:tcPr>
          <w:p>
            <w:pPr>
              <w:spacing w:after="0"/>
              <w:rPr>
                <w:sz w:val="9"/>
                <w:szCs w:val="9"/>
                <w:color w:val="auto"/>
              </w:rPr>
            </w:pPr>
          </w:p>
        </w:tc>
        <w:tc>
          <w:tcPr>
            <w:tcW w:w="280" w:type="dxa"/>
            <w:vAlign w:val="bottom"/>
            <w:gridSpan w:val="2"/>
            <w:vMerge w:val="continue"/>
            <w:shd w:val="clear" w:color="auto" w:fill="CCECFF"/>
          </w:tcPr>
          <w:p>
            <w:pPr>
              <w:spacing w:after="0"/>
              <w:rPr>
                <w:sz w:val="9"/>
                <w:szCs w:val="9"/>
                <w:color w:val="auto"/>
              </w:rPr>
            </w:pPr>
          </w:p>
        </w:tc>
        <w:tc>
          <w:tcPr>
            <w:tcW w:w="1080" w:type="dxa"/>
            <w:vAlign w:val="bottom"/>
            <w:vMerge w:val="continue"/>
            <w:shd w:val="clear" w:color="auto" w:fill="CCECFF"/>
          </w:tcPr>
          <w:p>
            <w:pPr>
              <w:spacing w:after="0"/>
              <w:rPr>
                <w:sz w:val="9"/>
                <w:szCs w:val="9"/>
                <w:color w:val="auto"/>
              </w:rPr>
            </w:pPr>
          </w:p>
        </w:tc>
        <w:tc>
          <w:tcPr>
            <w:tcW w:w="260" w:type="dxa"/>
            <w:vAlign w:val="bottom"/>
            <w:gridSpan w:val="2"/>
            <w:vMerge w:val="continue"/>
            <w:shd w:val="clear" w:color="auto" w:fill="CCECFF"/>
          </w:tcPr>
          <w:p>
            <w:pPr>
              <w:spacing w:after="0"/>
              <w:rPr>
                <w:sz w:val="9"/>
                <w:szCs w:val="9"/>
                <w:color w:val="auto"/>
              </w:rPr>
            </w:pPr>
          </w:p>
        </w:tc>
        <w:tc>
          <w:tcPr>
            <w:tcW w:w="1080" w:type="dxa"/>
            <w:vAlign w:val="bottom"/>
            <w:vMerge w:val="continue"/>
            <w:shd w:val="clear" w:color="auto" w:fill="CCECFF"/>
          </w:tcPr>
          <w:p>
            <w:pPr>
              <w:spacing w:after="0"/>
              <w:rPr>
                <w:sz w:val="9"/>
                <w:szCs w:val="9"/>
                <w:color w:val="auto"/>
              </w:rPr>
            </w:pPr>
          </w:p>
        </w:tc>
        <w:tc>
          <w:tcPr>
            <w:tcW w:w="220" w:type="dxa"/>
            <w:vAlign w:val="bottom"/>
            <w:gridSpan w:val="2"/>
            <w:vMerge w:val="continue"/>
            <w:shd w:val="clear" w:color="auto" w:fill="CCECFF"/>
          </w:tcPr>
          <w:p>
            <w:pPr>
              <w:spacing w:after="0"/>
              <w:rPr>
                <w:sz w:val="9"/>
                <w:szCs w:val="9"/>
                <w:color w:val="auto"/>
              </w:rPr>
            </w:pPr>
          </w:p>
        </w:tc>
        <w:tc>
          <w:tcPr>
            <w:tcW w:w="1160" w:type="dxa"/>
            <w:vAlign w:val="bottom"/>
            <w:tcBorders>
              <w:right w:val="single" w:sz="8" w:color="CCECFF"/>
            </w:tcBorders>
            <w:vMerge w:val="continue"/>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560" w:type="dxa"/>
            <w:vAlign w:val="bottom"/>
            <w:tcBorders>
              <w:right w:val="single" w:sz="8" w:color="CCECFF"/>
            </w:tcBorders>
            <w:vMerge w:val="continue"/>
            <w:shd w:val="clear" w:color="auto" w:fill="CCECFF"/>
          </w:tcPr>
          <w:p>
            <w:pPr>
              <w:spacing w:after="0"/>
              <w:rPr>
                <w:sz w:val="5"/>
                <w:szCs w:val="5"/>
                <w:color w:val="auto"/>
              </w:rPr>
            </w:pPr>
          </w:p>
        </w:tc>
        <w:tc>
          <w:tcPr>
            <w:tcW w:w="600" w:type="dxa"/>
            <w:vAlign w:val="bottom"/>
            <w:shd w:val="clear" w:color="auto" w:fill="CCECFF"/>
          </w:tcPr>
          <w:p>
            <w:pPr>
              <w:spacing w:after="0"/>
              <w:rPr>
                <w:sz w:val="5"/>
                <w:szCs w:val="5"/>
                <w:color w:val="auto"/>
              </w:rPr>
            </w:pPr>
          </w:p>
        </w:tc>
        <w:tc>
          <w:tcPr>
            <w:tcW w:w="16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1080" w:type="dxa"/>
            <w:vAlign w:val="bottom"/>
            <w:shd w:val="clear" w:color="auto" w:fill="CCECFF"/>
          </w:tcPr>
          <w:p>
            <w:pPr>
              <w:spacing w:after="0"/>
              <w:rPr>
                <w:sz w:val="5"/>
                <w:szCs w:val="5"/>
                <w:color w:val="auto"/>
              </w:rPr>
            </w:pPr>
          </w:p>
        </w:tc>
        <w:tc>
          <w:tcPr>
            <w:tcW w:w="140" w:type="dxa"/>
            <w:vAlign w:val="bottom"/>
            <w:shd w:val="clear" w:color="auto" w:fill="CCECFF"/>
          </w:tcPr>
          <w:p>
            <w:pPr>
              <w:spacing w:after="0"/>
              <w:rPr>
                <w:sz w:val="5"/>
                <w:szCs w:val="5"/>
                <w:color w:val="auto"/>
              </w:rPr>
            </w:pPr>
          </w:p>
        </w:tc>
        <w:tc>
          <w:tcPr>
            <w:tcW w:w="80" w:type="dxa"/>
            <w:vAlign w:val="bottom"/>
            <w:shd w:val="clear" w:color="auto" w:fill="CCECFF"/>
          </w:tcPr>
          <w:p>
            <w:pPr>
              <w:spacing w:after="0"/>
              <w:rPr>
                <w:sz w:val="5"/>
                <w:szCs w:val="5"/>
                <w:color w:val="auto"/>
              </w:rPr>
            </w:pPr>
          </w:p>
        </w:tc>
        <w:tc>
          <w:tcPr>
            <w:tcW w:w="1020" w:type="dxa"/>
            <w:vAlign w:val="bottom"/>
            <w:shd w:val="clear" w:color="auto" w:fill="CCECFF"/>
          </w:tcPr>
          <w:p>
            <w:pPr>
              <w:spacing w:after="0"/>
              <w:rPr>
                <w:sz w:val="5"/>
                <w:szCs w:val="5"/>
                <w:color w:val="auto"/>
              </w:rPr>
            </w:pPr>
          </w:p>
        </w:tc>
        <w:tc>
          <w:tcPr>
            <w:tcW w:w="160" w:type="dxa"/>
            <w:vAlign w:val="bottom"/>
            <w:shd w:val="clear" w:color="auto" w:fill="CCECFF"/>
          </w:tcPr>
          <w:p>
            <w:pPr>
              <w:spacing w:after="0"/>
              <w:rPr>
                <w:sz w:val="5"/>
                <w:szCs w:val="5"/>
                <w:color w:val="auto"/>
              </w:rPr>
            </w:pPr>
          </w:p>
        </w:tc>
        <w:tc>
          <w:tcPr>
            <w:tcW w:w="120" w:type="dxa"/>
            <w:vAlign w:val="bottom"/>
            <w:shd w:val="clear" w:color="auto" w:fill="CCECFF"/>
          </w:tcPr>
          <w:p>
            <w:pPr>
              <w:spacing w:after="0"/>
              <w:rPr>
                <w:sz w:val="5"/>
                <w:szCs w:val="5"/>
                <w:color w:val="auto"/>
              </w:rPr>
            </w:pPr>
          </w:p>
        </w:tc>
        <w:tc>
          <w:tcPr>
            <w:tcW w:w="1080" w:type="dxa"/>
            <w:vAlign w:val="bottom"/>
            <w:shd w:val="clear" w:color="auto" w:fill="CCECFF"/>
          </w:tcPr>
          <w:p>
            <w:pPr>
              <w:spacing w:after="0"/>
              <w:rPr>
                <w:sz w:val="5"/>
                <w:szCs w:val="5"/>
                <w:color w:val="auto"/>
              </w:rPr>
            </w:pPr>
          </w:p>
        </w:tc>
        <w:tc>
          <w:tcPr>
            <w:tcW w:w="18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1080" w:type="dxa"/>
            <w:vAlign w:val="bottom"/>
            <w:shd w:val="clear" w:color="auto" w:fill="CCECFF"/>
          </w:tcPr>
          <w:p>
            <w:pPr>
              <w:spacing w:after="0"/>
              <w:rPr>
                <w:sz w:val="5"/>
                <w:szCs w:val="5"/>
                <w:color w:val="auto"/>
              </w:rPr>
            </w:pPr>
          </w:p>
        </w:tc>
        <w:tc>
          <w:tcPr>
            <w:tcW w:w="16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1080" w:type="dxa"/>
            <w:vAlign w:val="bottom"/>
            <w:shd w:val="clear" w:color="auto" w:fill="CCECFF"/>
          </w:tcPr>
          <w:p>
            <w:pPr>
              <w:spacing w:after="0"/>
              <w:rPr>
                <w:sz w:val="5"/>
                <w:szCs w:val="5"/>
                <w:color w:val="auto"/>
              </w:rPr>
            </w:pPr>
          </w:p>
        </w:tc>
        <w:tc>
          <w:tcPr>
            <w:tcW w:w="120" w:type="dxa"/>
            <w:vAlign w:val="bottom"/>
            <w:shd w:val="clear" w:color="auto" w:fill="CCECFF"/>
          </w:tcPr>
          <w:p>
            <w:pPr>
              <w:spacing w:after="0"/>
              <w:rPr>
                <w:sz w:val="5"/>
                <w:szCs w:val="5"/>
                <w:color w:val="auto"/>
              </w:rPr>
            </w:pPr>
          </w:p>
        </w:tc>
        <w:tc>
          <w:tcPr>
            <w:tcW w:w="100" w:type="dxa"/>
            <w:vAlign w:val="bottom"/>
            <w:shd w:val="clear" w:color="auto" w:fill="CCECFF"/>
          </w:tcPr>
          <w:p>
            <w:pPr>
              <w:spacing w:after="0"/>
              <w:rPr>
                <w:sz w:val="5"/>
                <w:szCs w:val="5"/>
                <w:color w:val="auto"/>
              </w:rPr>
            </w:pPr>
          </w:p>
        </w:tc>
        <w:tc>
          <w:tcPr>
            <w:tcW w:w="1160" w:type="dxa"/>
            <w:vAlign w:val="bottom"/>
            <w:tcBorders>
              <w:right w:val="single" w:sz="8" w:color="CCECFF"/>
            </w:tcBorders>
            <w:shd w:val="clear" w:color="auto" w:fill="CCECFF"/>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560" w:type="dxa"/>
            <w:vAlign w:val="bottom"/>
            <w:tcBorders>
              <w:right w:val="single" w:sz="8" w:color="CCECFF"/>
            </w:tcBorders>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08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10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08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08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08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160" w:type="dxa"/>
            <w:vAlign w:val="bottom"/>
            <w:tcBorders>
              <w:right w:val="single" w:sz="8" w:color="CCECFF"/>
            </w:tcBorders>
            <w:shd w:val="clear" w:color="auto" w:fill="CCEC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337" w:right="1440" w:bottom="1440" w:gutter="0" w:footer="0" w:header="0"/>
        </w:sectPr>
      </w:pPr>
    </w:p>
    <w:bookmarkStart w:id="52" w:name="page53"/>
    <w:bookmarkEnd w:id="52"/>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i w:val="1"/>
          <w:iCs w:val="1"/>
          <w:color w:val="auto"/>
        </w:rPr>
        <w:t>Unless otherwise noted, (1) the term “Arrowhead” refers to Arrowhead Pharmaceuticals, Inc., a Delaware corporation, (2) the terms “Company,” “we,” “us,” and “our,” refer to the ongoing business operations of Arrowhead and its Subsidiaries, whether conducted through Arrowhead or a subsidiary of Arrowhead, (3) the term “Subsidiaries” refers to Arrowhead Madison Inc. (“Arrowhead Madison”), and Arrowhead Australia Pty Ltd (“Arrowhead Australia”), (4) the term “Common Stock” refers to Arrowhead’s Common Stock, (5) the term “Preferred Stock” refers to Arrowhead’s Preferred Stock and (6) the term “Stockholder(s)” refers to the holders of Arrowhead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ARO-APOC3 for hypertriglyceridemia, ARO-ANG3 for dyslipidemia, ARO-HSD for liver disease, ARO-ENaC for cystic fibrosis, ARO-HIF2 for renal cell carcinoma, ARO-DUX4 for facioscapulohumeral muscular dystrophy, ARO-LUNG2 for chronic obstructive pulmonary disorder, ARO-COV for the coronavirus that causes COVID-19 and other possible future pulmonary-borne pathogens and ARO-C3 for complement mediated diseases. ARO-XDH is being developed for uncontrolled gout under a collaboration agreement with Horizon Therapeutics Ireland DAC (“Horizon”). ARO-JNJ2 and ARO-JNJ3 are being developed for undisclosed liver-expressed targets under a collaboration agreement with Janssen Pharmaceuticals, Inc.</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(“Janssen”). JNJ-75220795 (ARO-JNJ1) is being developed by Janssen as a potential treatment for patients with non-alcoholic steatohepatitis</w:t>
      </w:r>
    </w:p>
    <w:p>
      <w:pPr>
        <w:spacing w:after="0" w:line="21"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(NASH). ARO-AAT for liver disease associated with alpha-1 antitrypsin deficiency (“AATD”) was out-licensed to Takeda Pharmaceuticals U.S.A., Inc. (“Takeda”) in October 2020. JNJ-3989 (formerly referred to as ARO-HBV) for chronic hepatitis B virus was out-licensed to Janssen in October 2018. Olpasiran (formerly referred to as AMG 890 or ARO-LPA) for cardiovascular disease was out-licensed to Amgen Inc. (“Amgen”) in 2016.</w:t>
      </w:r>
    </w:p>
    <w:p>
      <w:pPr>
        <w:spacing w:after="0" w:line="173" w:lineRule="exact"/>
        <w:rPr>
          <w:sz w:val="20"/>
          <w:szCs w:val="20"/>
          <w:color w:val="auto"/>
        </w:rPr>
      </w:pPr>
    </w:p>
    <w:p>
      <w:pPr>
        <w:ind w:right="20" w:firstLine="514"/>
        <w:spacing w:after="0" w:line="284" w:lineRule="auto"/>
        <w:rPr>
          <w:sz w:val="20"/>
          <w:szCs w:val="20"/>
          <w:color w:val="auto"/>
        </w:rPr>
      </w:pPr>
      <w:r>
        <w:rPr>
          <w:rFonts w:ascii="Arial" w:cs="Arial" w:eastAsia="Arial" w:hAnsi="Arial"/>
          <w:sz w:val="16"/>
          <w:szCs w:val="16"/>
          <w:color w:val="auto"/>
        </w:rPr>
        <w:t>During fiscal year 2021, the Company continued to develop its pipeline and partnered candidates. The Company announced positive interim clinical data on (i) AROAAT2002, an open-label Phase 2 clinical study of ARO-AAT, the Company’s second-generation investigational RNAi therapeutic being co-developed with Takeda as a treatment for the rare genetic liver disease associated with AATD, (ii) AROHSD1001, a Phase 1/2 clinical study of ARO-HSD, the Company’s investigational RNAi therapeutic being developed as a treatment for patients with alcohol-related and nonalcohol related liver diseases, such as nonalcoholic steatohepatitis (NASH), and (iii) AROHIF21001, a Phase 1b dose-finding clinical study of ARO-HIF2, the Company’s investigational RNAi therapeutic being developed as a treatment for patients with clear cell renal cell carcinoma. The Company also presented preclinical data on the development of ARO-DUX4, the Company’s investigational RNAi therapeutic being developed as a treatment for patients with facioscapulohumeral muscular dystrophy (FSHD), at the 28th Annual FSHD Society International Research Congress. The Company hosted a key opinion leader webinar on its cardiometabolic candidates, ARO-APOC3 and ARO-ANG3, and presented positive clinical data from the Phase 1/2 clinical studies of ARO-APOC3 and ARO-ANG3 at the American Heart Association Scientific Sessions 2020. The Company filed two Investigational New Drug Applications with the United States Food and Drug Administration (the “FDA”) to begin a Phase 2b clinical study of ARO-APOC3 in patients with severe hypertriglyceridemia and a Phase 2b clinical study of ARO-ANG3 in patients with mixed dyslipidemia, and initiated these two Phase 2b clinical studies in the third quarter of fiscal year 2021. The Company also filed for regulatory clearance to begin a Phase 1/2a study of ARO-C3 for treatment of complement mediated diseases. In July 2021, the Company voluntarily paused AROENaC1001, a Phase 1/2 clinical study of ARO-ENaC, the Company’s investigational RNAi therapeutic being developed as a treatment for patients with cystic fibrosis, after receiving a preliminary update from an ongoing chronic toxicology study in rats that contained unexpected signals of local lung inflammation. New screening, enrollment and any further dosing of investigational ARO-ENaC have been paused pending additional data from ongoing nonclinical toxicology studies. The Company announced two collaborations during fiscal year 2021: a collaboration with Takeda to co-develop and co-commercialize ARO-AAT for alpha-1 antitrypsin-associated liver disease and a collaboration with Horizon to develop ARO-XDH, an investigational RNAi therapeutic for uncontrolled gout. In July 2021, the Company received Breakthrough Therapy designation from the FDA for ARO-AAT, which is a process designed to expedite the development and review of drugs that are intended to treat a serious life-threatening disease or condition and preliminary clinical evidence indicates that the drug may demonstrate substantial improvement over existing therapies on one or more clinically significant endpoints.</w:t>
      </w:r>
    </w:p>
    <w:p>
      <w:pPr>
        <w:spacing w:after="0" w:line="396"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Company’s partnered candidates under its collaboration agreements also continued to progress. Janssen began dosing patients in a Phase 2b triple combination study called REEF-1, designed to enroll up to 450 patients with chronic hepatitis B infection. The Company is currently performing discovery, optimization and preclinical research and development for JNJ-75220795 (ARO-JNJ1), ARO-JNJ2 and ARO-JNJ3 for Janssen as part of the Company’s Research Collaboration and Option Agreement with Janssen (the “Janssen Collaboration Agreement”), and Janssen has began dosing patients in its Phase 1 clinical trial for JNJ-75220795 (ARO-JNJ1). Amgen has initiated a Phase 2 clinical trial for Olpasiran (previously referred to as AMG 890 or ARO-LPA). The Company entered into two licensing deals during fiscal 2021: i) an Exclusive License and Co-Funding Agreement (the “Takeda License Agreement”) with Takeda for ARO-AAT, and ii) a Collaboration and License Agreement (the “Horizon License Agreement”) with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Horizon Therapeutics Ireland DAC (“Horizon”) for ARO-XDH. ARO-AAT is currently in Phase 2 clinical trials and ARO-XDH is in discovery-</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stage. During fiscal year 2021, the Company earned $340.0 million in upfront payments from its collaboration agreements, and $20.0 million in option and milestone payments. In total, the Company remains eligible for $5.3 billion in developmental, regulatory and sales milestones, in various royalties on net sales.</w:t>
      </w:r>
    </w:p>
    <w:p>
      <w:pPr>
        <w:spacing w:after="0" w:line="190"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 xml:space="preserve">The revenue recognition for these collaboration agreements is discussed further in Note 2 Notes to Consolidated Financial Statements of Part IV, Item 15. </w:t>
      </w:r>
      <w:r>
        <w:rPr>
          <w:rFonts w:ascii="Arial" w:cs="Arial" w:eastAsia="Arial" w:hAnsi="Arial"/>
          <w:sz w:val="18"/>
          <w:szCs w:val="18"/>
          <w:i w:val="1"/>
          <w:iCs w:val="1"/>
          <w:color w:val="auto"/>
        </w:rPr>
        <w:t>Exhibits and Financial Statement Schedules</w:t>
      </w:r>
      <w:r>
        <w:rPr>
          <w:rFonts w:ascii="Arial" w:cs="Arial" w:eastAsia="Arial" w:hAnsi="Arial"/>
          <w:sz w:val="18"/>
          <w:szCs w:val="18"/>
          <w:color w:val="auto"/>
        </w:rPr>
        <w:t>.</w:t>
      </w:r>
    </w:p>
    <w:p>
      <w:pPr>
        <w:spacing w:after="0" w:line="170"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auto"/>
        </w:rPr>
        <w:t>Arrowhead operates lab facilities in Madison, Wisconsin and San Diego, California, where the Company’s research and development activities, including the development of RNAi therapeutics, take place. The Company’s principal executive offices are located in Pasadena, California.</w:t>
      </w:r>
    </w:p>
    <w:p>
      <w:pPr>
        <w:spacing w:after="0" w:line="124"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auto"/>
        </w:rPr>
        <w:t>Arrowhead has focused its resources on therapeutics that exclusively utilize the Company’s Targeted RNAi Molecule (TRiM</w:t>
      </w:r>
      <w:r>
        <w:rPr>
          <w:rFonts w:ascii="Arial" w:cs="Arial" w:eastAsia="Arial" w:hAnsi="Arial"/>
          <w:sz w:val="15"/>
          <w:szCs w:val="15"/>
          <w:color w:val="auto"/>
        </w:rPr>
        <w:t>TM</w:t>
      </w:r>
      <w:r>
        <w:rPr>
          <w:rFonts w:ascii="Arial" w:cs="Arial" w:eastAsia="Arial" w:hAnsi="Arial"/>
          <w:sz w:val="18"/>
          <w:szCs w:val="18"/>
          <w:color w:val="auto"/>
        </w:rPr>
        <w:t>) platform technology. Therapeutics built on the TRiM</w:t>
      </w:r>
      <w:r>
        <w:rPr>
          <w:rFonts w:ascii="Arial" w:cs="Arial" w:eastAsia="Arial" w:hAnsi="Arial"/>
          <w:sz w:val="15"/>
          <w:szCs w:val="15"/>
          <w:color w:val="auto"/>
        </w:rPr>
        <w:t>TM</w:t>
      </w:r>
      <w:r>
        <w:rPr>
          <w:rFonts w:ascii="Arial" w:cs="Arial" w:eastAsia="Arial" w:hAnsi="Arial"/>
          <w:sz w:val="18"/>
          <w:szCs w:val="18"/>
          <w:color w:val="auto"/>
        </w:rPr>
        <w:t xml:space="preserve"> platform have demonstrated high levels of pharmacologic activity in multiple animal models spanning several therapeutic areas. TRiM</w:t>
      </w:r>
      <w:r>
        <w:rPr>
          <w:rFonts w:ascii="Arial" w:cs="Arial" w:eastAsia="Arial" w:hAnsi="Arial"/>
          <w:sz w:val="15"/>
          <w:szCs w:val="15"/>
          <w:color w:val="auto"/>
        </w:rPr>
        <w:t>TM</w:t>
      </w:r>
      <w:r>
        <w:rPr>
          <w:rFonts w:ascii="Arial" w:cs="Arial" w:eastAsia="Arial" w:hAnsi="Arial"/>
          <w:sz w:val="18"/>
          <w:szCs w:val="18"/>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muscle and tumors; and the potential for improved safety and reduced risk of intracellular buildup, because there are less metabolites from smaller, simpler molecules.</w:t>
      </w:r>
    </w:p>
    <w:p>
      <w:pPr>
        <w:spacing w:after="0" w:line="192"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either contracted to third-party manufacturers or manufactured internally.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“candidate costs.” If the clinical candidates progress through human testing, candidate costs will increase.</w:t>
      </w:r>
    </w:p>
    <w:p>
      <w:pPr>
        <w:spacing w:after="0" w:line="192"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Company is actively monitoring the ongoing COVID-19 pandemic. The financial results for the years ended September 30, 2021 and 2020 were not significantly impacted by COVID-19. Operationally, the Company experienced delays in its earlier stage programs due to a shortage in non-human primates, which are critical for the Company’s preclinical programs. Additionally, the Company experienced delays in enrollment in its clinical trials. The Company’s operations at its research and development facilities in Madison, Wisconsin and San Diego, California, and its corporate headquarters in Pasadena, California have continued to operate with limited impact, other than for enhanced safety measures, including work from home policies, and intermittent lab supply shortages. However, the Company cannot predict the impact the progression of COVID-19 will have on future financial and operational results due to a variety of factors, including the ability of the Company’s clinical sites to continue to enroll subjects, the ability of the Company’s suppliers to continue to operate, the continued good health and safety of the Company’s employees and the length and severity of the COVID-19 pandemic.</w:t>
      </w:r>
    </w:p>
    <w:p>
      <w:pPr>
        <w:spacing w:after="0" w:line="196"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Net loss was $140.8 million for the year ended September 30, 2021 as compared to net loss of $84.6 million for the year ended September 30, 2020 and net income of $68.0 million for the year ended September 30, 2019. Net loss per share – diluted was $1.36 for the year ended September 30, 2021 as compared to net loss per share-diluted of $0.84 for the year ended September 30, 2020 and net income per share-diluted of $0.69 for the year ended September 30, 2019. An increase in research and development and general and administrative expenses, partially offset by an increase in revenue due to the Takeda collaboration, were the drivers of the increase in net loss and net loss per share for the year ended September 30, 2021, as discussed further below.</w:t>
      </w:r>
    </w:p>
    <w:p>
      <w:pPr>
        <w:spacing w:after="0" w:line="16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Company has strengthened its liquidity and financial position through upfront and milestone payments received under its collaboration agreements, as well as equity financings. Under the terms of the Company’s agreements with Janssen taken together, the Company has received $175.0 million as an upfront payment, $75.0 million in the form of an equity investment by JJDC in Arrowhead Common Stock and four milestone payments totaling $70.0 million. Under the terms of the Company’s agreements with Amgen, the Company has received $35.0 million in upfront payments, $21.5 million in the form of an equity investment by Amgen in the Company’s Common Stock and $30.0 million in milestone payments. The Company’s October 2020 licensing agreement with Takeda resulted in a $300.0 million upfront payment, and the Company’s June 2021 licensing agreement with Horizon resulted in a $40 million upfront payment, each of which was collected during fiscal year 2021. The Company had $184.4 million of cash and cash equivalents, $126.7 million of marketable securities, $56.6 million in short-term investments, $245.6 million of long-term investments and $710.1 million of total assets as of September 30, 2021, as compared to $143.6 million of cash and cash equivalents, $85.0 million of marketable securities, $86.9 million in short-term investments, $137.5 million of long-term investments and $522.5 million of total assets as of September 30, 2020, respectively. Based upon the Company’s current cash and investment resources and operating plan, the Company expects to have sufficient liquidity to fund operations for at least the next twelve months.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 xml:space="preserve">Management makes certain judgments and uses certain estimates and assumptions when applying accounting principles generally accepted in the United States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Arial" w:cs="Arial" w:eastAsia="Arial" w:hAnsi="Arial"/>
          <w:sz w:val="17"/>
          <w:szCs w:val="17"/>
          <w:i w:val="1"/>
          <w:iCs w:val="1"/>
          <w:color w:val="auto"/>
        </w:rPr>
        <w:t>Note 1, Organization and Significant Accounting Policies</w:t>
      </w:r>
      <w:r>
        <w:rPr>
          <w:rFonts w:ascii="Arial" w:cs="Arial" w:eastAsia="Arial" w:hAnsi="Arial"/>
          <w:sz w:val="17"/>
          <w:szCs w:val="17"/>
          <w:color w:val="auto"/>
        </w:rPr>
        <w:t>, to our Consolidated Financial Statements, which outlines our application of significant accounting policies.</w:t>
      </w:r>
    </w:p>
    <w:p>
      <w:pPr>
        <w:spacing w:after="0" w:line="178"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Investments—The Company may invest excess cash balances in short-term and long-term marketable debt and equity securities. Investments may consist of certificates of deposit, money market accounts, government-sponsored enterprise securities, corporate bonds and/or commercial paper. The Company accounts for its investment in marketable securities in accordance with Financial Accounting Standards Board (“FASB”) ASC 320, Investments</w:t>
      </w:r>
    </w:p>
    <w:p>
      <w:pPr>
        <w:spacing w:after="0" w:line="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 Debt and Equity Securities and ASC 321, Investments in Equity Securities. ASC 320-Investments-Debt and Equity Securities requires debt securities to be classified into three categories: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color w:val="auto"/>
        </w:rPr>
        <w:t>Trading Securities—Debt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Available-for-Sale—Debt securities not classified as either securities held-to-maturity or trading securities are reported at fair value with unrealized gains or losses excluded from earnings and reported as a separate component of stockholders’ equity.</w:t>
      </w:r>
    </w:p>
    <w:p>
      <w:pPr>
        <w:spacing w:after="0" w:line="170"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The Company classifies its investments in marketable debt securities based on the facts and circumstances present at the time of purchase of the securities. During the years ended September 30, 2021, 2020 and 2019, all of the Company’s debt securities were classified as held-to-maturity.</w:t>
      </w:r>
    </w:p>
    <w:p>
      <w:pPr>
        <w:spacing w:after="0" w:line="12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invests in shares of mutual funds that invest in marketable debt securities such as U.S. government bonds, U.S. government agency bonds, corporate bonds, and other asset backed debt securities. The Company accounts for these securities using the guidance from FASB ASC 321, Investments-Equity Securities. These securities are recorded on the Company’s Consolidated Balance Sheet as “marketable securities” and recorded at fair value. All unrealized gains/losses associated with these securities are recorded in the Company’s Consolidated Statement of Operations and Comprehensive Income (Loss).</w:t>
      </w:r>
    </w:p>
    <w:p>
      <w:pPr>
        <w:spacing w:after="0" w:line="188"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 and are also reviewed annually to determine whether any impairment is necessary.</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Contingent Consideration—The consideration for the Company’s acquisitions may include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Income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ind w:right="660"/>
        <w:spacing w:after="0" w:line="277" w:lineRule="auto"/>
        <w:rPr>
          <w:sz w:val="20"/>
          <w:szCs w:val="20"/>
          <w:color w:val="auto"/>
        </w:rPr>
      </w:pPr>
      <w:r>
        <w:rPr>
          <w:rFonts w:ascii="Arial" w:cs="Arial" w:eastAsia="Arial" w:hAnsi="Arial"/>
          <w:sz w:val="18"/>
          <w:szCs w:val="18"/>
          <w:color w:val="auto"/>
        </w:rPr>
        <w:t>records in any given period. The Company determined the fair value of its contingent consideration obligation to be $0 at September 30, 2021 and September 30, 2020.</w:t>
      </w:r>
    </w:p>
    <w:p>
      <w:pPr>
        <w:spacing w:after="0" w:line="170"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 xml:space="preserve">Revenue Recognition— On October 1, 2018, the Company adopted FASB Topic 606 – Revenue for Contracts from Customers which amended revenue recognition principles and provides a single, comprehensive set of criteria for revenue recognition within and across all industries. The Company’s adoption of the revenue standard did not have a material impact on its Consolidated Financial Statements. The Company has not yet achieved commercial sales of its drug candidates to date, however, the new standard is applicable to the Company’s ongoing licensing and collaboration agreements, including those with Amgen, Janssen, Takeda and Horizon, and the analysis of the impact of this guidance on those agreements is discussed further in Note 2 of Notes to Consolidated Financial Statements of Part IV, Item 15. </w:t>
      </w:r>
      <w:r>
        <w:rPr>
          <w:rFonts w:ascii="Arial" w:cs="Arial" w:eastAsia="Arial" w:hAnsi="Arial"/>
          <w:sz w:val="16"/>
          <w:szCs w:val="16"/>
          <w:i w:val="1"/>
          <w:iCs w:val="1"/>
          <w:color w:val="auto"/>
        </w:rPr>
        <w:t>Exhibits and Financial Statement Schedules</w:t>
      </w:r>
      <w:r>
        <w:rPr>
          <w:rFonts w:ascii="Arial" w:cs="Arial" w:eastAsia="Arial" w:hAnsi="Arial"/>
          <w:sz w:val="16"/>
          <w:szCs w:val="16"/>
          <w:color w:val="auto"/>
        </w:rPr>
        <w:t>.</w:t>
      </w:r>
    </w:p>
    <w:p>
      <w:pPr>
        <w:spacing w:after="0" w:line="164"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The revenue standard provides a five-step framework for recognizing revenue as control of promised goods or services is transferred to a customer at an amount that reflects the consideration to which the entity expects to be entitled in exchange for those goods or services. To determine revenue recognition for arrangements that the Company determines are within the scope of the revenue standard, the Company performs the following five steps: (i) identify the contract; (ii) identify the performance obligations; (iii) determine the transaction price; (iv) allocate the transaction price to the performance obligations in the contract; and (v) recognize revenue when (or as) the Company satisfies a performance obligation. 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the Company determines is probable to not cause a significant reversal in the amount of cumulative revenue recognized when the uncertainty associated with the variable consideration is resolved. The Company then allocates the transaction price to each performance obligation and recognizes the associated revenue when (or as) each performance obligation is satisfied.</w:t>
      </w:r>
    </w:p>
    <w:p>
      <w:pPr>
        <w:spacing w:after="0" w:line="16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 the appropriate method of measuring progress for purposes of recognizing revenue from license payments. The Company evaluates the measure of progress each reporting period and, if necessary, adjusts the related revenue recognition.</w:t>
      </w:r>
    </w:p>
    <w:p>
      <w:pPr>
        <w:spacing w:after="0" w:line="19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Clinical Trial Application (“CTA”) or a New Drug Application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 likely 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our milestones and royalties, and, if necessary, adjusts its estimate of the overall transaction price. Any such adjustments are recorded on a cumulative catch-up basis, which would affect revenues and net income in our Consolidated Statements of Operations and Comprehensive Income (Loss). Typically, milestone payments and royalties are achieved after the Company’s performance obligations associated with the collaboration agreements have been completed and after the customer has assumed responsibility for the respective clinical or pre-clinical program. Milestones or royalties achieved after the Company’s performance obligations have been completed are recognized as revenue in the period the milestone or royalty was achieved. If a milestone payment is achieved during the performance period, the milestone payment would be recognized as revenue to the extent performance had been completed at that point, and the remaining balance would be recorded as deferred revenue.</w:t>
      </w:r>
    </w:p>
    <w:p>
      <w:pPr>
        <w:spacing w:after="0" w:line="167" w:lineRule="exact"/>
        <w:rPr>
          <w:sz w:val="20"/>
          <w:szCs w:val="20"/>
          <w:color w:val="auto"/>
        </w:rPr>
      </w:pPr>
    </w:p>
    <w:p>
      <w:pPr>
        <w:jc w:val="both"/>
        <w:ind w:right="280" w:firstLine="510"/>
        <w:spacing w:after="0" w:line="259" w:lineRule="auto"/>
        <w:rPr>
          <w:sz w:val="20"/>
          <w:szCs w:val="20"/>
          <w:color w:val="auto"/>
        </w:rPr>
      </w:pPr>
      <w:r>
        <w:rPr>
          <w:rFonts w:ascii="Arial" w:cs="Arial" w:eastAsia="Arial" w:hAnsi="Arial"/>
          <w:sz w:val="18"/>
          <w:szCs w:val="18"/>
          <w:color w:val="auto"/>
        </w:rPr>
        <w:t>The revenue standard requires the Company to assess whether a significant financing component exists in determining the transaction price. The Company performs this assessment at the onset of its licensing or collaboration agreements. Typically, a significant financing component does not exist because the customer is paying for a license or services in advance with an upfront payment. Additionally, future royalty payments are not substantially within the control of the Company or the customer.</w:t>
      </w:r>
    </w:p>
    <w:p>
      <w:pPr>
        <w:spacing w:after="0" w:line="18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new revenue standard as the price at which an entity would sell a promised good or service separately to a customer. If other observable transactions in which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ind w:right="880"/>
        <w:spacing w:after="0" w:line="286" w:lineRule="auto"/>
        <w:rPr>
          <w:sz w:val="20"/>
          <w:szCs w:val="20"/>
          <w:color w:val="auto"/>
        </w:rPr>
      </w:pPr>
      <w:r>
        <w:rPr>
          <w:rFonts w:ascii="Arial" w:cs="Arial" w:eastAsia="Arial" w:hAnsi="Arial"/>
          <w:sz w:val="17"/>
          <w:szCs w:val="17"/>
          <w:color w:val="auto"/>
        </w:rPr>
        <w:t>the Company has sold the same performance obligation separately are not available, the Company estimates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6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Whenever the Company determines that goods or services promised in a contract should be accounted for as a combined performance obligation over time, the Company determines the period over which the performance obligations will be performed and revenue will be recognized. Revenue is recognized using either the proportional performance method or on a straight-line basis if efforts will be expended evenly over time. Labor hours, costs incurred or patient visits in clinical trials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the Company’s Consolidated Balance Sheets.</w:t>
      </w:r>
    </w:p>
    <w:p>
      <w:pPr>
        <w:spacing w:after="0" w:line="195"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Certain judgments affect the application of the Company’s revenue recognition policy. For example, the Company records short-term and long-term deferred revenue based on its best estimate of when such revenue will be recognized. Short-term deferred revenue consists of amounts that are expected to be recognized as revenue in the next 12 months, and long-term deferred revenue consists of amounts that the Company does not expect will be recognized in the next 12 months. This estimate is based on the Company’s current operating plan and, if the Company’s operating plan should change in the future, the Company may recognize a different amount of deferred revenue over the next 12-month period.</w:t>
      </w:r>
    </w:p>
    <w:p>
      <w:pPr>
        <w:spacing w:after="0" w:line="176" w:lineRule="exact"/>
        <w:rPr>
          <w:sz w:val="20"/>
          <w:szCs w:val="20"/>
          <w:color w:val="auto"/>
        </w:rPr>
      </w:pPr>
    </w:p>
    <w:p>
      <w:pPr>
        <w:ind w:right="140" w:firstLine="510"/>
        <w:spacing w:after="0" w:line="269" w:lineRule="auto"/>
        <w:rPr>
          <w:sz w:val="20"/>
          <w:szCs w:val="20"/>
          <w:color w:val="auto"/>
        </w:rPr>
      </w:pPr>
      <w:r>
        <w:rPr>
          <w:rFonts w:ascii="Arial" w:cs="Arial" w:eastAsia="Arial" w:hAnsi="Arial"/>
          <w:sz w:val="17"/>
          <w:szCs w:val="17"/>
          <w:color w:val="auto"/>
        </w:rPr>
        <w:t>Collaborative Arrangements—The Company analyzes its collaborative arrangements to assess whether such arrangements involve joint operating activities performed by parties that are both active participants in the activities and exposed to significant risks and rewards, and therefore are within the scope of FASB Topic 808—Collaborative Arrangements. For collaborative arrangements that contain multiple elements, the Company determines which units of account are deemed to be within the scope of Topic 808 and which units of account are more reflective of a vendor-customer relationship, and therefore are within the scope of Topic 606. For units of account that are accounted for pursuant to Topic 808, an appropriate recognition method is determined and applied consistently, either by analogy to appropriate accounting literature or by applying a reasonable accounting policy election. For collaborative arrangements that are within the scope of Topic 808, the Company evaluates the income statement classification for presentation of amounts due to or owed from other participants associated with multiple units of account in a collaborative arrangement based on the nature of each activity. Payments or reimbursements that are the result of a collaborative relationship instead of a customer relationship, such as co-development and co-commercialization activities, are recorded as increases or decreases to Research and Development Expense or General and Administrative Expense, as appropriate.</w:t>
      </w:r>
    </w:p>
    <w:p>
      <w:pPr>
        <w:spacing w:after="0" w:line="182"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49"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66"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303" w:lineRule="exact"/>
        <w:rPr>
          <w:sz w:val="20"/>
          <w:szCs w:val="20"/>
          <w:color w:val="auto"/>
        </w:rPr>
      </w:pPr>
    </w:p>
    <w:p>
      <w:pPr>
        <w:ind w:right="320" w:firstLine="300"/>
        <w:spacing w:after="0" w:line="277" w:lineRule="auto"/>
        <w:rPr>
          <w:sz w:val="20"/>
          <w:szCs w:val="20"/>
          <w:color w:val="auto"/>
        </w:rPr>
      </w:pPr>
      <w:r>
        <w:rPr>
          <w:rFonts w:ascii="Arial" w:cs="Arial" w:eastAsia="Arial" w:hAnsi="Arial"/>
          <w:sz w:val="18"/>
          <w:szCs w:val="18"/>
          <w:color w:val="auto"/>
        </w:rPr>
        <w:t>Leases—The Company determines whether a contract is, or contains, a lease at inception. The Company classifies each of its leases as operating or financing considering factors such as the length of the lease term, the present value of the lease payments,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ind w:right="40"/>
        <w:spacing w:after="0" w:line="290" w:lineRule="auto"/>
        <w:rPr>
          <w:sz w:val="20"/>
          <w:szCs w:val="20"/>
          <w:color w:val="auto"/>
        </w:rPr>
      </w:pPr>
      <w:r>
        <w:rPr>
          <w:rFonts w:ascii="Arial" w:cs="Arial" w:eastAsia="Arial" w:hAnsi="Arial"/>
          <w:sz w:val="16"/>
          <w:szCs w:val="16"/>
          <w:color w:val="auto"/>
        </w:rPr>
        <w:t>nature of the asset being leased, and the potential for ownership of the asset to transfer during the lease term. Leases with terms greater than one-year are recognized on the Consolidated Balance Sheets as Right-of-use assets and Lease liabilities and are measured at the present value of the fixed payments due over the expected lease term minus the present value of any incentives, rebates or abatements expected to be received from the lessor. Options to extend a lease are typically excluded from the expected lease term as the exercise of the option is typically not reasonably certain. The interest rate implicit in lease contracts is typically not readily determinable. As such, the Company utilizes the appropriate incremental borrowing rate, which is the rate incurred to borrow on a collateralized basis an amount equal to the lease payments over a similar term and in a similar economic environment. The Company records expense to recognize fixed lease payments on a straight-line basis over the expected lease term. Costs determined to be variable and not based on an index or rate are not included in the measurement of the lease liability and are expensed as incurred.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summarizes our results of operations for the following periods indicated:</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14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Years ended September 30,</w:t>
            </w: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400" w:type="dxa"/>
            <w:vAlign w:val="bottom"/>
          </w:tcPr>
          <w:p>
            <w:pPr>
              <w:spacing w:after="0"/>
              <w:rPr>
                <w:sz w:val="14"/>
                <w:szCs w:val="14"/>
                <w:color w:val="auto"/>
              </w:rPr>
            </w:pPr>
          </w:p>
        </w:tc>
        <w:tc>
          <w:tcPr>
            <w:tcW w:w="1640" w:type="dxa"/>
            <w:vAlign w:val="bottom"/>
            <w:gridSpan w:val="2"/>
          </w:tcPr>
          <w:p>
            <w:pPr>
              <w:jc w:val="right"/>
              <w:ind w:right="107"/>
              <w:spacing w:after="0"/>
              <w:rPr>
                <w:sz w:val="20"/>
                <w:szCs w:val="20"/>
                <w:color w:val="auto"/>
              </w:rPr>
            </w:pPr>
            <w:r>
              <w:rPr>
                <w:rFonts w:ascii="Arial" w:cs="Arial" w:eastAsia="Arial" w:hAnsi="Arial"/>
                <w:sz w:val="14"/>
                <w:szCs w:val="14"/>
                <w:b w:val="1"/>
                <w:bCs w:val="1"/>
                <w:color w:val="auto"/>
              </w:rPr>
              <w:t>2021</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tcPr>
          <w:p>
            <w:pPr>
              <w:jc w:val="right"/>
              <w:ind w:right="874"/>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1260" w:type="dxa"/>
            <w:vAlign w:val="bottom"/>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56"/>
        </w:trPr>
        <w:tc>
          <w:tcPr>
            <w:tcW w:w="2400" w:type="dxa"/>
            <w:vAlign w:val="bottom"/>
            <w:tcBorders>
              <w:top w:val="single" w:sz="8" w:color="auto"/>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spacing w:after="0"/>
              <w:rPr>
                <w:sz w:val="13"/>
                <w:szCs w:val="13"/>
                <w:color w:val="auto"/>
              </w:rPr>
            </w:pPr>
          </w:p>
        </w:tc>
        <w:tc>
          <w:tcPr>
            <w:tcW w:w="3140" w:type="dxa"/>
            <w:vAlign w:val="bottom"/>
            <w:tcBorders>
              <w:top w:val="single" w:sz="8" w:color="auto"/>
              <w:bottom w:val="single" w:sz="8" w:color="auto"/>
            </w:tcBorders>
            <w:gridSpan w:val="3"/>
          </w:tcPr>
          <w:p>
            <w:pPr>
              <w:jc w:val="right"/>
              <w:ind w:right="114"/>
              <w:spacing w:after="0" w:line="155" w:lineRule="exact"/>
              <w:rPr>
                <w:sz w:val="20"/>
                <w:szCs w:val="20"/>
                <w:color w:val="auto"/>
              </w:rPr>
            </w:pPr>
            <w:r>
              <w:rPr>
                <w:rFonts w:ascii="Arial" w:cs="Arial" w:eastAsia="Arial" w:hAnsi="Arial"/>
                <w:sz w:val="14"/>
                <w:szCs w:val="14"/>
                <w:b w:val="1"/>
                <w:bCs w:val="1"/>
                <w:color w:val="auto"/>
              </w:rPr>
              <w:t>(in thousands, except per share amounts)</w:t>
            </w:r>
          </w:p>
        </w:tc>
        <w:tc>
          <w:tcPr>
            <w:tcW w:w="4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3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138,287</w:t>
            </w:r>
          </w:p>
        </w:tc>
        <w:tc>
          <w:tcPr>
            <w:tcW w:w="5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87,992</w:t>
            </w:r>
          </w:p>
        </w:tc>
        <w:tc>
          <w:tcPr>
            <w:tcW w:w="4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168,796</w:t>
            </w:r>
          </w:p>
        </w:tc>
        <w:tc>
          <w:tcPr>
            <w:tcW w:w="80" w:type="dxa"/>
            <w:vAlign w:val="bottom"/>
            <w:shd w:val="clear" w:color="auto" w:fill="CFF0FC"/>
          </w:tcPr>
          <w:p>
            <w:pPr>
              <w:spacing w:after="0"/>
              <w:rPr>
                <w:sz w:val="19"/>
                <w:szCs w:val="19"/>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40" w:type="dxa"/>
            <w:vAlign w:val="bottom"/>
            <w:gridSpan w:val="2"/>
          </w:tcPr>
          <w:p>
            <w:pPr>
              <w:jc w:val="right"/>
              <w:ind w:right="132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(149,036)</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(93,159)</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61,191</w:t>
            </w:r>
          </w:p>
        </w:tc>
        <w:tc>
          <w:tcPr>
            <w:tcW w:w="80" w:type="dxa"/>
            <w:vAlign w:val="bottom"/>
          </w:tcPr>
          <w:p>
            <w:pPr>
              <w:spacing w:after="0"/>
              <w:rPr>
                <w:sz w:val="19"/>
                <w:szCs w:val="19"/>
                <w:color w:val="auto"/>
              </w:rPr>
            </w:pPr>
          </w:p>
        </w:tc>
      </w:tr>
      <w:tr>
        <w:trPr>
          <w:trHeight w:val="229"/>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640" w:type="dxa"/>
            <w:vAlign w:val="bottom"/>
            <w:gridSpan w:val="2"/>
            <w:shd w:val="clear" w:color="auto" w:fill="CFF0FC"/>
          </w:tcPr>
          <w:p>
            <w:pPr>
              <w:jc w:val="right"/>
              <w:ind w:right="132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(140,848)</w:t>
            </w:r>
          </w:p>
        </w:tc>
        <w:tc>
          <w:tcPr>
            <w:tcW w:w="54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(84,553)</w:t>
            </w:r>
          </w:p>
        </w:tc>
        <w:tc>
          <w:tcPr>
            <w:tcW w:w="4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67,975</w:t>
            </w:r>
          </w:p>
        </w:tc>
        <w:tc>
          <w:tcPr>
            <w:tcW w:w="80" w:type="dxa"/>
            <w:vAlign w:val="bottom"/>
            <w:shd w:val="clear" w:color="auto" w:fill="CFF0FC"/>
          </w:tcPr>
          <w:p>
            <w:pPr>
              <w:spacing w:after="0"/>
              <w:rPr>
                <w:sz w:val="19"/>
                <w:szCs w:val="19"/>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Diluted</w:t>
            </w:r>
          </w:p>
        </w:tc>
        <w:tc>
          <w:tcPr>
            <w:tcW w:w="1640" w:type="dxa"/>
            <w:vAlign w:val="bottom"/>
            <w:gridSpan w:val="2"/>
          </w:tcPr>
          <w:p>
            <w:pPr>
              <w:jc w:val="right"/>
              <w:ind w:right="132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(1.36)</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(0.84)</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0.69</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58"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The increase in revenue for the year ended September 30, 2021 compared to the year ended September 30, 2020 was driven by the timing of the recognition of the $300 million initial transaction price associated with our agreement with Takeda as we achieved progress toward completing our performance obligation. The increase in Net Losses during the year ended September 30, 2021 compared to year ended September 30, 2020 was driven by increases in research and development and general and administrative expenses as our pipeline of clinical candidates has continued to increase.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jc w:val="both"/>
        <w:ind w:firstLine="510"/>
        <w:spacing w:after="0" w:line="301" w:lineRule="auto"/>
        <w:rPr>
          <w:sz w:val="20"/>
          <w:szCs w:val="20"/>
          <w:color w:val="auto"/>
        </w:rPr>
      </w:pPr>
      <w:r>
        <w:rPr>
          <w:rFonts w:ascii="Arial" w:cs="Arial" w:eastAsia="Arial" w:hAnsi="Arial"/>
          <w:sz w:val="16"/>
          <w:szCs w:val="16"/>
          <w:color w:val="auto"/>
        </w:rPr>
        <w:t>Total revenue for the years ended September 30, 2021, 2020, and 2019 was $138.3 million, $88.0 million and $168.8 million, respectively. Revenue in the current period is primarily related to the recognition of $90.8 million of revenue associated with the Takeda License Agreement, recognition of $20.2 million related to the $252.7 million initial transaction price associated with our agreements with Janssen and JJDC, recognition of $6.7 million of revenue associated with the Horizon License Agreement and $20.0 million in option and milestone payments from Janssen for JNJ-75220795 (ARO-JNJ1).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September 28, 2016, the Company entered into two collaboration and license agreements and a common stock purchase agreement with Amgen. Under the Second Collaboration and License Agreement or Olpasiran Agreement, Amgen has received a worldwide, exclusive license to Arrowhead’s novel, RNAi Olpasiran (previously referred to as AMG 890 or ARO-LPA) program. These RNAi molecules are designed to reduce elevated lipoprotein(a), which is a genetically validated, independent risk factor for atherosclerotic cardiovascular disease. Under the other collaboration and license agreement (the “First Collaboration and License Agreement” or the “ARO-AMG1 Agreement”), Amgen received an option to a worldwide, exclusive license for ARO-AMG1, an RNAi therapy for an undisclosed genetically validated cardiovascular target. In both agreements, Amgen is wholly responsible for clinical development and commercialization. Under the terms of the agreements taken together, the Company has received $35.0 million in upfront payments, $21.5 million in the form of an equity investment by Amgen in the Company’s Common Stock, and $30.0 million in milestone payments, and may receive up to an additional $400.0 million in remaining development, regulatory and sales milestone payments. The Company is further eligible to receive up to low double-digit royalties for sales of products under the Olpasiran Agreement. In July 2019, Amgen informed the Company that it would not be exercising its option for an exclusive license for ARO-AMG1, and as such, there will be no further milestone or royalty payments under the ARO-AMG1 Agreement.</w:t>
      </w:r>
    </w:p>
    <w:p>
      <w:pPr>
        <w:spacing w:after="0" w:line="179"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 has evaluated these agreements in accordance with FASB Topics 808 – Collaboration Arrangements and 606 - Revenue for Contracts from Customers. The Company has substantially completed its performance obligations under the Olpasiran Agreement and the ARO-AMG1 Agreement. Future milestones and royalties achieved will be recognized in their entirety when earned. In July 2020, Amgen initiated a Phase 2 clinical study for Olpasiran, which resulted in a $20 million milestone payment to the Company. During the years ended September 30, 2021, 2020 and 2019, the Company recognized $0, $20.1 million and $0.3 million of Revenue associated with its agreements with Amgen, respectively. As of September 30, 2021, there were $0 in contract assets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recorded as accounts receivable and $0 contract liabilities recorded as current deferred revenue on the Company’s Consolidated Balance Sheets.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On October 3, 2018, the Company entered into the Janssen License Agreement and the Janssen Collaboration Agreement with Janssen, part of the Janssen Pharmaceutical Companies of Johnson &amp; Johnson. The Company also entered into a stock purchase agreement with JJDC (“JJDC Stock Purchase Agreement”). Under the Janssen License Agreement, Janssen has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which the Company is responsible for completing, Janssen is wholly responsible for clinical development and commercialization of JNJ-3989. Under the Janssen Collaboration Agreement, Janssen will be able to select three new targets against which Arrowhead will develop clinical candidates. These candidates are subject to certain restrictions and do not include candidates that already were in the Company’s pipeline. The Company will perform discovery, optimization and preclinical research and development, entirely funded by Janssen, which on its own or in combination with Janssen development work, is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$175.0 million as an upfront payment, $75.0 million in the form of an equity investment by JJDC in Arrowhead Common Stock under the JJDC Stock Purchase Agreement, and milestone and option payments totaling $70.0 million,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on product sales up to mid-teens under the Janssen License Agreement and up to low teens under the Janssen Collaboration Agreement.</w:t>
      </w:r>
    </w:p>
    <w:p>
      <w:pPr>
        <w:spacing w:after="0" w:line="176"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Company has evaluated these agreements in accordance with FASB Topics 808 – Collaboration Arrangements and 606 - Revenue for Contracts from Customers. At the inception of these agreements, the Company identified one distinct performance 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is accounted for separately.</w:t>
      </w:r>
    </w:p>
    <w:p>
      <w:pPr>
        <w:spacing w:after="0" w:line="165"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The Company determined the transaction price totaled approximately $252.7 million, which includes the upfront payment, the premium paid by JJDC for its equity investment in the Company, two $25.0 million milestone payments related to JNJ-3989 (ARO-HBV), and estimated payments for reimbursable Janssen R&amp;D Services to be performed. The Company has allocated the total $252.7 million initial transaction price to its one distinct performance obligation for the JNJ-3989 (ARO-HBV) license and the associated Janssen R&amp;D Services. The Company has recognized this transaction price in its entirety as of September 30, 2021 as the performance obligation had been substantially completed. Future milestones and royalties achieved will be recognized in their entirety when earned. During the years ended September 30, 2021, 2020 and 2019, the Company recognized approximately $20.2 million, $65.0 million, and $167.5 million of revenue associated with this performance obligation, respectively. As of September 30, 2021, there were $0.1 million in contract assets recorded as accounts receivable, and $0 of contract liabilities recorded as current deferred revenue on the Company’s Consolidated Balance Sheets.</w:t>
      </w:r>
    </w:p>
    <w:p>
      <w:pPr>
        <w:spacing w:after="0" w:line="19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Company has begun to conduct its discovery, optimization and preclinical research and development of JNJ-75220795 (ARO-JNJ1), ARO-JNJ2 and ARO-JNJ3 under the Janssen Collaboration Agreement. All costs and labor hours spent by the Company will be entirely funded by Janssen. During the years ended September 30, 2021, 2020 and 2019, the Company recognized $0.5 million, $2.9 million and $1.0 million of revenue associated with these efforts, respectively. In May 2021, Janssen exercised its option right for for JNJ-75220795 (ARO-JNJ1), which resulted in a $10.0 million milestone payment to the Company, and in September 2021, Janssen dosed its fifth patient in its phase 1 clinical trial for JNJ-75220795 (ARO-JNJ1), which resulted in a $10.0 million milestone payment to the Company. Each of these milestone payments was recognized entirely during the year ended September 30, 2021. As of September 30, 2021, there were $10.0 million of contract assets recorded as accounts receivable and $0 of contract liabilities recorded as current deferred revenue on the Company’s Consolidated Balance Sheets. The $10.0 million milestone payment for the dosing of the fifth patient in its Phase 1 clinical trial for JNJ-75220795 (ARO-JNJ1) was received in October 2021.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Takeda Pharmaceuticals U.S.A., Inc.</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On October 7, 2020, the Company entered into the Takeda License Agreement with Takeda. Under the Takeda License Agreement, Takeda and the Company will co-develop the Company’s ARO-AAT program, the Company’s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will receive an exclusive license to commercialize ARO-AAT, while the Company will be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95"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 Company has evaluated the Takeda License Agreement in accordance with FASB Topics 808 – Collaborative Arrangements and 606 - Revenue for Contracts from Customers. 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ARO-AAT drug product is completed and delivered to Takeda (the “Takeda R&amp;D Services”). Due to the specialized and unique nature of these Takeda R&amp;D Services and their direct relationship with the license, the Company determined that these deliverables represented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will be recorded as Research and Development Expenses or General and Administrative Expenses, as appropriate.</w:t>
      </w:r>
    </w:p>
    <w:p>
      <w:pPr>
        <w:spacing w:after="0" w:line="5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Company determined the initial transaction price totaled $300.0 million, including the upfront payment. The Company has excluded any future estimated milestones or royalties from this transaction price to date. The Company has allocated the total $300.0 million initial transaction price to its one distinct performance obligation for the ARO-AAT license and the associated Takeda R&amp;D Services. Revenue will be recognized using a proportional performance method (based on actual patient visits completed versus total estimated visits completed for the ongoing SEQUOIA and AROAAT2002 clinical studies). Revenue for the years ended September 30, 2021, 2020 and 2019 was $90.8 million, $0 and $0, respectively. As of September 30, 2021, there were $0 in contract assets recorded as accounts receivable, $84.4 million in contract liabilities recorded as deferred revenue, $124.8 million in contract liabilities recorded as deferred revenue, net of the current portion, and $3.1 million in contract liabilities recorded as accrued expenses. The $3.1 million in accrued expenses was primarily driven by co-development and co-commercialization activities.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Therapeutics Ireland DAC</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On June 18, 2021, the Company entered into the Horizon License Agreement with Horizon. Under the Horizon License Agreement, Horizon received a worldwide exclusive license for ARO-XDH, a previously undisclosed discovery-stage investigational RNAi therapeutic being developed by the Company as a potential treatment for people with uncontrolled gout. The Company will conduct all activities through the preclinical stages of development of ARO-XDH, and Horizon will be wholly responsible for clinical development and commercialization of ARO-XDH. In July 2021, the Company received $40 million as an upfront payment and is eligible to receive up to $660 million in potential development, regulatory and sales milestones. The Company is also eligible to receive royalties in the low- to mid-teens range on net product sales.</w:t>
      </w:r>
    </w:p>
    <w:p>
      <w:pPr>
        <w:spacing w:after="0" w:line="70"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Company has evaluated the Horizon License Agreement in accordance with FASB Topics 808 – Collaborative Arrangements and 606 - Revenue for Contracts from Customers. At the inception of the Horizon License Agreement, the Company identified one distinct performance obligation. The Company determined that the key deliverables included the license and certain R&amp;D services including the Company’s responsibilities to conduct all activities through the preclinical stages of development of ARO-XDH (the “Horizon R&amp;D Services”). Due to the specialized and unique nature of these Horizon R&amp;D Services and their direct relationship with the license, the Company determined that these deliverables represented one distinct bundle and, thus, one performance obligation. Beyond the Horizon R&amp;D Services, which are the responsibility of the Company, Horizon will be responsible for managing future clinical development and commercialization of ARO-XDH.</w:t>
      </w:r>
    </w:p>
    <w:p>
      <w:pPr>
        <w:spacing w:after="0" w:line="69"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Company determined the initial transaction price totaled $40.0 million, including the upfront payment. The Company has excluded any future estimated milestones or royalties from this transaction price to date. The Company will allocate the total $40.0 million initial transaction price to its one distinct performance obligation for the ARO-XDH license and the associated Horizon R&amp;D Services. Revenue will be recognized on a straight-line basis over the estimated timeframe for completing the Horizon R&amp;D Services. The Company determined that the straight-line basis was appropriate as its efforts will be expended evenly over the course of completing its performance obligation. Revenue for the years ended September 30, 2021, 2020 and 2019, was $6.7 million, $0 and $0, respectively. As of September 30, 2021, there were $0.1 million in contract assets recorded as accounts receivable, $26.7 million in contract liabilities recorded as deferred revenue and $6.7 million in contract liabilities recorded as deferred revenue, net of the current portion.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years ended September 30, 2021 and 2020 are shown in the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300"/>
        <w:spacing w:after="0" w:line="286" w:lineRule="auto"/>
        <w:rPr>
          <w:sz w:val="20"/>
          <w:szCs w:val="20"/>
          <w:color w:val="auto"/>
        </w:rPr>
      </w:pPr>
      <w:r>
        <w:rPr>
          <w:rFonts w:ascii="Arial" w:cs="Arial" w:eastAsia="Arial" w:hAnsi="Arial"/>
          <w:sz w:val="16"/>
          <w:szCs w:val="16"/>
          <w:color w:val="auto"/>
        </w:rPr>
        <w:t>R&amp;D expenses are related to the Company’s research and development discovery efforts and related candidate costs, which are comprised primarily of outsourced costs related to the manufacturing of clinical supplies, toxicity/efficacy studies and clinical trial expenses. Internal costs primarily relate to discovery operations at our research facilities in Madison, Wisconsin and San Diego, California, including facility costs and laboratory-related expenses. Salaries and stock compensation expense consist of salary, bonuses, payroll taxes and related benefits and stock compensation for our R&amp;D</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personnel. Depreciation and amortization expense relates to depreciation on lab equipment and leasehold improvements at our research facilities. We do not separately track R&amp;D expenses by individual research and development projects, or by individual drug candidates. The Company operates in a cross-functional manner across projects and does not separately allocate facilities-related costs, candidate costs, discovery costs, compensation expenses, depreciation and amortization expenses, and other expenses related to research and development activities. The following table provides details of research and development expenses for the periods indicated: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below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Twelve</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Twelve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Months</w:t>
            </w: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Months</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9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40,179</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26,300</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13,879</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Facilities related</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7,694</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4,136</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3,558</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Candidate costs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92,628</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60,638</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31,990</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R&amp;D discovery costs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32,734</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16,192</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16,542</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9"/>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Total research and development expense,</w:t>
            </w:r>
          </w:p>
        </w:tc>
        <w:tc>
          <w:tcPr>
            <w:tcW w:w="3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excluding non-cash expense</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173,235</w:t>
            </w:r>
          </w:p>
        </w:tc>
        <w:tc>
          <w:tcPr>
            <w:tcW w:w="2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107,266</w:t>
            </w: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65,969</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25,742</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16,277</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9,465</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Depreciation/amortization</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7,365</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5,332</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2,033</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w w:val="99"/>
              </w:rPr>
              <w:t>Total research and development expense</w:t>
            </w:r>
          </w:p>
        </w:tc>
        <w:tc>
          <w:tcPr>
            <w:tcW w:w="3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206,342</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128,875</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77,467</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Salaries expense increased by $13,879,000 from $26,300,000 during the year ended September 30, 2020 to $40,179,000 during the current period. This increase is primarily due to an increase in R&amp;D headcount that has occurred as the Company has expanded its pipeline of candidates. We anticipate this expense to continue to increase as we continue to expand our pipeline of candidates and increase headcount to support our discovery efforts to identify new drug candidates.</w:t>
      </w:r>
    </w:p>
    <w:p>
      <w:pPr>
        <w:spacing w:after="0" w:line="18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Facilities-related expense increased by $3,558,000 from $4,136,000 during the year ended September 30, 2020 to $7,694,000 during the current period. This category includes rental costs for our research and development facilities in Madison, Wisconsin and San Diego, California. This increase is primarily due to the commencement of our sublease in San Diego, California in April 2020, the expansion of our Madison facility and increased repairs and maintenance expense on equipment. We anticipate this expense to increase in the future due to our plans to continue to increase our manufacturing capabilities and discovery efforts.</w:t>
      </w:r>
    </w:p>
    <w:p>
      <w:pPr>
        <w:spacing w:after="0" w:line="188"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Candidate costs increased by $31,990,000 from $60,638,000 during the year ended September 30, 2020 to $92,628,000 during the current period. This increase is primarily due to the progression of our pipeline of candidates into and through clinical trials, which results in higher outsourced clinical trial, toxicity study and manufacturing costs. We anticipate these expenses to continue to increase as our pipeline of candidates grows and progresses to later phase clinical trials.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R&amp;D discovery costs increased by $16,542,000 from $16,192,000 during the year ended September 30, 2020 to $32,734,000 in the current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period. This increase is primarily due to the growth of our discovery efforts, including the addition of our research facility in San Diego. We anticipate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to continue to increase as we increase headcount to support our discovery efforts to identify new drug candidates.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1" w:name="page62"/>
    <w:bookmarkEnd w:id="61"/>
    <w:p>
      <w:pPr>
        <w:ind w:left="520"/>
        <w:spacing w:after="0"/>
        <w:rPr>
          <w:sz w:val="20"/>
          <w:szCs w:val="20"/>
          <w:color w:val="auto"/>
        </w:rPr>
      </w:pPr>
      <w:r>
        <w:rPr>
          <w:rFonts w:ascii="Arial" w:cs="Arial" w:eastAsia="Arial" w:hAnsi="Arial"/>
          <w:sz w:val="17"/>
          <w:szCs w:val="17"/>
          <w:color w:val="auto"/>
        </w:rPr>
        <w:t>Stock compensation expense, a non-cash expense, increased by $9,465,000 from $16,277,000 during the year ended September 30, 2020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$25,742,000 during the current period. Stock compensation expense is based upon the valuation of stock options and restricted stock units granted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directors and certain consultants. Many variables affect the amount expensed, including the Company’s stock price on the date of the grant,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well as other assumptions. The increase in the expense in the current period is primarily due to the increased headcount discussed above and a mix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higher grant date fair values of awards amortizing during the current period due to the Company’s stock price at the time of the grants. We generally expect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future stock compensation expense to increase as our headcount continues to increase to support our clinical pipeline.</w:t>
      </w:r>
    </w:p>
    <w:p>
      <w:pPr>
        <w:spacing w:after="0" w:line="21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Depreciation and amortization expense, a non-cash expense, increased by $2,033,000 from $5,332,000 during the year ended September 30, 2020 to $7,365,000 during the current period. The majority of depreciation and amortization expense relates to depreciation on lab equipment and leasehold improvements at our Madison and San Diego research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below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Twelve</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Twelve</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Months</w:t>
            </w: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Months</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9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13,681</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11,781</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Professional/outside services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10,148</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7,342</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2,806</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Facilities related</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Other G&amp;A</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2,976</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3,233</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general &amp; administrative expense,</w:t>
            </w:r>
          </w:p>
        </w:tc>
        <w:tc>
          <w:tcPr>
            <w:tcW w:w="3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excluding non-cash expense</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29,149</w:t>
            </w:r>
          </w:p>
        </w:tc>
        <w:tc>
          <w:tcPr>
            <w:tcW w:w="2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w:t>
            </w: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4,590</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8"/>
                <w:szCs w:val="18"/>
                <w:color w:val="auto"/>
              </w:rPr>
              <w:t>Stock compensation</w:t>
            </w: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50,931</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27,106</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23,825</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Depreciation/amortization</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8"/>
                <w:szCs w:val="18"/>
                <w:color w:val="auto"/>
              </w:rPr>
              <w:t>Total general &amp; administrative expense</w:t>
            </w:r>
          </w:p>
        </w:tc>
        <w:tc>
          <w:tcPr>
            <w:tcW w:w="3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80,981</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52,276</w:t>
            </w: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28,705</w:t>
            </w: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Salaries expense increased by $1,900,000 from $11,781,000 during the year ended September 30, 2020 to $13,681,000 during the current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is primarily driven by annual merit increases, performance bonuses and increased headcount needed to support our growing clinical pipeline.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this expense to continue to increase as our pipeline expands.</w:t>
      </w:r>
    </w:p>
    <w:p>
      <w:pPr>
        <w:spacing w:after="0" w:line="211"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Professional/outside services include legal, accounting, consulting, patent expenses, business insurance expenses and other outside services retained by the Company. Professional/outside services expense increased by $2,806,000 from $7,342,000 during the year ended September 30, 2020 to $10,148,000 during the current period. The increase is primarily related to an increase in consulting expenses in the current period.</w:t>
      </w:r>
    </w:p>
    <w:p>
      <w:pPr>
        <w:spacing w:after="0" w:line="165"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Facilities-related expense increased by $141,000 from $2,203,000 during the year ended September 30, 2020 to $2,344,000 during the current period. This category primarily includes rental costs for our corporate headquarters in Pasadena, California. The increase was due to the additional space leased for our corporate headquarters to accommodate the increase in headcount.</w:t>
      </w:r>
    </w:p>
    <w:p>
      <w:pPr>
        <w:spacing w:after="0" w:line="184"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Other G&amp;A expense decreased by $257,000 from $3,233,000 during the year ended September 30, 2020 to $2,976,000 during the current period. This category consists primarily of travel, communication and technology, office expenses, and franchise and property tax expenses. We anticipate this expense to increase in the future as our headcount increases in order to support our growing pipeline.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 compensation expense, a non-cash expense, increased by $23,825,000 from $27,106,000 during the year ended September 30, 2020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$50,931,000 during the current period. The increase is due to certain performance-based stock awards being deemed probable of being achieved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period. Stock compensation expense is based upon the valuation of stock options and restricted stock units granted to employees, directors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consultants. Many variables affect the amount expensed, including the Company’s stock price on the date of the grant, as well as other assumptions.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generally expect future stock compensation expense to increase as our headcount continues to increase to support our clinical pipeline.</w:t>
      </w:r>
    </w:p>
    <w:p>
      <w:pPr>
        <w:spacing w:after="0" w:line="211" w:lineRule="exact"/>
        <w:rPr>
          <w:sz w:val="20"/>
          <w:szCs w:val="20"/>
          <w:color w:val="auto"/>
        </w:rPr>
      </w:pPr>
    </w:p>
    <w:p>
      <w:pPr>
        <w:ind w:right="380" w:firstLine="510"/>
        <w:spacing w:after="0" w:line="342" w:lineRule="auto"/>
        <w:rPr>
          <w:sz w:val="20"/>
          <w:szCs w:val="20"/>
          <w:color w:val="auto"/>
        </w:rPr>
      </w:pPr>
      <w:r>
        <w:rPr>
          <w:rFonts w:ascii="Arial" w:cs="Arial" w:eastAsia="Arial" w:hAnsi="Arial"/>
          <w:sz w:val="16"/>
          <w:szCs w:val="16"/>
          <w:color w:val="auto"/>
        </w:rPr>
        <w:t>Depreciation and amortization expense, a noncash expense, increased by $290,000 from $611,000 during the year ended September 30, 2020 to $901,000 during the current period. The increase is primarily related to amortization of leasehold improvements for our corporate headquarters.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ind w:left="520"/>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Other income/expense was income of $8.6 million during the year ended September 30, 2020 compared to income of $8.2 million during the current period. Other income/expense primarily consists of interest income. The change in interest income between the year ended September 30, 2021 and 2020 is primarily due to the amounts invested in and the interest rates earned on our bond portfolio.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Arrowhead has historically financed its operations through the sale of its equity securities and revenue from its collaboration agreements. Research and development activities have required significant capital investment since the Company’s inception and are expected to continue to require significant cash expenditure in the future, particularly as the Company’s pipeline of drug candidates and its headcount have expanded significantly. Additionally, significant capital investment will be required as the Company’s pipeline matures into later stage clinical trials, as well as with the Company’s plans to increase its internal manufacturing capabilities and discovery efforts.</w:t>
      </w:r>
    </w:p>
    <w:p>
      <w:pPr>
        <w:spacing w:after="0" w:line="18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At September 30, 2021, the Company had cash on hand of approximately $184.4 million as compared to $143.6 million at September 30, 2020. Cash invested in short-term fixed income securities and marketable securities was $183.4 million at September 30, 2021, compared to $171.9 million at September 30, 2020. Cash invested in long-term fixed income securities was $245.6 million at September 30, 2021, compared to $137.5 million at September 30, 2020. The Company also entered into an Open Market Sale Agreement (the “ATM” agreement), pursuant to which the Company may, from time to time, sell up to $250,000,000 in shares of the Company’s common stock through Jefferies LLC. As of the year ended September 30, 2021, no shares have been issued under the ATM agreement. The Company believes its current financial resources are sufficient to fund its operations through at least the next twelve months.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years ended September 30, 2021, 2020, and 2019 as follows:</w:t>
      </w:r>
    </w:p>
    <w:p>
      <w:pPr>
        <w:spacing w:after="0" w:line="262"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Years ended September 30,</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6"/>
        </w:trPr>
        <w:tc>
          <w:tcPr>
            <w:tcW w:w="4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Cash Flow from:</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Operating Activities</w:t>
            </w: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171,224</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(95,391)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173,035</w:t>
            </w:r>
          </w:p>
        </w:tc>
        <w:tc>
          <w:tcPr>
            <w:tcW w:w="10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(141,678)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(240,778)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(47,746)</w:t>
            </w:r>
          </w:p>
        </w:tc>
      </w:tr>
      <w:tr>
        <w:trPr>
          <w:trHeight w:val="230"/>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4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257,948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66,382</w:t>
            </w:r>
          </w:p>
        </w:tc>
        <w:tc>
          <w:tcPr>
            <w:tcW w:w="100" w:type="dxa"/>
            <w:vAlign w:val="bottom"/>
            <w:tcBorders>
              <w:bottom w:val="single" w:sz="8" w:color="CFF0FC"/>
            </w:tcBorders>
          </w:tcPr>
          <w:p>
            <w:pPr>
              <w:spacing w:after="0"/>
              <w:rPr>
                <w:sz w:val="19"/>
                <w:szCs w:val="19"/>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w w:val="98"/>
              </w:rPr>
              <w:t>Net Increase (decrease) in cash and cash equivalents</w:t>
            </w: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191,671</w:t>
            </w:r>
          </w:p>
        </w:tc>
        <w:tc>
          <w:tcPr>
            <w:tcW w:w="100" w:type="dxa"/>
            <w:vAlign w:val="bottom"/>
            <w:shd w:val="clear" w:color="auto" w:fill="CFF0FC"/>
          </w:tcPr>
          <w:p>
            <w:pPr>
              <w:spacing w:after="0"/>
              <w:rPr>
                <w:sz w:val="19"/>
                <w:szCs w:val="19"/>
                <w:color w:val="auto"/>
              </w:rPr>
            </w:pPr>
          </w:p>
        </w:tc>
      </w:tr>
      <w:tr>
        <w:trPr>
          <w:trHeight w:val="230"/>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4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143,583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221,804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30,133</w:t>
            </w:r>
          </w:p>
        </w:tc>
        <w:tc>
          <w:tcPr>
            <w:tcW w:w="100" w:type="dxa"/>
            <w:vAlign w:val="bottom"/>
            <w:tcBorders>
              <w:bottom w:val="single" w:sz="8" w:color="CFF0FC"/>
            </w:tcBorders>
          </w:tcPr>
          <w:p>
            <w:pPr>
              <w:spacing w:after="0"/>
              <w:rPr>
                <w:sz w:val="19"/>
                <w:szCs w:val="19"/>
                <w:color w:val="auto"/>
              </w:rPr>
            </w:pPr>
          </w:p>
        </w:tc>
      </w:tr>
      <w:tr>
        <w:trPr>
          <w:trHeight w:val="223"/>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4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184,434</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143,583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221,804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During the year ended September 30, 2021, the Company generated $171.2 million in cash from operating activities, which was primarily related to the Takeda license agreement’s $300 million upfront payment, partially offset by the ongoing expenses of the Company’s research and development programs and general and administrative expenses. Cash used in investing activities was $141.7 million, which was primarily related to the purchase of investments of $240.7 million and purchase of property and equipment of $23.6 million, partially offset by maturities of fixed-income securities of $122.6 million. Cash provided by financing activities of $11.3 million was due to cash received from stock option exercises.</w:t>
      </w:r>
    </w:p>
    <w:p>
      <w:pPr>
        <w:spacing w:after="0" w:line="176"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During the year ended September 30, 2020, the Company used $95.4 million in cash from operating activities, which was primarily related to the ongoing expenses of the Company’s research and development programs and general and administrative expenses. Cash used in investing activities was $240.8 million, which was primarily related to the purchase of investments of $279.0 million and purchase of property and equipment of $12.0 million, partially offset by maturities of fixed-income securities of $50.1 million. Cash provided by financing activities of $257.9 million was driven by the securities financing in December 2019, which generated $250.5 million in net cash proceeds, as well as $7.5 million in cash received from stock option exercises.</w:t>
      </w:r>
    </w:p>
    <w:p>
      <w:pPr>
        <w:spacing w:after="0" w:line="192" w:lineRule="exact"/>
        <w:rPr>
          <w:sz w:val="20"/>
          <w:szCs w:val="20"/>
          <w:color w:val="auto"/>
        </w:rPr>
      </w:pPr>
    </w:p>
    <w:p>
      <w:pPr>
        <w:ind w:right="60" w:firstLine="510"/>
        <w:spacing w:after="0" w:line="285" w:lineRule="auto"/>
        <w:rPr>
          <w:sz w:val="20"/>
          <w:szCs w:val="20"/>
          <w:color w:val="auto"/>
        </w:rPr>
      </w:pPr>
      <w:r>
        <w:rPr>
          <w:rFonts w:ascii="Arial" w:cs="Arial" w:eastAsia="Arial" w:hAnsi="Arial"/>
          <w:sz w:val="16"/>
          <w:szCs w:val="16"/>
          <w:color w:val="auto"/>
        </w:rPr>
        <w:t>During the year ended September 30, 2019, the Company generated $173.0 million in cash from operating activities, which was primarily related to the $175.0 million upfront payment and the two $25.0 million milestone payments received from Janssen, and the premium JJDC paid on the Company’s common stock during the period. These inflows were partially offset by approximately $66.5 million of cash used for the ongoing expenses of the Company’s research and development programs and general and administrative expenses. Cash used in investing activities was $47.7 million, which was primarily related to purchases of fixed-income investments of $90.3 million partially offset by maturities of fixed-income investments of $54.5</w:t>
      </w:r>
    </w:p>
    <w:p>
      <w:pPr>
        <w:spacing w:after="0" w:line="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million. Cash provided by financing activities of $66.4 million was driven by the equity investment the Company received from JJDC during the period.</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291"/>
        <w:spacing w:after="0" w:line="257" w:lineRule="auto"/>
        <w:rPr>
          <w:sz w:val="20"/>
          <w:szCs w:val="20"/>
          <w:color w:val="auto"/>
        </w:rPr>
      </w:pPr>
      <w:r>
        <w:rPr>
          <w:rFonts w:ascii="Arial" w:cs="Arial" w:eastAsia="Arial" w:hAnsi="Arial"/>
          <w:sz w:val="18"/>
          <w:szCs w:val="18"/>
          <w:color w:val="auto"/>
        </w:rPr>
        <w:t xml:space="preserve">For information related to our future commitments for our facility related obligaitons, see Notes 8 and 14 of Notes to Consolidated Financial Statements of Part IV, Item 15. </w:t>
      </w:r>
      <w:r>
        <w:rPr>
          <w:rFonts w:ascii="Arial" w:cs="Arial" w:eastAsia="Arial" w:hAnsi="Arial"/>
          <w:sz w:val="18"/>
          <w:szCs w:val="18"/>
          <w:i w:val="1"/>
          <w:iCs w:val="1"/>
          <w:color w:val="auto"/>
        </w:rPr>
        <w:t>Exhibits and Financial Statement Schedules</w:t>
      </w:r>
      <w:r>
        <w:rPr>
          <w:rFonts w:ascii="Arial" w:cs="Arial" w:eastAsia="Arial" w:hAnsi="Arial"/>
          <w:sz w:val="18"/>
          <w:szCs w:val="18"/>
          <w:color w:val="auto"/>
        </w:rPr>
        <w:t xml:space="preserve">. For information related to our future commitments relating to our collaboration and licensing agreements, see Notes 2 and 8 of Notes to Consolidated Financial Statements of Part IV, Item 15. </w:t>
      </w:r>
      <w:r>
        <w:rPr>
          <w:rFonts w:ascii="Arial" w:cs="Arial" w:eastAsia="Arial" w:hAnsi="Arial"/>
          <w:sz w:val="18"/>
          <w:szCs w:val="18"/>
          <w:i w:val="1"/>
          <w:iCs w:val="1"/>
          <w:color w:val="auto"/>
        </w:rPr>
        <w:t>Exhibits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Schedules</w:t>
      </w:r>
      <w:r>
        <w:rPr>
          <w:rFonts w:ascii="Arial" w:cs="Arial" w:eastAsia="Arial" w:hAnsi="Arial"/>
          <w:sz w:val="18"/>
          <w:szCs w:val="18"/>
          <w:color w:val="auto"/>
        </w:rPr>
        <w:t>. Commitments related to our clinical, manufacturing and business operation related agreements are $214.9 million as of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2021, however these agreements are cancelable.</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We are exposed to market risk related to changes in interest rates, which could adversely affect the value of our interest rate-sensitive assets and liabilities. We do not hold any instruments for trading purposes and investment criteria are governed by the Company’s Investment Policy. As of September 30, 2021 and 2020, we had cash and cash equivalents of $184.4 million and $143.6 million, respectively, and short-term and long-term investments and marketable securities of $428.9 million and $309.4 million, respectively. At times, we have invested our cash reserves in corporate bonds typically with maturities of less than 3 years, and we have historically classified these investments as held-to-maturity. We have also invested in mutual funds that invest in marketable debt securities such as U.S. government bonds, U.S. government agency bonds, corporate bonds, and other asset backed debt securities. Due to the relatively short-term nature of the investments that we hold, we do not believe that the results of operations or cash flows would be affected to any significant degree by a sudden change in market interest rates relative to our investment portfolio.</w:t>
      </w:r>
    </w:p>
    <w:p>
      <w:pPr>
        <w:spacing w:after="0" w:line="28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included in Item 15 of this Annual Report on Form 10-K.</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Securities Exchange Act of 1934 (the “Exchange Act”) Rules 13a-15(e) and 15d-15(e)) as of the end of the period covered by this Annual Report on Form 10-K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(“GAAP”).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78"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internal control over financial reporting to future periods are subject to risk that the internal control may become inadequate because of changes in conditions, or that the degree of compliance with policies or procedures may deteriorate.</w:t>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Management’s Assessment of the Effectiveness of our Internal Control over Financial Reporting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4" w:name="page65"/>
    <w:bookmarkEnd w:id="64"/>
    <w:p>
      <w:pPr>
        <w:ind w:right="60" w:firstLine="510"/>
        <w:spacing w:after="0" w:line="272"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the criteria set forth in Internal Control – Integrated Framework issued by the Committee of Sponsoring Organizations of the Treadway Commission (COSO). Based on the Company’s assessment, management has concluded that its internal control over financial reporting was effective as of September 30, 2021 to provide reasonable assurance regarding the reliability of financial reporting and the preparation of financial statements in accordance with GAAP. The Company’s independent registered public accounting firm, Rose, Snyder and Jacobs LLP, has issued an audit report on the Company’s internal control over financial reporting, which appears in Item 15 of this Form 10-K.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the year ended September 30, 2021 that has materially affected, or is reasonably likely to materially affect, our internal control over financial reporting.</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with Glaxosmithkline Intellectual Property (No. 3) Limited</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November 22, 2021, the Company entered into an Exclusive License Agreement (the “GSK License Agreement”) with Glaxosmithkline Intellectual Property (No. 3) Limited (“GSK”). Under the GSK License Agreement, GSK has received an exclusive license for ARO-HSD, the Company’s investigational RNAi therapeutic being developed as a treatment for patients with alcohol-related and nonalcohol related liver diseases, such as nonalcoholic steatohepatitis (NASH). The exclusive license is worldwide with the exception of greater China, for which the Company will retain rights to develop and commercialize. Beyond the Company’s Phase 1/2 study of (ARO-HSD), which the Company is responsible for completing, GSK is wholly responsible for clinical development and commercialization of ARO-HSD in its territory. Under the terms of the agreement, Arrowhead will receive an upfront payment of $120 million and is eligible for additional payments of $30 million at the start of Phase 2 and $100 million upon achieving a successful Phase 2 trial readout and the first patient dosed in a Phase 3 trial. Furthermore, should the Phase 3 trial read out positively, and the potential new medicine receives regulatory approval in major markets, the deal provides for commercial milestone payments to Arrowhead of up to $190 million at first commercial sale, and up to $590 million in sales-related milestone payments. Arrowhead is further eligible to receive tiered royalties on net product sales in a range of mid-teens to twenty percent. The transactions contemplated under the GSK Agreement are subject to customary closing conditions, including clearance by the relevant competition authorities.</w:t>
      </w:r>
    </w:p>
    <w:p>
      <w:pPr>
        <w:spacing w:after="0" w:line="71"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The description of the Agreement contained herein does not purport to be complete and is qualified in its entirety by reference to the complete text of the Agreement which will be filed as an exhibit to the Company’s Quarterly Report on Form 10-Q for the quarter ending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Diego Lease Agreement with ARE-SD Region No. 72 LLC</w:t>
      </w:r>
    </w:p>
    <w:p>
      <w:pPr>
        <w:spacing w:after="0" w:line="225" w:lineRule="exact"/>
        <w:rPr>
          <w:sz w:val="20"/>
          <w:szCs w:val="20"/>
          <w:color w:val="auto"/>
        </w:rPr>
      </w:pPr>
    </w:p>
    <w:p>
      <w:pPr>
        <w:ind w:right="120" w:firstLine="340"/>
        <w:spacing w:after="0" w:line="257" w:lineRule="auto"/>
        <w:rPr>
          <w:sz w:val="20"/>
          <w:szCs w:val="20"/>
          <w:color w:val="auto"/>
        </w:rPr>
      </w:pPr>
      <w:r>
        <w:rPr>
          <w:rFonts w:ascii="Arial" w:cs="Arial" w:eastAsia="Arial" w:hAnsi="Arial"/>
          <w:sz w:val="18"/>
          <w:szCs w:val="18"/>
          <w:color w:val="auto"/>
        </w:rPr>
        <w:t>On November 19, 2021, the Company entered into a new lease for a San Diego, California research facility. The 15-year lease is for approximately 144,000 square feet of office and research and development laboratory space to be constructed in San Diego, California. This lease will replace the Company’s current research facility sublease for property located in San Diego, California. The increased capacity of this new facility compared to the Company’s current research facility in San Diego will accommodate increased personnel for the Company’s expanding pipeline of current and future drug candidates.</w:t>
      </w:r>
    </w:p>
    <w:p>
      <w:pPr>
        <w:spacing w:after="0" w:line="188" w:lineRule="exact"/>
        <w:rPr>
          <w:sz w:val="20"/>
          <w:szCs w:val="20"/>
          <w:color w:val="auto"/>
        </w:rPr>
      </w:pPr>
    </w:p>
    <w:p>
      <w:pPr>
        <w:ind w:right="40" w:firstLine="340"/>
        <w:spacing w:after="0" w:line="255" w:lineRule="auto"/>
        <w:rPr>
          <w:sz w:val="20"/>
          <w:szCs w:val="20"/>
          <w:color w:val="auto"/>
        </w:rPr>
      </w:pPr>
      <w:r>
        <w:rPr>
          <w:rFonts w:ascii="Arial" w:cs="Arial" w:eastAsia="Arial" w:hAnsi="Arial"/>
          <w:sz w:val="18"/>
          <w:szCs w:val="18"/>
          <w:color w:val="auto"/>
        </w:rPr>
        <w:t>The estimated rent commencement date for the lease is in May 2023 after construction and leasehold improvements have been completed. The lease payments, which begin on the rent commencement date, will be approximately $119.0 million over the initial 15-year term. The Company also estimates payments for operating expenses to be approximately $3.0 million for the first year of the lease, and these payments will continue throughout the initial 15-year term. The Company expects to pay approximately $31.0 million for leasehold improvements, net of tenant improvement allowances. Pursuant to the lease, within twelve months of the expiration of the initial 15-year term, the Company has the option to extend the lease for up to one additional ten-year term, with certain annual increases in base rent.</w:t>
      </w:r>
    </w:p>
    <w:p>
      <w:pPr>
        <w:spacing w:after="0" w:line="84"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The description of the Agreement contained herein does not purport to be complete and is qualified in its entirety by reference to the complete text of the Agreement which will be filed as an exhibit to the Company’s Quarterly Report on Form 10-Q for the quarter ending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spacing w:after="0"/>
        <w:tabs>
          <w:tab w:leader="none" w:pos="11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under the headings Proposal One — Election of Directors, Equity Compensation Plan Information, and, if applicable, Delinquent Section 16(a) Reports, to be filed for our 2022 Annual Meeting of Stockholders, which proxy statement will be filed no later than January 28, 2022.</w:t>
      </w:r>
    </w:p>
    <w:p>
      <w:pPr>
        <w:spacing w:after="0" w:line="18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We have adopted a Code of Ethics, as part of our Code of Corporate Conduct, that applies to all of our directors, officers and employees, including our principal executive, principal financial and principal accounting officers, or persons performing similar functions. Our Code of Ethics is posted on our website located at https://arrowheadpharma.com/code-corporate-conduct/. We intend to disclose future amendments to certain provisions of the Code of Ethics, and waivers of the Code of Ethics granted to executive officers and directors, on the website within four business days following the date of the amendment or waiver.</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The information called for by this Item will be incorporated by reference from our Definitive Proxy Statement, under the heading Executive Compensation, to be filed for our 2022 Annual Meeting of Stockholders, which proxy statement will be filed no later than January 28, 2022.</w:t>
      </w:r>
    </w:p>
    <w:p>
      <w:pPr>
        <w:spacing w:after="0" w:line="228" w:lineRule="exact"/>
        <w:rPr>
          <w:sz w:val="20"/>
          <w:szCs w:val="20"/>
          <w:color w:val="auto"/>
        </w:rPr>
      </w:pPr>
    </w:p>
    <w:p>
      <w:pPr>
        <w:ind w:left="1160" w:right="120" w:hanging="1146"/>
        <w:spacing w:after="0" w:line="282"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under the heading Voting Securities of Principal Stockholders and Management, to be filed for our 2022 Annual Meeting of Stockholders, which proxy statement will be filed no later than January 28, 2022.</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2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under the headings Review and Approval of Related-Party Transactions and Certain Relationships and Related Transactions, and Director Independence, to be filed for our 2022 Annual Meeting of Stockholders, which proxy statement will be filed no later than January 28, 2022.</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under the heading Audit Fees, to be filed for our 2022 Annual Meeting of Stockholders, which proxy statement will be filed no later than January 28, 2022.</w:t>
      </w:r>
    </w:p>
    <w:p>
      <w:pPr>
        <w:spacing w:after="0" w:line="27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113"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21"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See Index to Financial Statements and Schedule on page F-1.</w:t>
      </w:r>
    </w:p>
    <w:p>
      <w:pPr>
        <w:spacing w:after="0" w:line="113" w:lineRule="exact"/>
        <w:rPr>
          <w:rFonts w:ascii="Arial" w:cs="Arial" w:eastAsia="Arial" w:hAnsi="Arial"/>
          <w:sz w:val="18"/>
          <w:szCs w:val="18"/>
          <w:b w:val="1"/>
          <w:bCs w:val="1"/>
          <w:color w:val="auto"/>
        </w:rPr>
      </w:pPr>
    </w:p>
    <w:p>
      <w:pPr>
        <w:ind w:left="1000" w:hanging="493"/>
        <w:spacing w:after="0"/>
        <w:tabs>
          <w:tab w:leader="none" w:pos="10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ind w:left="520" w:firstLine="487"/>
        <w:spacing w:after="0" w:line="263" w:lineRule="auto"/>
        <w:rPr>
          <w:sz w:val="20"/>
          <w:szCs w:val="20"/>
          <w:color w:val="auto"/>
        </w:rPr>
      </w:pPr>
      <w:r>
        <w:rPr>
          <w:rFonts w:ascii="Arial" w:cs="Arial" w:eastAsia="Arial" w:hAnsi="Arial"/>
          <w:sz w:val="18"/>
          <w:szCs w:val="18"/>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66" w:name="page67"/>
    <w:bookmarkEnd w:id="66"/>
    <w:p>
      <w:pPr>
        <w:ind w:left="1000" w:hanging="493"/>
        <w:spacing w:after="0"/>
        <w:tabs>
          <w:tab w:leader="none" w:pos="10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The following exhibits are filed (or incorporated by reference herein) as part of this Annual Report on Form 10-K:</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Incorporated by Reference Herein</w:t>
            </w:r>
          </w:p>
        </w:tc>
      </w:tr>
      <w:tr>
        <w:trPr>
          <w:trHeight w:val="142"/>
        </w:trPr>
        <w:tc>
          <w:tcPr>
            <w:tcW w:w="10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6080" w:type="dxa"/>
            <w:vAlign w:val="bottom"/>
            <w:tcBorders>
              <w:bottom w:val="single" w:sz="8" w:color="auto"/>
            </w:tcBorders>
            <w:gridSpan w:val="17"/>
          </w:tcPr>
          <w:p>
            <w:pPr>
              <w:spacing w:after="0" w:line="142" w:lineRule="exact"/>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2480" w:type="dxa"/>
            <w:vAlign w:val="bottom"/>
            <w:tcBorders>
              <w:bottom w:val="single" w:sz="8" w:color="auto"/>
            </w:tcBorders>
          </w:tcPr>
          <w:p>
            <w:pPr>
              <w:ind w:left="1060"/>
              <w:spacing w:after="0" w:line="142" w:lineRule="exact"/>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2"/>
                <w:szCs w:val="12"/>
                <w:color w:val="auto"/>
              </w:rPr>
            </w:pPr>
          </w:p>
        </w:tc>
        <w:tc>
          <w:tcPr>
            <w:tcW w:w="1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Date</w:t>
            </w: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400" w:type="dxa"/>
            <w:vAlign w:val="bottom"/>
            <w:tcBorders>
              <w:bottom w:val="single" w:sz="8" w:color="0000EE"/>
            </w:tcBorders>
            <w:gridSpan w:val="11"/>
          </w:tcPr>
          <w:p>
            <w:pPr>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Open Market Sale Agreement, dated as of August 5, 2020, by and between</w:t>
              </w:r>
            </w:hyperlink>
          </w:p>
        </w:tc>
        <w:tc>
          <w:tcPr>
            <w:tcW w:w="780" w:type="dxa"/>
            <w:vAlign w:val="bottom"/>
            <w:gridSpan w:val="7"/>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6"/>
              </w:rPr>
              <w:t>Quarterly Report on Form 10-Q,</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August 5, 2020</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80" w:type="dxa"/>
            <w:vAlign w:val="bottom"/>
            <w:gridSpan w:val="18"/>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Arrowhead Pharmaceuticals, Inc. and Jefferies LLC</w:t>
              </w:r>
            </w:hyperlink>
          </w:p>
        </w:tc>
        <w:tc>
          <w:tcPr>
            <w:tcW w:w="2480" w:type="dxa"/>
            <w:vAlign w:val="bottom"/>
          </w:tcPr>
          <w:p>
            <w:pPr>
              <w:spacing w:after="0" w:line="196" w:lineRule="exact"/>
              <w:rPr>
                <w:sz w:val="20"/>
                <w:szCs w:val="20"/>
                <w:color w:val="auto"/>
              </w:rPr>
            </w:pPr>
            <w:r>
              <w:rPr>
                <w:rFonts w:ascii="Arial" w:cs="Arial" w:eastAsia="Arial" w:hAnsi="Arial"/>
                <w:sz w:val="18"/>
                <w:szCs w:val="18"/>
                <w:color w:val="auto"/>
              </w:rPr>
              <w:t>as Exhibit 1.1</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14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2.1†</w:t>
            </w:r>
          </w:p>
        </w:tc>
        <w:tc>
          <w:tcPr>
            <w:tcW w:w="5820" w:type="dxa"/>
            <w:vAlign w:val="bottom"/>
            <w:tcBorders>
              <w:bottom w:val="single" w:sz="8" w:color="0000EE"/>
            </w:tcBorders>
            <w:gridSpan w:val="13"/>
          </w:tcPr>
          <w:p>
            <w:pPr>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Stock and Asset Purchase Agreement between Arrowhead Research Corporation</w:t>
              </w:r>
            </w:hyperlink>
          </w:p>
        </w:tc>
        <w:tc>
          <w:tcPr>
            <w:tcW w:w="360" w:type="dxa"/>
            <w:vAlign w:val="bottom"/>
            <w:gridSpan w:val="5"/>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6"/>
              </w:rPr>
              <w:t>Annual Report on Form 10-K as</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December 20,</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87">
              <w:r>
                <w:rPr>
                  <w:rFonts w:ascii="Arial" w:cs="Arial" w:eastAsia="Arial" w:hAnsi="Arial"/>
                  <w:sz w:val="18"/>
                  <w:szCs w:val="18"/>
                  <w:color w:val="0000EE"/>
                  <w:w w:val="88"/>
                </w:rPr>
                <w:t>and Roche entities, dated October 21, 2011†</w:t>
              </w:r>
            </w:hyperlink>
          </w:p>
        </w:tc>
        <w:tc>
          <w:tcPr>
            <w:tcW w:w="2980" w:type="dxa"/>
            <w:vAlign w:val="bottom"/>
            <w:gridSpan w:val="12"/>
          </w:tcPr>
          <w:p>
            <w:pPr>
              <w:spacing w:after="0"/>
              <w:rPr>
                <w:sz w:val="17"/>
                <w:szCs w:val="17"/>
                <w:color w:val="auto"/>
              </w:rPr>
            </w:pPr>
          </w:p>
        </w:tc>
        <w:tc>
          <w:tcPr>
            <w:tcW w:w="2480" w:type="dxa"/>
            <w:vAlign w:val="bottom"/>
          </w:tcPr>
          <w:p>
            <w:pPr>
              <w:spacing w:after="0" w:line="196" w:lineRule="exact"/>
              <w:rPr>
                <w:sz w:val="20"/>
                <w:szCs w:val="20"/>
                <w:color w:val="auto"/>
              </w:rPr>
            </w:pPr>
            <w:r>
              <w:rPr>
                <w:rFonts w:ascii="Arial" w:cs="Arial" w:eastAsia="Arial" w:hAnsi="Arial"/>
                <w:sz w:val="18"/>
                <w:szCs w:val="18"/>
                <w:color w:val="auto"/>
              </w:rPr>
              <w:t>Exhibit 2.1</w:t>
            </w:r>
          </w:p>
        </w:tc>
        <w:tc>
          <w:tcPr>
            <w:tcW w:w="1440" w:type="dxa"/>
            <w:vAlign w:val="bottom"/>
            <w:gridSpan w:val="2"/>
          </w:tcPr>
          <w:p>
            <w:pPr>
              <w:jc w:val="center"/>
              <w:ind w:left="10"/>
              <w:spacing w:after="0" w:line="196" w:lineRule="exact"/>
              <w:rPr>
                <w:sz w:val="20"/>
                <w:szCs w:val="20"/>
                <w:color w:val="auto"/>
              </w:rPr>
            </w:pPr>
            <w:r>
              <w:rPr>
                <w:rFonts w:ascii="Arial" w:cs="Arial" w:eastAsia="Arial" w:hAnsi="Arial"/>
                <w:sz w:val="18"/>
                <w:szCs w:val="18"/>
                <w:color w:val="auto"/>
                <w:w w:val="84"/>
              </w:rPr>
              <w:t>2011</w:t>
            </w: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2.2†</w:t>
            </w:r>
          </w:p>
        </w:tc>
        <w:tc>
          <w:tcPr>
            <w:tcW w:w="6180" w:type="dxa"/>
            <w:vAlign w:val="bottom"/>
            <w:gridSpan w:val="18"/>
          </w:tcPr>
          <w:p>
            <w:pPr>
              <w:spacing w:after="0"/>
              <w:rPr>
                <w:rFonts w:ascii="Arial" w:cs="Arial" w:eastAsia="Arial" w:hAnsi="Arial"/>
                <w:sz w:val="18"/>
                <w:szCs w:val="18"/>
                <w:color w:val="0000EE"/>
                <w:w w:val="94"/>
              </w:rPr>
            </w:pPr>
            <w:hyperlink r:id="rId88">
              <w:r>
                <w:rPr>
                  <w:rFonts w:ascii="Arial" w:cs="Arial" w:eastAsia="Arial" w:hAnsi="Arial"/>
                  <w:sz w:val="18"/>
                  <w:szCs w:val="18"/>
                  <w:color w:val="0000EE"/>
                  <w:w w:val="94"/>
                </w:rPr>
                <w:t>Asset Purchase and Exclusive License Agreement between Arrowhead Research</w:t>
              </w:r>
            </w:hyperlink>
          </w:p>
        </w:tc>
        <w:tc>
          <w:tcPr>
            <w:tcW w:w="2480" w:type="dxa"/>
            <w:vAlign w:val="bottom"/>
          </w:tcPr>
          <w:p>
            <w:pPr>
              <w:spacing w:after="0"/>
              <w:rPr>
                <w:sz w:val="20"/>
                <w:szCs w:val="20"/>
                <w:color w:val="auto"/>
              </w:rPr>
            </w:pPr>
            <w:r>
              <w:rPr>
                <w:rFonts w:ascii="Arial" w:cs="Arial" w:eastAsia="Arial" w:hAnsi="Arial"/>
                <w:sz w:val="18"/>
                <w:szCs w:val="18"/>
                <w:color w:val="auto"/>
                <w:w w:val="96"/>
              </w:rPr>
              <w:t>Quarterly Report on Form 10-Q,</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May 11, 2015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Corporation and Novartis Institutes for BioMedical Research, Inc., dated March 3,</w:t>
              </w:r>
            </w:hyperlink>
          </w:p>
        </w:tc>
        <w:tc>
          <w:tcPr>
            <w:tcW w:w="220" w:type="dxa"/>
            <w:vAlign w:val="bottom"/>
            <w:gridSpan w:val="2"/>
          </w:tcPr>
          <w:p>
            <w:pPr>
              <w:spacing w:after="0"/>
              <w:rPr>
                <w:sz w:val="17"/>
                <w:szCs w:val="17"/>
                <w:color w:val="auto"/>
              </w:rPr>
            </w:pPr>
          </w:p>
        </w:tc>
        <w:tc>
          <w:tcPr>
            <w:tcW w:w="2480" w:type="dxa"/>
            <w:vAlign w:val="bottom"/>
          </w:tcPr>
          <w:p>
            <w:pPr>
              <w:spacing w:after="0" w:line="196" w:lineRule="exact"/>
              <w:rPr>
                <w:sz w:val="20"/>
                <w:szCs w:val="20"/>
                <w:color w:val="auto"/>
              </w:rPr>
            </w:pPr>
            <w:r>
              <w:rPr>
                <w:rFonts w:ascii="Arial" w:cs="Arial" w:eastAsia="Arial" w:hAnsi="Arial"/>
                <w:sz w:val="18"/>
                <w:szCs w:val="18"/>
                <w:color w:val="auto"/>
              </w:rPr>
              <w:t>as Exhibit 2.1</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88">
              <w:r>
                <w:rPr>
                  <w:rFonts w:ascii="Arial" w:cs="Arial" w:eastAsia="Arial" w:hAnsi="Arial"/>
                  <w:sz w:val="18"/>
                  <w:szCs w:val="18"/>
                  <w:color w:val="0000EE"/>
                  <w:w w:val="87"/>
                </w:rPr>
                <w:t>2015†</w:t>
              </w:r>
            </w:hyperlink>
          </w:p>
        </w:tc>
        <w:tc>
          <w:tcPr>
            <w:tcW w:w="5720" w:type="dxa"/>
            <w:vAlign w:val="bottom"/>
            <w:gridSpan w:val="17"/>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6180" w:type="dxa"/>
            <w:vAlign w:val="bottom"/>
            <w:gridSpan w:val="18"/>
          </w:tcPr>
          <w:p>
            <w:pPr>
              <w:spacing w:after="0"/>
              <w:rPr>
                <w:rFonts w:ascii="Arial" w:cs="Arial" w:eastAsia="Arial" w:hAnsi="Arial"/>
                <w:sz w:val="18"/>
                <w:szCs w:val="18"/>
                <w:color w:val="0000EE"/>
              </w:rPr>
            </w:pPr>
            <w:hyperlink r:id="rId89">
              <w:r>
                <w:rPr>
                  <w:rFonts w:ascii="Arial" w:cs="Arial" w:eastAsia="Arial" w:hAnsi="Arial"/>
                  <w:sz w:val="18"/>
                  <w:szCs w:val="18"/>
                  <w:color w:val="0000EE"/>
                </w:rPr>
                <w:t>Amended and Restated Certificate of Incorporation</w:t>
              </w:r>
            </w:hyperlink>
          </w:p>
        </w:tc>
        <w:tc>
          <w:tcPr>
            <w:tcW w:w="2480" w:type="dxa"/>
            <w:vAlign w:val="bottom"/>
          </w:tcPr>
          <w:p>
            <w:pPr>
              <w:spacing w:after="0"/>
              <w:rPr>
                <w:sz w:val="20"/>
                <w:szCs w:val="20"/>
                <w:color w:val="auto"/>
              </w:rPr>
            </w:pPr>
            <w:r>
              <w:rPr>
                <w:rFonts w:ascii="Arial" w:cs="Arial" w:eastAsia="Arial" w:hAnsi="Arial"/>
                <w:sz w:val="18"/>
                <w:szCs w:val="18"/>
                <w:color w:val="auto"/>
                <w:w w:val="99"/>
              </w:rPr>
              <w:t>Current Report on Form 8-K as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April 6, 2016</w:t>
            </w:r>
          </w:p>
        </w:tc>
      </w:tr>
      <w:tr>
        <w:trPr>
          <w:trHeight w:val="237"/>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Exhibit 3.3</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6180" w:type="dxa"/>
            <w:vAlign w:val="bottom"/>
            <w:gridSpan w:val="18"/>
          </w:tcPr>
          <w:p>
            <w:pPr>
              <w:spacing w:after="0"/>
              <w:rPr>
                <w:rFonts w:ascii="Arial" w:cs="Arial" w:eastAsia="Arial" w:hAnsi="Arial"/>
                <w:sz w:val="18"/>
                <w:szCs w:val="18"/>
                <w:color w:val="0000EE"/>
              </w:rPr>
            </w:pPr>
            <w:hyperlink r:id="rId90">
              <w:r>
                <w:rPr>
                  <w:rFonts w:ascii="Arial" w:cs="Arial" w:eastAsia="Arial" w:hAnsi="Arial"/>
                  <w:sz w:val="18"/>
                  <w:szCs w:val="18"/>
                  <w:color w:val="0000EE"/>
                </w:rPr>
                <w:t>Amended and Restated Bylaws</w:t>
              </w:r>
            </w:hyperlink>
          </w:p>
        </w:tc>
        <w:tc>
          <w:tcPr>
            <w:tcW w:w="2480" w:type="dxa"/>
            <w:vAlign w:val="bottom"/>
          </w:tcPr>
          <w:p>
            <w:pPr>
              <w:spacing w:after="0"/>
              <w:rPr>
                <w:sz w:val="20"/>
                <w:szCs w:val="20"/>
                <w:color w:val="auto"/>
              </w:rPr>
            </w:pPr>
            <w:r>
              <w:rPr>
                <w:rFonts w:ascii="Arial" w:cs="Arial" w:eastAsia="Arial" w:hAnsi="Arial"/>
                <w:sz w:val="18"/>
                <w:szCs w:val="18"/>
                <w:color w:val="auto"/>
                <w:w w:val="99"/>
              </w:rPr>
              <w:t>Current Report on Form 8-K as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April 6, 2016</w:t>
            </w:r>
          </w:p>
        </w:tc>
      </w:tr>
      <w:tr>
        <w:trPr>
          <w:trHeight w:val="237"/>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Exhibit 3.4</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6180" w:type="dxa"/>
            <w:vAlign w:val="bottom"/>
            <w:gridSpan w:val="18"/>
          </w:tcPr>
          <w:p>
            <w:pPr>
              <w:spacing w:after="0"/>
              <w:rPr>
                <w:rFonts w:ascii="Arial" w:cs="Arial" w:eastAsia="Arial" w:hAnsi="Arial"/>
                <w:sz w:val="18"/>
                <w:szCs w:val="18"/>
                <w:color w:val="0000EE"/>
              </w:rPr>
            </w:pPr>
            <w:hyperlink r:id="rId91">
              <w:r>
                <w:rPr>
                  <w:rFonts w:ascii="Arial" w:cs="Arial" w:eastAsia="Arial" w:hAnsi="Arial"/>
                  <w:sz w:val="18"/>
                  <w:szCs w:val="18"/>
                  <w:color w:val="0000EE"/>
                </w:rPr>
                <w:t>Form of Common Stock Certificate of Arrowhead Pharmaceuticals, Inc.</w:t>
              </w:r>
            </w:hyperlink>
          </w:p>
        </w:tc>
        <w:tc>
          <w:tcPr>
            <w:tcW w:w="2480" w:type="dxa"/>
            <w:vAlign w:val="bottom"/>
          </w:tcPr>
          <w:p>
            <w:pPr>
              <w:spacing w:after="0"/>
              <w:rPr>
                <w:sz w:val="20"/>
                <w:szCs w:val="20"/>
                <w:color w:val="auto"/>
              </w:rPr>
            </w:pPr>
            <w:r>
              <w:rPr>
                <w:rFonts w:ascii="Arial" w:cs="Arial" w:eastAsia="Arial" w:hAnsi="Arial"/>
                <w:sz w:val="18"/>
                <w:szCs w:val="18"/>
                <w:color w:val="auto"/>
                <w:w w:val="97"/>
              </w:rPr>
              <w:t>Current Report on Form 8-K, as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April 6, 2016</w:t>
            </w:r>
          </w:p>
        </w:tc>
      </w:tr>
      <w:tr>
        <w:trPr>
          <w:trHeight w:val="237"/>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3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Exhibit 4.1</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6180" w:type="dxa"/>
            <w:vAlign w:val="bottom"/>
            <w:gridSpan w:val="18"/>
          </w:tcPr>
          <w:p>
            <w:pPr>
              <w:spacing w:after="0"/>
              <w:rPr>
                <w:rFonts w:ascii="Arial" w:cs="Arial" w:eastAsia="Arial" w:hAnsi="Arial"/>
                <w:sz w:val="18"/>
                <w:szCs w:val="18"/>
                <w:color w:val="0000EE"/>
              </w:rPr>
            </w:pPr>
            <w:hyperlink r:id="rId92">
              <w:r>
                <w:rPr>
                  <w:rFonts w:ascii="Arial" w:cs="Arial" w:eastAsia="Arial" w:hAnsi="Arial"/>
                  <w:sz w:val="18"/>
                  <w:szCs w:val="18"/>
                  <w:color w:val="0000EE"/>
                </w:rPr>
                <w:t>Form of Indenture</w:t>
              </w:r>
            </w:hyperlink>
          </w:p>
        </w:tc>
        <w:tc>
          <w:tcPr>
            <w:tcW w:w="2480" w:type="dxa"/>
            <w:vAlign w:val="bottom"/>
          </w:tcPr>
          <w:p>
            <w:pPr>
              <w:spacing w:after="0"/>
              <w:rPr>
                <w:sz w:val="20"/>
                <w:szCs w:val="20"/>
                <w:color w:val="auto"/>
              </w:rPr>
            </w:pPr>
            <w:r>
              <w:rPr>
                <w:rFonts w:ascii="Arial" w:cs="Arial" w:eastAsia="Arial" w:hAnsi="Arial"/>
                <w:sz w:val="18"/>
                <w:szCs w:val="18"/>
                <w:color w:val="auto"/>
                <w:w w:val="96"/>
              </w:rPr>
              <w:t>Registration Statement on Form</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89"/>
              </w:rPr>
              <w:t>December 2, 2019</w:t>
            </w:r>
          </w:p>
        </w:tc>
      </w:tr>
      <w:tr>
        <w:trPr>
          <w:trHeight w:val="237"/>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S-3, as Exhibit 4.2</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5340" w:type="dxa"/>
            <w:vAlign w:val="bottom"/>
            <w:tcBorders>
              <w:bottom w:val="single" w:sz="8" w:color="0000EE"/>
            </w:tcBorders>
            <w:gridSpan w:val="10"/>
          </w:tcPr>
          <w:p>
            <w:pPr>
              <w:spacing w:after="0"/>
              <w:rPr>
                <w:rFonts w:ascii="Arial" w:cs="Arial" w:eastAsia="Arial" w:hAnsi="Arial"/>
                <w:sz w:val="18"/>
                <w:szCs w:val="18"/>
                <w:color w:val="0000EE"/>
                <w:w w:val="89"/>
              </w:rPr>
            </w:pPr>
            <w:hyperlink r:id="rId93">
              <w:r>
                <w:rPr>
                  <w:rFonts w:ascii="Arial" w:cs="Arial" w:eastAsia="Arial" w:hAnsi="Arial"/>
                  <w:sz w:val="18"/>
                  <w:szCs w:val="18"/>
                  <w:color w:val="0000EE"/>
                  <w:w w:val="89"/>
                </w:rPr>
                <w:t>Rights Agreement dated as of March 21, 2017, between the Company and</w:t>
              </w:r>
            </w:hyperlink>
          </w:p>
        </w:tc>
        <w:tc>
          <w:tcPr>
            <w:tcW w:w="840" w:type="dxa"/>
            <w:vAlign w:val="bottom"/>
            <w:gridSpan w:val="8"/>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7"/>
              </w:rPr>
              <w:t>Current Report on Form 8-K, as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March 23, 2017</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Computershare Trust Company, N.A., as rights agent, which includes as Exhibit B</w:t>
              </w:r>
            </w:hyperlink>
          </w:p>
        </w:tc>
        <w:tc>
          <w:tcPr>
            <w:tcW w:w="240" w:type="dxa"/>
            <w:vAlign w:val="bottom"/>
            <w:gridSpan w:val="3"/>
          </w:tcPr>
          <w:p>
            <w:pPr>
              <w:spacing w:after="0"/>
              <w:rPr>
                <w:sz w:val="17"/>
                <w:szCs w:val="17"/>
                <w:color w:val="auto"/>
              </w:rPr>
            </w:pPr>
          </w:p>
        </w:tc>
        <w:tc>
          <w:tcPr>
            <w:tcW w:w="2480" w:type="dxa"/>
            <w:vAlign w:val="bottom"/>
          </w:tcPr>
          <w:p>
            <w:pPr>
              <w:spacing w:after="0" w:line="196" w:lineRule="exact"/>
              <w:rPr>
                <w:sz w:val="20"/>
                <w:szCs w:val="20"/>
                <w:color w:val="auto"/>
              </w:rPr>
            </w:pPr>
            <w:r>
              <w:rPr>
                <w:rFonts w:ascii="Arial" w:cs="Arial" w:eastAsia="Arial" w:hAnsi="Arial"/>
                <w:sz w:val="18"/>
                <w:szCs w:val="18"/>
                <w:color w:val="auto"/>
              </w:rPr>
              <w:t>Exhibit 4.1</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the Form of Rights Certificate</w:t>
              </w:r>
            </w:hyperlink>
          </w:p>
        </w:tc>
        <w:tc>
          <w:tcPr>
            <w:tcW w:w="4000" w:type="dxa"/>
            <w:vAlign w:val="bottom"/>
            <w:gridSpan w:val="15"/>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6180" w:type="dxa"/>
            <w:vAlign w:val="bottom"/>
            <w:gridSpan w:val="18"/>
          </w:tcPr>
          <w:p>
            <w:pPr>
              <w:spacing w:after="0"/>
              <w:rPr>
                <w:rFonts w:ascii="Arial" w:cs="Arial" w:eastAsia="Arial" w:hAnsi="Arial"/>
                <w:sz w:val="18"/>
                <w:szCs w:val="18"/>
                <w:color w:val="0000EE"/>
              </w:rPr>
            </w:pPr>
            <w:hyperlink r:id="rId94">
              <w:r>
                <w:rPr>
                  <w:rFonts w:ascii="Arial" w:cs="Arial" w:eastAsia="Arial" w:hAnsi="Arial"/>
                  <w:sz w:val="18"/>
                  <w:szCs w:val="18"/>
                  <w:color w:val="0000EE"/>
                </w:rPr>
                <w:t>Description of Registrant’s Securities</w:t>
              </w:r>
            </w:hyperlink>
          </w:p>
        </w:tc>
        <w:tc>
          <w:tcPr>
            <w:tcW w:w="2480" w:type="dxa"/>
            <w:vAlign w:val="bottom"/>
          </w:tcPr>
          <w:p>
            <w:pPr>
              <w:spacing w:after="0"/>
              <w:rPr>
                <w:sz w:val="20"/>
                <w:szCs w:val="20"/>
                <w:color w:val="auto"/>
              </w:rPr>
            </w:pPr>
            <w:r>
              <w:rPr>
                <w:rFonts w:ascii="Arial" w:cs="Arial" w:eastAsia="Arial" w:hAnsi="Arial"/>
                <w:sz w:val="18"/>
                <w:szCs w:val="18"/>
                <w:color w:val="auto"/>
                <w:w w:val="94"/>
              </w:rPr>
              <w:t>Annual Report on Form 10-K, as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November 25,</w:t>
            </w:r>
          </w:p>
        </w:tc>
      </w:tr>
      <w:tr>
        <w:trPr>
          <w:trHeight w:val="237"/>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Exhibit 4.4</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2019</w:t>
            </w: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5860" w:type="dxa"/>
            <w:vAlign w:val="bottom"/>
            <w:tcBorders>
              <w:bottom w:val="single" w:sz="8" w:color="0000EE"/>
            </w:tcBorders>
            <w:gridSpan w:val="14"/>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Registration Rights Agreement by and between Arrowhead Pharmaceuticals, Inc.</w:t>
              </w:r>
            </w:hyperlink>
          </w:p>
        </w:tc>
        <w:tc>
          <w:tcPr>
            <w:tcW w:w="320" w:type="dxa"/>
            <w:vAlign w:val="bottom"/>
            <w:gridSpan w:val="4"/>
          </w:tcPr>
          <w:p>
            <w:pPr>
              <w:spacing w:after="0"/>
              <w:rPr>
                <w:sz w:val="24"/>
                <w:szCs w:val="24"/>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6"/>
              </w:rPr>
              <w:t>Quarterly Report on Form 10-Q,</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w w:val="96"/>
              </w:rPr>
              <w:t>February 7, 2019</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80" w:type="dxa"/>
            <w:vAlign w:val="bottom"/>
            <w:gridSpan w:val="18"/>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and Johnson &amp; Johnson Innovation-JJDC, Inc., dated October 3, 2018</w:t>
              </w:r>
            </w:hyperlink>
          </w:p>
        </w:tc>
        <w:tc>
          <w:tcPr>
            <w:tcW w:w="2480" w:type="dxa"/>
            <w:vAlign w:val="bottom"/>
          </w:tcPr>
          <w:p>
            <w:pPr>
              <w:spacing w:after="0" w:line="196" w:lineRule="exact"/>
              <w:rPr>
                <w:sz w:val="20"/>
                <w:szCs w:val="20"/>
                <w:color w:val="auto"/>
              </w:rPr>
            </w:pPr>
            <w:r>
              <w:rPr>
                <w:rFonts w:ascii="Arial" w:cs="Arial" w:eastAsia="Arial" w:hAnsi="Arial"/>
                <w:sz w:val="18"/>
                <w:szCs w:val="18"/>
                <w:color w:val="auto"/>
              </w:rPr>
              <w:t>as Exhibit 10.4</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550"/>
              <w:spacing w:after="0"/>
              <w:rPr>
                <w:sz w:val="20"/>
                <w:szCs w:val="20"/>
                <w:color w:val="auto"/>
              </w:rPr>
            </w:pPr>
            <w:r>
              <w:rPr>
                <w:rFonts w:ascii="Arial" w:cs="Arial" w:eastAsia="Arial" w:hAnsi="Arial"/>
                <w:sz w:val="18"/>
                <w:szCs w:val="18"/>
                <w:color w:val="auto"/>
                <w:w w:val="97"/>
              </w:rPr>
              <w:t>10.1**</w:t>
            </w:r>
          </w:p>
        </w:tc>
        <w:tc>
          <w:tcPr>
            <w:tcW w:w="5380" w:type="dxa"/>
            <w:vAlign w:val="bottom"/>
            <w:tcBorders>
              <w:bottom w:val="single" w:sz="8" w:color="0000EE"/>
            </w:tcBorders>
            <w:gridSpan w:val="5"/>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Arrowhead Research Corporation 2004 Equity Incentive Plan, as amended</w:t>
              </w:r>
            </w:hyperlink>
          </w:p>
        </w:tc>
        <w:tc>
          <w:tcPr>
            <w:tcW w:w="560" w:type="dxa"/>
            <w:vAlign w:val="bottom"/>
            <w:gridSpan w:val="3"/>
          </w:tcPr>
          <w:p>
            <w:pPr>
              <w:spacing w:after="0"/>
              <w:rPr>
                <w:sz w:val="18"/>
                <w:szCs w:val="18"/>
                <w:color w:val="auto"/>
              </w:rPr>
            </w:pPr>
          </w:p>
        </w:tc>
        <w:tc>
          <w:tcPr>
            <w:tcW w:w="2700" w:type="dxa"/>
            <w:vAlign w:val="bottom"/>
          </w:tcPr>
          <w:p>
            <w:pPr>
              <w:ind w:left="240"/>
              <w:spacing w:after="0"/>
              <w:rPr>
                <w:sz w:val="20"/>
                <w:szCs w:val="20"/>
                <w:color w:val="auto"/>
              </w:rPr>
            </w:pPr>
            <w:r>
              <w:rPr>
                <w:rFonts w:ascii="Arial" w:cs="Arial" w:eastAsia="Arial" w:hAnsi="Arial"/>
                <w:sz w:val="18"/>
                <w:szCs w:val="18"/>
                <w:color w:val="auto"/>
              </w:rPr>
              <w:t>Schedule 14C, as Annex B</w:t>
            </w:r>
          </w:p>
        </w:tc>
        <w:tc>
          <w:tcPr>
            <w:tcW w:w="1460" w:type="dxa"/>
            <w:vAlign w:val="bottom"/>
          </w:tcPr>
          <w:p>
            <w:pPr>
              <w:ind w:left="120"/>
              <w:spacing w:after="0"/>
              <w:rPr>
                <w:sz w:val="20"/>
                <w:szCs w:val="20"/>
                <w:color w:val="auto"/>
              </w:rPr>
            </w:pPr>
            <w:r>
              <w:rPr>
                <w:rFonts w:ascii="Arial" w:cs="Arial" w:eastAsia="Arial" w:hAnsi="Arial"/>
                <w:sz w:val="18"/>
                <w:szCs w:val="18"/>
                <w:color w:val="auto"/>
                <w:w w:val="94"/>
              </w:rPr>
              <w:t>January 12, 2012</w:t>
            </w:r>
          </w:p>
        </w:tc>
        <w:tc>
          <w:tcPr>
            <w:tcW w:w="0" w:type="dxa"/>
            <w:vAlign w:val="bottom"/>
          </w:tcPr>
          <w:p>
            <w:pPr>
              <w:spacing w:after="0"/>
              <w:rPr>
                <w:sz w:val="1"/>
                <w:szCs w:val="1"/>
                <w:color w:val="auto"/>
              </w:rPr>
            </w:pPr>
          </w:p>
        </w:tc>
      </w:tr>
      <w:tr>
        <w:trPr>
          <w:trHeight w:val="318"/>
        </w:trPr>
        <w:tc>
          <w:tcPr>
            <w:tcW w:w="1140" w:type="dxa"/>
            <w:vAlign w:val="bottom"/>
          </w:tcPr>
          <w:p>
            <w:pPr>
              <w:jc w:val="right"/>
              <w:ind w:right="550"/>
              <w:spacing w:after="0"/>
              <w:rPr>
                <w:sz w:val="20"/>
                <w:szCs w:val="20"/>
                <w:color w:val="auto"/>
              </w:rPr>
            </w:pPr>
            <w:r>
              <w:rPr>
                <w:rFonts w:ascii="Arial" w:cs="Arial" w:eastAsia="Arial" w:hAnsi="Arial"/>
                <w:sz w:val="18"/>
                <w:szCs w:val="18"/>
                <w:color w:val="auto"/>
                <w:w w:val="97"/>
              </w:rPr>
              <w:t>10.2**</w:t>
            </w:r>
          </w:p>
        </w:tc>
        <w:tc>
          <w:tcPr>
            <w:tcW w:w="5940" w:type="dxa"/>
            <w:vAlign w:val="bottom"/>
            <w:gridSpan w:val="8"/>
          </w:tcPr>
          <w:p>
            <w:pPr>
              <w:spacing w:after="0"/>
              <w:rPr>
                <w:rFonts w:ascii="Arial" w:cs="Arial" w:eastAsia="Arial" w:hAnsi="Arial"/>
                <w:sz w:val="18"/>
                <w:szCs w:val="18"/>
                <w:color w:val="0000EE"/>
              </w:rPr>
            </w:pPr>
            <w:hyperlink r:id="rId97">
              <w:r>
                <w:rPr>
                  <w:rFonts w:ascii="Arial" w:cs="Arial" w:eastAsia="Arial" w:hAnsi="Arial"/>
                  <w:sz w:val="18"/>
                  <w:szCs w:val="18"/>
                  <w:color w:val="0000EE"/>
                </w:rPr>
                <w:t>Arrowhead Research Corporation 2013 Incentive Plan</w:t>
              </w:r>
            </w:hyperlink>
          </w:p>
        </w:tc>
        <w:tc>
          <w:tcPr>
            <w:tcW w:w="2700" w:type="dxa"/>
            <w:vAlign w:val="bottom"/>
          </w:tcPr>
          <w:p>
            <w:pPr>
              <w:ind w:left="240"/>
              <w:spacing w:after="0"/>
              <w:rPr>
                <w:sz w:val="20"/>
                <w:szCs w:val="20"/>
                <w:color w:val="auto"/>
              </w:rPr>
            </w:pPr>
            <w:r>
              <w:rPr>
                <w:rFonts w:ascii="Arial" w:cs="Arial" w:eastAsia="Arial" w:hAnsi="Arial"/>
                <w:sz w:val="18"/>
                <w:szCs w:val="18"/>
                <w:color w:val="auto"/>
              </w:rPr>
              <w:t>Schedule 14C, as Annex A</w:t>
            </w:r>
          </w:p>
        </w:tc>
        <w:tc>
          <w:tcPr>
            <w:tcW w:w="1460" w:type="dxa"/>
            <w:vAlign w:val="bottom"/>
          </w:tcPr>
          <w:p>
            <w:pPr>
              <w:ind w:left="120"/>
              <w:spacing w:after="0"/>
              <w:rPr>
                <w:sz w:val="20"/>
                <w:szCs w:val="20"/>
                <w:color w:val="auto"/>
              </w:rPr>
            </w:pPr>
            <w:r>
              <w:rPr>
                <w:rFonts w:ascii="Arial" w:cs="Arial" w:eastAsia="Arial" w:hAnsi="Arial"/>
                <w:sz w:val="18"/>
                <w:szCs w:val="18"/>
                <w:color w:val="auto"/>
              </w:rPr>
              <w:t>December 20,</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8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460" w:type="dxa"/>
            <w:vAlign w:val="bottom"/>
          </w:tcPr>
          <w:p>
            <w:pPr>
              <w:ind w:left="12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97"/>
        </w:trPr>
        <w:tc>
          <w:tcPr>
            <w:tcW w:w="1140" w:type="dxa"/>
            <w:vAlign w:val="bottom"/>
          </w:tcPr>
          <w:p>
            <w:pPr>
              <w:jc w:val="right"/>
              <w:ind w:right="550"/>
              <w:spacing w:after="0"/>
              <w:rPr>
                <w:sz w:val="20"/>
                <w:szCs w:val="20"/>
                <w:color w:val="auto"/>
              </w:rPr>
            </w:pPr>
            <w:r>
              <w:rPr>
                <w:rFonts w:ascii="Arial" w:cs="Arial" w:eastAsia="Arial" w:hAnsi="Arial"/>
                <w:sz w:val="18"/>
                <w:szCs w:val="18"/>
                <w:color w:val="auto"/>
                <w:w w:val="97"/>
              </w:rPr>
              <w:t>10.3**</w:t>
            </w:r>
          </w:p>
        </w:tc>
        <w:tc>
          <w:tcPr>
            <w:tcW w:w="5940" w:type="dxa"/>
            <w:vAlign w:val="bottom"/>
            <w:gridSpan w:val="8"/>
          </w:tcPr>
          <w:p>
            <w:pPr>
              <w:spacing w:after="0"/>
              <w:rPr>
                <w:rFonts w:ascii="Arial" w:cs="Arial" w:eastAsia="Arial" w:hAnsi="Arial"/>
                <w:sz w:val="18"/>
                <w:szCs w:val="18"/>
                <w:color w:val="0000EE"/>
              </w:rPr>
            </w:pPr>
            <w:hyperlink r:id="rId98">
              <w:r>
                <w:rPr>
                  <w:rFonts w:ascii="Arial" w:cs="Arial" w:eastAsia="Arial" w:hAnsi="Arial"/>
                  <w:sz w:val="18"/>
                  <w:szCs w:val="18"/>
                  <w:color w:val="0000EE"/>
                </w:rPr>
                <w:t>Form of Stock Option Agreement for use with the 2013 Incentive Plan</w:t>
              </w:r>
            </w:hyperlink>
          </w:p>
        </w:tc>
        <w:tc>
          <w:tcPr>
            <w:tcW w:w="2700" w:type="dxa"/>
            <w:vAlign w:val="bottom"/>
          </w:tcPr>
          <w:p>
            <w:pPr>
              <w:ind w:left="240"/>
              <w:spacing w:after="0"/>
              <w:rPr>
                <w:sz w:val="20"/>
                <w:szCs w:val="20"/>
                <w:color w:val="auto"/>
              </w:rPr>
            </w:pPr>
            <w:r>
              <w:rPr>
                <w:rFonts w:ascii="Arial" w:cs="Arial" w:eastAsia="Arial" w:hAnsi="Arial"/>
                <w:sz w:val="18"/>
                <w:szCs w:val="18"/>
                <w:color w:val="auto"/>
                <w:w w:val="96"/>
              </w:rPr>
              <w:t>Current Report on Form 8-K, as</w:t>
            </w:r>
          </w:p>
        </w:tc>
        <w:tc>
          <w:tcPr>
            <w:tcW w:w="1460" w:type="dxa"/>
            <w:vAlign w:val="bottom"/>
          </w:tcPr>
          <w:p>
            <w:pPr>
              <w:ind w:left="120"/>
              <w:spacing w:after="0"/>
              <w:rPr>
                <w:sz w:val="20"/>
                <w:szCs w:val="20"/>
                <w:color w:val="auto"/>
              </w:rPr>
            </w:pPr>
            <w:r>
              <w:rPr>
                <w:rFonts w:ascii="Arial" w:cs="Arial" w:eastAsia="Arial" w:hAnsi="Arial"/>
                <w:sz w:val="18"/>
                <w:szCs w:val="18"/>
                <w:color w:val="auto"/>
                <w:w w:val="89"/>
              </w:rPr>
              <w:t>February 12, 2014</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8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tcPr>
          <w:p>
            <w:pPr>
              <w:ind w:left="240"/>
              <w:spacing w:after="0"/>
              <w:rPr>
                <w:sz w:val="20"/>
                <w:szCs w:val="20"/>
                <w:color w:val="auto"/>
              </w:rPr>
            </w:pPr>
            <w:r>
              <w:rPr>
                <w:rFonts w:ascii="Arial" w:cs="Arial" w:eastAsia="Arial" w:hAnsi="Arial"/>
                <w:sz w:val="18"/>
                <w:szCs w:val="18"/>
                <w:color w:val="auto"/>
              </w:rPr>
              <w:t>Exhibit 10.1</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40" w:type="dxa"/>
            <w:vAlign w:val="bottom"/>
          </w:tcPr>
          <w:p>
            <w:pPr>
              <w:jc w:val="right"/>
              <w:ind w:right="550"/>
              <w:spacing w:after="0"/>
              <w:rPr>
                <w:sz w:val="20"/>
                <w:szCs w:val="20"/>
                <w:color w:val="auto"/>
              </w:rPr>
            </w:pPr>
            <w:r>
              <w:rPr>
                <w:rFonts w:ascii="Arial" w:cs="Arial" w:eastAsia="Arial" w:hAnsi="Arial"/>
                <w:sz w:val="18"/>
                <w:szCs w:val="18"/>
                <w:color w:val="auto"/>
                <w:w w:val="97"/>
              </w:rPr>
              <w:t>10.4**</w:t>
            </w:r>
          </w:p>
        </w:tc>
        <w:tc>
          <w:tcPr>
            <w:tcW w:w="5680" w:type="dxa"/>
            <w:vAlign w:val="bottom"/>
            <w:tcBorders>
              <w:bottom w:val="single" w:sz="8" w:color="0000EE"/>
            </w:tcBorders>
            <w:gridSpan w:val="7"/>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Form of Restricted Stock Unit Agreement for use with the 2013 Incentive Plan</w:t>
              </w:r>
            </w:hyperlink>
          </w:p>
        </w:tc>
        <w:tc>
          <w:tcPr>
            <w:tcW w:w="260" w:type="dxa"/>
            <w:vAlign w:val="bottom"/>
          </w:tcPr>
          <w:p>
            <w:pPr>
              <w:spacing w:after="0"/>
              <w:rPr>
                <w:sz w:val="24"/>
                <w:szCs w:val="24"/>
                <w:color w:val="auto"/>
              </w:rPr>
            </w:pPr>
          </w:p>
        </w:tc>
        <w:tc>
          <w:tcPr>
            <w:tcW w:w="2700" w:type="dxa"/>
            <w:vAlign w:val="bottom"/>
          </w:tcPr>
          <w:p>
            <w:pPr>
              <w:ind w:left="240"/>
              <w:spacing w:after="0"/>
              <w:rPr>
                <w:sz w:val="20"/>
                <w:szCs w:val="20"/>
                <w:color w:val="auto"/>
              </w:rPr>
            </w:pPr>
            <w:r>
              <w:rPr>
                <w:rFonts w:ascii="Arial" w:cs="Arial" w:eastAsia="Arial" w:hAnsi="Arial"/>
                <w:sz w:val="18"/>
                <w:szCs w:val="18"/>
                <w:color w:val="auto"/>
                <w:w w:val="96"/>
              </w:rPr>
              <w:t>Current Report on Form 8-K, as</w:t>
            </w:r>
          </w:p>
        </w:tc>
        <w:tc>
          <w:tcPr>
            <w:tcW w:w="1460" w:type="dxa"/>
            <w:vAlign w:val="bottom"/>
          </w:tcPr>
          <w:p>
            <w:pPr>
              <w:ind w:left="120"/>
              <w:spacing w:after="0"/>
              <w:rPr>
                <w:sz w:val="20"/>
                <w:szCs w:val="20"/>
                <w:color w:val="auto"/>
              </w:rPr>
            </w:pPr>
            <w:r>
              <w:rPr>
                <w:rFonts w:ascii="Arial" w:cs="Arial" w:eastAsia="Arial" w:hAnsi="Arial"/>
                <w:sz w:val="18"/>
                <w:szCs w:val="18"/>
                <w:color w:val="auto"/>
                <w:w w:val="89"/>
              </w:rPr>
              <w:t>February 12, 2014</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940" w:type="dxa"/>
            <w:vAlign w:val="bottom"/>
            <w:gridSpan w:val="8"/>
            <w:vMerge w:val="restart"/>
          </w:tcPr>
          <w:p>
            <w:pPr>
              <w:spacing w:after="0"/>
              <w:rPr>
                <w:rFonts w:ascii="Arial" w:cs="Arial" w:eastAsia="Arial" w:hAnsi="Arial"/>
                <w:sz w:val="18"/>
                <w:szCs w:val="18"/>
                <w:color w:val="0000EE"/>
              </w:rPr>
            </w:pPr>
            <w:hyperlink r:id="rId100">
              <w:r>
                <w:rPr>
                  <w:rFonts w:ascii="Arial" w:cs="Arial" w:eastAsia="Arial" w:hAnsi="Arial"/>
                  <w:sz w:val="18"/>
                  <w:szCs w:val="18"/>
                  <w:color w:val="0000EE"/>
                </w:rPr>
                <w:t>Arrowhead Pharmaceuticals, Inc. 2021 Incentive Plan</w:t>
              </w:r>
            </w:hyperlink>
          </w:p>
        </w:tc>
        <w:tc>
          <w:tcPr>
            <w:tcW w:w="2700" w:type="dxa"/>
            <w:vAlign w:val="bottom"/>
          </w:tcPr>
          <w:p>
            <w:pPr>
              <w:ind w:left="240"/>
              <w:spacing w:after="0"/>
              <w:rPr>
                <w:sz w:val="20"/>
                <w:szCs w:val="20"/>
                <w:color w:val="auto"/>
              </w:rPr>
            </w:pPr>
            <w:r>
              <w:rPr>
                <w:rFonts w:ascii="Arial" w:cs="Arial" w:eastAsia="Arial" w:hAnsi="Arial"/>
                <w:sz w:val="18"/>
                <w:szCs w:val="18"/>
                <w:color w:val="auto"/>
              </w:rPr>
              <w:t>Exhibit 10.2</w:t>
            </w:r>
          </w:p>
        </w:tc>
        <w:tc>
          <w:tcPr>
            <w:tcW w:w="1460" w:type="dxa"/>
            <w:vAlign w:val="bottom"/>
            <w:vMerge w:val="restart"/>
          </w:tcPr>
          <w:p>
            <w:pPr>
              <w:ind w:left="120"/>
              <w:spacing w:after="0"/>
              <w:rPr>
                <w:sz w:val="20"/>
                <w:szCs w:val="20"/>
                <w:color w:val="auto"/>
              </w:rPr>
            </w:pPr>
            <w:r>
              <w:rPr>
                <w:rFonts w:ascii="Arial" w:cs="Arial" w:eastAsia="Arial" w:hAnsi="Arial"/>
                <w:sz w:val="18"/>
                <w:szCs w:val="18"/>
                <w:color w:val="auto"/>
                <w:w w:val="94"/>
              </w:rPr>
              <w:t>January 28, 2021</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5940" w:type="dxa"/>
            <w:vAlign w:val="bottom"/>
            <w:gridSpan w:val="8"/>
            <w:vMerge w:val="continue"/>
          </w:tcPr>
          <w:p>
            <w:pPr>
              <w:spacing w:after="0"/>
              <w:rPr>
                <w:sz w:val="15"/>
                <w:szCs w:val="15"/>
                <w:color w:val="auto"/>
              </w:rPr>
            </w:pPr>
          </w:p>
        </w:tc>
        <w:tc>
          <w:tcPr>
            <w:tcW w:w="27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jc w:val="right"/>
              <w:ind w:right="550"/>
              <w:spacing w:after="0" w:line="196" w:lineRule="exact"/>
              <w:rPr>
                <w:sz w:val="20"/>
                <w:szCs w:val="20"/>
                <w:color w:val="auto"/>
              </w:rPr>
            </w:pPr>
            <w:r>
              <w:rPr>
                <w:rFonts w:ascii="Arial" w:cs="Arial" w:eastAsia="Arial" w:hAnsi="Arial"/>
                <w:sz w:val="18"/>
                <w:szCs w:val="18"/>
                <w:color w:val="auto"/>
                <w:w w:val="97"/>
              </w:rPr>
              <w:t>10.5**</w:t>
            </w:r>
          </w:p>
        </w:tc>
        <w:tc>
          <w:tcPr>
            <w:tcW w:w="5940" w:type="dxa"/>
            <w:vAlign w:val="bottom"/>
            <w:gridSpan w:val="8"/>
          </w:tcPr>
          <w:p>
            <w:pPr>
              <w:spacing w:after="0" w:line="196" w:lineRule="exact"/>
              <w:rPr>
                <w:rFonts w:ascii="Arial" w:cs="Arial" w:eastAsia="Arial" w:hAnsi="Arial"/>
                <w:sz w:val="18"/>
                <w:szCs w:val="18"/>
                <w:color w:val="0000EE"/>
                <w:w w:val="99"/>
              </w:rPr>
            </w:pPr>
            <w:hyperlink r:id="rId101">
              <w:r>
                <w:rPr>
                  <w:rFonts w:ascii="Arial" w:cs="Arial" w:eastAsia="Arial" w:hAnsi="Arial"/>
                  <w:sz w:val="18"/>
                  <w:szCs w:val="18"/>
                  <w:color w:val="0000EE"/>
                  <w:w w:val="99"/>
                </w:rPr>
                <w:t>Form of Performance RSU Agreement for use with the 2021 Incentive Plan</w:t>
              </w:r>
            </w:hyperlink>
          </w:p>
        </w:tc>
        <w:tc>
          <w:tcPr>
            <w:tcW w:w="2700" w:type="dxa"/>
            <w:vAlign w:val="bottom"/>
          </w:tcPr>
          <w:p>
            <w:pPr>
              <w:ind w:left="240"/>
              <w:spacing w:after="0" w:line="196" w:lineRule="exact"/>
              <w:rPr>
                <w:sz w:val="20"/>
                <w:szCs w:val="20"/>
                <w:color w:val="auto"/>
              </w:rPr>
            </w:pPr>
            <w:r>
              <w:rPr>
                <w:rFonts w:ascii="Arial" w:cs="Arial" w:eastAsia="Arial" w:hAnsi="Arial"/>
                <w:sz w:val="18"/>
                <w:szCs w:val="18"/>
                <w:color w:val="auto"/>
              </w:rPr>
              <w:t>Schedule 14A, Exhibit A</w:t>
            </w:r>
          </w:p>
        </w:tc>
        <w:tc>
          <w:tcPr>
            <w:tcW w:w="1460" w:type="dxa"/>
            <w:vAlign w:val="bottom"/>
          </w:tcPr>
          <w:p>
            <w:pPr>
              <w:ind w:left="120"/>
              <w:spacing w:after="0" w:line="196" w:lineRule="exact"/>
              <w:rPr>
                <w:sz w:val="20"/>
                <w:szCs w:val="20"/>
                <w:color w:val="auto"/>
              </w:rPr>
            </w:pPr>
            <w:r>
              <w:rPr>
                <w:rFonts w:ascii="Arial" w:cs="Arial" w:eastAsia="Arial" w:hAnsi="Arial"/>
                <w:sz w:val="18"/>
                <w:szCs w:val="18"/>
                <w:color w:val="auto"/>
              </w:rPr>
              <w:t>August 5, 2021</w:t>
            </w:r>
          </w:p>
        </w:tc>
        <w:tc>
          <w:tcPr>
            <w:tcW w:w="0" w:type="dxa"/>
            <w:vAlign w:val="bottom"/>
          </w:tcPr>
          <w:p>
            <w:pPr>
              <w:spacing w:after="0"/>
              <w:rPr>
                <w:sz w:val="1"/>
                <w:szCs w:val="1"/>
                <w:color w:val="auto"/>
              </w:rPr>
            </w:pPr>
          </w:p>
        </w:tc>
      </w:tr>
      <w:tr>
        <w:trPr>
          <w:trHeight w:val="412"/>
        </w:trPr>
        <w:tc>
          <w:tcPr>
            <w:tcW w:w="1140" w:type="dxa"/>
            <w:vAlign w:val="bottom"/>
          </w:tcPr>
          <w:p>
            <w:pPr>
              <w:jc w:val="right"/>
              <w:ind w:right="550"/>
              <w:spacing w:after="0"/>
              <w:rPr>
                <w:sz w:val="20"/>
                <w:szCs w:val="20"/>
                <w:color w:val="auto"/>
              </w:rPr>
            </w:pPr>
            <w:r>
              <w:rPr>
                <w:rFonts w:ascii="Arial" w:cs="Arial" w:eastAsia="Arial" w:hAnsi="Arial"/>
                <w:sz w:val="18"/>
                <w:szCs w:val="18"/>
                <w:color w:val="auto"/>
                <w:w w:val="97"/>
              </w:rPr>
              <w:t>10.6**</w:t>
            </w:r>
          </w:p>
        </w:tc>
        <w:tc>
          <w:tcPr>
            <w:tcW w:w="5440" w:type="dxa"/>
            <w:vAlign w:val="bottom"/>
            <w:tcBorders>
              <w:top w:val="single" w:sz="8" w:color="0000EE"/>
            </w:tcBorders>
            <w:gridSpan w:val="6"/>
          </w:tcPr>
          <w:p>
            <w:pPr>
              <w:spacing w:after="0"/>
              <w:rPr>
                <w:rFonts w:ascii="Arial" w:cs="Arial" w:eastAsia="Arial" w:hAnsi="Arial"/>
                <w:sz w:val="18"/>
                <w:szCs w:val="18"/>
                <w:color w:val="0000EE"/>
                <w:w w:val="97"/>
              </w:rPr>
            </w:pPr>
            <w:hyperlink r:id="rId102">
              <w:r>
                <w:rPr>
                  <w:rFonts w:ascii="Arial" w:cs="Arial" w:eastAsia="Arial" w:hAnsi="Arial"/>
                  <w:sz w:val="18"/>
                  <w:szCs w:val="18"/>
                  <w:color w:val="0000EE"/>
                  <w:w w:val="97"/>
                </w:rPr>
                <w:t>Form of Stock Option Agreement for use with the 2021 Incentive Plan</w:t>
              </w:r>
            </w:hyperlink>
          </w:p>
        </w:tc>
        <w:tc>
          <w:tcPr>
            <w:tcW w:w="500" w:type="dxa"/>
            <w:vAlign w:val="bottom"/>
            <w:gridSpan w:val="2"/>
          </w:tcPr>
          <w:p>
            <w:pPr>
              <w:spacing w:after="0"/>
              <w:rPr>
                <w:sz w:val="24"/>
                <w:szCs w:val="24"/>
                <w:color w:val="auto"/>
              </w:rPr>
            </w:pPr>
          </w:p>
        </w:tc>
        <w:tc>
          <w:tcPr>
            <w:tcW w:w="2700" w:type="dxa"/>
            <w:vAlign w:val="bottom"/>
          </w:tcPr>
          <w:p>
            <w:pPr>
              <w:ind w:left="240"/>
              <w:spacing w:after="0"/>
              <w:rPr>
                <w:sz w:val="20"/>
                <w:szCs w:val="20"/>
                <w:color w:val="auto"/>
              </w:rPr>
            </w:pPr>
            <w:r>
              <w:rPr>
                <w:rFonts w:ascii="Arial" w:cs="Arial" w:eastAsia="Arial" w:hAnsi="Arial"/>
                <w:sz w:val="18"/>
                <w:szCs w:val="18"/>
                <w:color w:val="auto"/>
                <w:w w:val="95"/>
              </w:rPr>
              <w:t>Quarterly Report on Form 10-Q,</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8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tcPr>
          <w:p>
            <w:pPr>
              <w:ind w:left="240"/>
              <w:spacing w:after="0"/>
              <w:rPr>
                <w:sz w:val="20"/>
                <w:szCs w:val="20"/>
                <w:color w:val="auto"/>
              </w:rPr>
            </w:pPr>
            <w:r>
              <w:rPr>
                <w:rFonts w:ascii="Arial" w:cs="Arial" w:eastAsia="Arial" w:hAnsi="Arial"/>
                <w:sz w:val="18"/>
                <w:szCs w:val="18"/>
                <w:color w:val="auto"/>
              </w:rPr>
              <w:t>as Exhibit 10.1</w:t>
            </w:r>
          </w:p>
        </w:tc>
        <w:tc>
          <w:tcPr>
            <w:tcW w:w="1460" w:type="dxa"/>
            <w:vAlign w:val="bottom"/>
          </w:tcPr>
          <w:p>
            <w:pPr>
              <w:ind w:left="120"/>
              <w:spacing w:after="0"/>
              <w:rPr>
                <w:sz w:val="20"/>
                <w:szCs w:val="20"/>
                <w:color w:val="auto"/>
              </w:rPr>
            </w:pPr>
            <w:r>
              <w:rPr>
                <w:rFonts w:ascii="Arial" w:cs="Arial" w:eastAsia="Arial" w:hAnsi="Arial"/>
                <w:sz w:val="18"/>
                <w:szCs w:val="18"/>
                <w:color w:val="auto"/>
              </w:rPr>
              <w:t>August 5, 2021</w:t>
            </w:r>
          </w:p>
        </w:tc>
        <w:tc>
          <w:tcPr>
            <w:tcW w:w="0" w:type="dxa"/>
            <w:vAlign w:val="bottom"/>
          </w:tcPr>
          <w:p>
            <w:pPr>
              <w:spacing w:after="0"/>
              <w:rPr>
                <w:sz w:val="1"/>
                <w:szCs w:val="1"/>
                <w:color w:val="auto"/>
              </w:rPr>
            </w:pPr>
          </w:p>
        </w:tc>
      </w:tr>
      <w:tr>
        <w:trPr>
          <w:trHeight w:val="391"/>
        </w:trPr>
        <w:tc>
          <w:tcPr>
            <w:tcW w:w="1140" w:type="dxa"/>
            <w:vAlign w:val="bottom"/>
          </w:tcPr>
          <w:p>
            <w:pPr>
              <w:jc w:val="right"/>
              <w:ind w:right="550"/>
              <w:spacing w:after="0"/>
              <w:rPr>
                <w:sz w:val="20"/>
                <w:szCs w:val="20"/>
                <w:color w:val="auto"/>
              </w:rPr>
            </w:pPr>
            <w:r>
              <w:rPr>
                <w:rFonts w:ascii="Arial" w:cs="Arial" w:eastAsia="Arial" w:hAnsi="Arial"/>
                <w:sz w:val="18"/>
                <w:szCs w:val="18"/>
                <w:color w:val="auto"/>
                <w:w w:val="97"/>
              </w:rPr>
              <w:t>10.7**</w:t>
            </w:r>
          </w:p>
        </w:tc>
        <w:tc>
          <w:tcPr>
            <w:tcW w:w="5940" w:type="dxa"/>
            <w:vAlign w:val="bottom"/>
            <w:gridSpan w:val="8"/>
          </w:tcPr>
          <w:p>
            <w:pPr>
              <w:spacing w:after="0"/>
              <w:rPr>
                <w:rFonts w:ascii="Arial" w:cs="Arial" w:eastAsia="Arial" w:hAnsi="Arial"/>
                <w:sz w:val="18"/>
                <w:szCs w:val="18"/>
                <w:color w:val="0000EE"/>
              </w:rPr>
            </w:pPr>
            <w:hyperlink r:id="rId103">
              <w:r>
                <w:rPr>
                  <w:rFonts w:ascii="Arial" w:cs="Arial" w:eastAsia="Arial" w:hAnsi="Arial"/>
                  <w:sz w:val="18"/>
                  <w:szCs w:val="18"/>
                  <w:color w:val="0000EE"/>
                </w:rPr>
                <w:t>Form of RSU Agreement for use with the 2021 Incentive Plan</w:t>
              </w:r>
            </w:hyperlink>
          </w:p>
        </w:tc>
        <w:tc>
          <w:tcPr>
            <w:tcW w:w="2700" w:type="dxa"/>
            <w:vAlign w:val="bottom"/>
          </w:tcPr>
          <w:p>
            <w:pPr>
              <w:ind w:left="240"/>
              <w:spacing w:after="0"/>
              <w:rPr>
                <w:sz w:val="20"/>
                <w:szCs w:val="20"/>
                <w:color w:val="auto"/>
              </w:rPr>
            </w:pPr>
            <w:r>
              <w:rPr>
                <w:rFonts w:ascii="Arial" w:cs="Arial" w:eastAsia="Arial" w:hAnsi="Arial"/>
                <w:sz w:val="18"/>
                <w:szCs w:val="18"/>
                <w:color w:val="auto"/>
                <w:w w:val="95"/>
              </w:rPr>
              <w:t>Quarterly Report on Form 10-Q,</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8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tcPr>
          <w:p>
            <w:pPr>
              <w:ind w:left="240"/>
              <w:spacing w:after="0"/>
              <w:rPr>
                <w:sz w:val="20"/>
                <w:szCs w:val="20"/>
                <w:color w:val="auto"/>
              </w:rPr>
            </w:pPr>
            <w:r>
              <w:rPr>
                <w:rFonts w:ascii="Arial" w:cs="Arial" w:eastAsia="Arial" w:hAnsi="Arial"/>
                <w:sz w:val="18"/>
                <w:szCs w:val="18"/>
                <w:color w:val="auto"/>
              </w:rPr>
              <w:t>as Exhibit 10.2</w:t>
            </w:r>
          </w:p>
        </w:tc>
        <w:tc>
          <w:tcPr>
            <w:tcW w:w="1460" w:type="dxa"/>
            <w:vAlign w:val="bottom"/>
          </w:tcPr>
          <w:p>
            <w:pPr>
              <w:ind w:left="120"/>
              <w:spacing w:after="0"/>
              <w:rPr>
                <w:sz w:val="20"/>
                <w:szCs w:val="20"/>
                <w:color w:val="auto"/>
              </w:rPr>
            </w:pPr>
            <w:r>
              <w:rPr>
                <w:rFonts w:ascii="Arial" w:cs="Arial" w:eastAsia="Arial" w:hAnsi="Arial"/>
                <w:sz w:val="18"/>
                <w:szCs w:val="18"/>
                <w:color w:val="auto"/>
              </w:rPr>
              <w:t>August 5, 2021</w:t>
            </w:r>
          </w:p>
        </w:tc>
        <w:tc>
          <w:tcPr>
            <w:tcW w:w="0" w:type="dxa"/>
            <w:vAlign w:val="bottom"/>
          </w:tcPr>
          <w:p>
            <w:pPr>
              <w:spacing w:after="0"/>
              <w:rPr>
                <w:sz w:val="1"/>
                <w:szCs w:val="1"/>
                <w:color w:val="auto"/>
              </w:rPr>
            </w:pPr>
          </w:p>
        </w:tc>
      </w:tr>
      <w:tr>
        <w:trPr>
          <w:trHeight w:val="418"/>
        </w:trPr>
        <w:tc>
          <w:tcPr>
            <w:tcW w:w="1140" w:type="dxa"/>
            <w:vAlign w:val="bottom"/>
          </w:tcPr>
          <w:p>
            <w:pPr>
              <w:jc w:val="right"/>
              <w:ind w:right="550"/>
              <w:spacing w:after="0"/>
              <w:rPr>
                <w:sz w:val="20"/>
                <w:szCs w:val="20"/>
                <w:color w:val="auto"/>
              </w:rPr>
            </w:pPr>
            <w:r>
              <w:rPr>
                <w:rFonts w:ascii="Arial" w:cs="Arial" w:eastAsia="Arial" w:hAnsi="Arial"/>
                <w:sz w:val="18"/>
                <w:szCs w:val="18"/>
                <w:color w:val="auto"/>
                <w:w w:val="97"/>
              </w:rPr>
              <w:t>10.8**</w:t>
            </w:r>
          </w:p>
        </w:tc>
        <w:tc>
          <w:tcPr>
            <w:tcW w:w="3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tcPr>
          <w:p>
            <w:pPr>
              <w:ind w:left="240"/>
              <w:spacing w:after="0"/>
              <w:rPr>
                <w:sz w:val="20"/>
                <w:szCs w:val="20"/>
                <w:color w:val="auto"/>
              </w:rPr>
            </w:pPr>
            <w:r>
              <w:rPr>
                <w:rFonts w:ascii="Arial" w:cs="Arial" w:eastAsia="Arial" w:hAnsi="Arial"/>
                <w:sz w:val="18"/>
                <w:szCs w:val="18"/>
                <w:color w:val="auto"/>
                <w:w w:val="95"/>
              </w:rPr>
              <w:t>Quarterly Report on Form 10-Q,</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tcPr>
          <w:p>
            <w:pPr>
              <w:ind w:left="240"/>
              <w:spacing w:after="0"/>
              <w:rPr>
                <w:sz w:val="20"/>
                <w:szCs w:val="20"/>
                <w:color w:val="auto"/>
              </w:rPr>
            </w:pPr>
            <w:r>
              <w:rPr>
                <w:rFonts w:ascii="Arial" w:cs="Arial" w:eastAsia="Arial" w:hAnsi="Arial"/>
                <w:sz w:val="18"/>
                <w:szCs w:val="18"/>
                <w:color w:val="auto"/>
              </w:rPr>
              <w:t>as Exhibit 10.3</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5080" w:type="dxa"/>
            <w:vAlign w:val="bottom"/>
            <w:gridSpan w:val="4"/>
          </w:tcPr>
          <w:p>
            <w:pPr>
              <w:ind w:left="440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5"/>
              </w:rPr>
              <w:t>Incorporated by Reference Herein</w:t>
            </w:r>
          </w:p>
        </w:tc>
        <w:tc>
          <w:tcPr>
            <w:tcW w:w="860" w:type="dxa"/>
            <w:vAlign w:val="bottom"/>
            <w:tcBorders>
              <w:bottom w:val="single" w:sz="8" w:color="auto"/>
            </w:tcBorders>
          </w:tcPr>
          <w:p>
            <w:pPr>
              <w:spacing w:after="0"/>
              <w:rPr>
                <w:sz w:val="14"/>
                <w:szCs w:val="14"/>
                <w:color w:val="auto"/>
              </w:rPr>
            </w:pPr>
          </w:p>
        </w:tc>
      </w:tr>
      <w:tr>
        <w:trPr>
          <w:trHeight w:val="142"/>
        </w:trPr>
        <w:tc>
          <w:tcPr>
            <w:tcW w:w="10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60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2480" w:type="dxa"/>
            <w:vAlign w:val="bottom"/>
            <w:tcBorders>
              <w:bottom w:val="single" w:sz="8" w:color="auto"/>
            </w:tcBorders>
          </w:tcPr>
          <w:p>
            <w:pPr>
              <w:ind w:left="1060"/>
              <w:spacing w:after="0" w:line="142" w:lineRule="exact"/>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Date</w:t>
            </w:r>
          </w:p>
        </w:tc>
      </w:tr>
    </w:tbl>
    <w:p>
      <w:pPr>
        <w:spacing w:after="0" w:line="90" w:lineRule="exact"/>
        <w:rPr>
          <w:sz w:val="20"/>
          <w:szCs w:val="20"/>
          <w:color w:val="auto"/>
        </w:rPr>
      </w:pPr>
    </w:p>
    <w:p>
      <w:pPr>
        <w:sectPr>
          <w:pgSz w:w="11900" w:h="16838" w:orient="portrait"/>
          <w:cols w:equalWidth="0" w:num="1">
            <w:col w:w="11240"/>
          </w:cols>
          <w:pgMar w:left="320" w:top="184"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10.9**</w:t>
            </w:r>
          </w:p>
        </w:tc>
        <w:tc>
          <w:tcPr>
            <w:tcW w:w="3920" w:type="dxa"/>
            <w:vAlign w:val="bottom"/>
            <w:tcBorders>
              <w:bottom w:val="single" w:sz="8" w:color="0000EE"/>
            </w:tcBorders>
            <w:gridSpan w:val="11"/>
          </w:tcPr>
          <w:p>
            <w:pPr>
              <w:spacing w:after="0"/>
              <w:rPr>
                <w:rFonts w:ascii="Arial" w:cs="Arial" w:eastAsia="Arial" w:hAnsi="Arial"/>
                <w:sz w:val="18"/>
                <w:szCs w:val="18"/>
                <w:color w:val="0000EE"/>
                <w:w w:val="89"/>
              </w:rPr>
            </w:pPr>
            <w:hyperlink r:id="rId106">
              <w:r>
                <w:rPr>
                  <w:rFonts w:ascii="Arial" w:cs="Arial" w:eastAsia="Arial" w:hAnsi="Arial"/>
                  <w:sz w:val="18"/>
                  <w:szCs w:val="18"/>
                  <w:color w:val="0000EE"/>
                  <w:w w:val="89"/>
                </w:rPr>
                <w:t>Executive Incentive Plan, adopted December 12, 2006</w:t>
              </w:r>
            </w:hyperlink>
          </w:p>
        </w:tc>
        <w:tc>
          <w:tcPr>
            <w:tcW w:w="21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140" w:type="dxa"/>
            <w:vAlign w:val="bottom"/>
          </w:tcPr>
          <w:p>
            <w:pPr>
              <w:spacing w:after="0"/>
              <w:rPr>
                <w:sz w:val="20"/>
                <w:szCs w:val="20"/>
                <w:color w:val="auto"/>
              </w:rPr>
            </w:pPr>
            <w:r>
              <w:rPr>
                <w:rFonts w:ascii="Arial" w:cs="Arial" w:eastAsia="Arial" w:hAnsi="Arial"/>
                <w:sz w:val="18"/>
                <w:szCs w:val="18"/>
                <w:color w:val="auto"/>
              </w:rPr>
              <w:t>10.10**</w:t>
            </w:r>
          </w:p>
        </w:tc>
        <w:tc>
          <w:tcPr>
            <w:tcW w:w="5960" w:type="dxa"/>
            <w:vAlign w:val="bottom"/>
            <w:tcBorders>
              <w:bottom w:val="single" w:sz="8" w:color="0000EE"/>
            </w:tcBorders>
            <w:gridSpan w:val="28"/>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Employment Agreement between Arrowhead and Dr. Christopher Anzalone, dated</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0" w:type="dxa"/>
            <w:vAlign w:val="bottom"/>
            <w:tcBorders>
              <w:bottom w:val="single" w:sz="8" w:color="0000EE"/>
            </w:tcBorders>
          </w:tcPr>
          <w:p>
            <w:pPr>
              <w:spacing w:after="0" w:line="196" w:lineRule="exact"/>
              <w:rPr>
                <w:rFonts w:ascii="Arial" w:cs="Arial" w:eastAsia="Arial" w:hAnsi="Arial"/>
                <w:sz w:val="18"/>
                <w:szCs w:val="18"/>
                <w:color w:val="0000EE"/>
                <w:w w:val="85"/>
              </w:rPr>
            </w:pPr>
            <w:hyperlink r:id="rId107">
              <w:r>
                <w:rPr>
                  <w:rFonts w:ascii="Arial" w:cs="Arial" w:eastAsia="Arial" w:hAnsi="Arial"/>
                  <w:sz w:val="18"/>
                  <w:szCs w:val="18"/>
                  <w:color w:val="0000EE"/>
                  <w:w w:val="85"/>
                </w:rPr>
                <w:t>June 11, 2008</w:t>
              </w:r>
            </w:hyperlink>
          </w:p>
        </w:tc>
        <w:tc>
          <w:tcPr>
            <w:tcW w:w="506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10.11**</w:t>
            </w:r>
          </w:p>
        </w:tc>
        <w:tc>
          <w:tcPr>
            <w:tcW w:w="6060" w:type="dxa"/>
            <w:vAlign w:val="bottom"/>
            <w:gridSpan w:val="32"/>
          </w:tcPr>
          <w:p>
            <w:pPr>
              <w:spacing w:after="0"/>
              <w:rPr>
                <w:rFonts w:ascii="Arial" w:cs="Arial" w:eastAsia="Arial" w:hAnsi="Arial"/>
                <w:sz w:val="18"/>
                <w:szCs w:val="18"/>
                <w:color w:val="0000EE"/>
                <w:w w:val="94"/>
              </w:rPr>
            </w:pPr>
            <w:hyperlink r:id="rId108">
              <w:r>
                <w:rPr>
                  <w:rFonts w:ascii="Arial" w:cs="Arial" w:eastAsia="Arial" w:hAnsi="Arial"/>
                  <w:sz w:val="18"/>
                  <w:szCs w:val="18"/>
                  <w:color w:val="0000EE"/>
                  <w:w w:val="94"/>
                </w:rPr>
                <w:t>Amendment to Employment Agreement between Arrowhead and Dr. Christopher</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Anzalone, effective May 12, 2009</w:t>
              </w:r>
            </w:hyperlink>
          </w:p>
        </w:tc>
        <w:tc>
          <w:tcPr>
            <w:tcW w:w="3400" w:type="dxa"/>
            <w:vAlign w:val="bottom"/>
            <w:tcBorders>
              <w:top w:val="single" w:sz="8" w:color="0000EE"/>
            </w:tcBorders>
            <w:gridSpan w:val="20"/>
          </w:tcPr>
          <w:p>
            <w:pPr>
              <w:spacing w:after="0"/>
              <w:rPr>
                <w:sz w:val="17"/>
                <w:szCs w:val="17"/>
                <w:color w:val="auto"/>
              </w:rPr>
            </w:pPr>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5960" w:type="dxa"/>
            <w:vAlign w:val="bottom"/>
            <w:tcBorders>
              <w:bottom w:val="single" w:sz="8" w:color="0000EE"/>
            </w:tcBorders>
            <w:gridSpan w:val="28"/>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Non-Exclusive License Agreement between Arrowhead Research Corporation and</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60" w:type="dxa"/>
            <w:vAlign w:val="bottom"/>
            <w:gridSpan w:val="32"/>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Roche entities, dated October 21, 2011†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10.13†</w:t>
            </w:r>
          </w:p>
        </w:tc>
        <w:tc>
          <w:tcPr>
            <w:tcW w:w="6060" w:type="dxa"/>
            <w:vAlign w:val="bottom"/>
            <w:gridSpan w:val="32"/>
          </w:tcPr>
          <w:p>
            <w:pPr>
              <w:spacing w:after="0"/>
              <w:rPr>
                <w:rFonts w:ascii="Arial" w:cs="Arial" w:eastAsia="Arial" w:hAnsi="Arial"/>
                <w:sz w:val="18"/>
                <w:szCs w:val="18"/>
                <w:color w:val="0000EE"/>
                <w:w w:val="97"/>
              </w:rPr>
            </w:pPr>
            <w:hyperlink r:id="rId110">
              <w:r>
                <w:rPr>
                  <w:rFonts w:ascii="Arial" w:cs="Arial" w:eastAsia="Arial" w:hAnsi="Arial"/>
                  <w:sz w:val="18"/>
                  <w:szCs w:val="18"/>
                  <w:color w:val="0000EE"/>
                  <w:w w:val="97"/>
                </w:rPr>
                <w:t>Collaboration Agreement by and among Alnylam Pharmaceuticals, Inc. and F.</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7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Hoffmann-La Roche Ltd and Hoffman-La Roche Inc., dated October 29, 2009 †</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10.14†</w:t>
            </w:r>
          </w:p>
        </w:tc>
        <w:tc>
          <w:tcPr>
            <w:tcW w:w="6060" w:type="dxa"/>
            <w:vAlign w:val="bottom"/>
            <w:gridSpan w:val="32"/>
          </w:tcPr>
          <w:p>
            <w:pPr>
              <w:spacing w:after="0"/>
              <w:rPr>
                <w:rFonts w:ascii="Arial" w:cs="Arial" w:eastAsia="Arial" w:hAnsi="Arial"/>
                <w:sz w:val="18"/>
                <w:szCs w:val="18"/>
                <w:color w:val="0000EE"/>
                <w:w w:val="95"/>
              </w:rPr>
            </w:pPr>
            <w:hyperlink r:id="rId111">
              <w:r>
                <w:rPr>
                  <w:rFonts w:ascii="Arial" w:cs="Arial" w:eastAsia="Arial" w:hAnsi="Arial"/>
                  <w:sz w:val="18"/>
                  <w:szCs w:val="18"/>
                  <w:color w:val="0000EE"/>
                  <w:w w:val="95"/>
                </w:rPr>
                <w:t>License Agreement by and between Alnylam Pharmaceuticals, Inc., Arrowhead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7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Research Corporation and Arrowhead Madison, Inc.†</w:t>
              </w:r>
            </w:hyperlink>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0"/>
                <w:szCs w:val="20"/>
                <w:color w:val="auto"/>
              </w:rPr>
            </w:pPr>
            <w:r>
              <w:rPr>
                <w:rFonts w:ascii="Arial" w:cs="Arial" w:eastAsia="Arial" w:hAnsi="Arial"/>
                <w:sz w:val="18"/>
                <w:szCs w:val="18"/>
                <w:color w:val="auto"/>
              </w:rPr>
              <w:t>10.16†</w:t>
            </w:r>
          </w:p>
        </w:tc>
        <w:tc>
          <w:tcPr>
            <w:tcW w:w="6040" w:type="dxa"/>
            <w:vAlign w:val="bottom"/>
            <w:tcBorders>
              <w:bottom w:val="single" w:sz="8" w:color="0000EE"/>
            </w:tcBorders>
            <w:gridSpan w:val="31"/>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First Collaboration and Licensing Agreement between Arrowhead Pharmaceuticals,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Inc. and Amgen Inc., dated September 28, 2016†</w:t>
              </w:r>
            </w:hyperlink>
          </w:p>
        </w:tc>
        <w:tc>
          <w:tcPr>
            <w:tcW w:w="25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10.17†</w:t>
            </w:r>
          </w:p>
        </w:tc>
        <w:tc>
          <w:tcPr>
            <w:tcW w:w="6060" w:type="dxa"/>
            <w:vAlign w:val="bottom"/>
            <w:gridSpan w:val="32"/>
          </w:tcPr>
          <w:p>
            <w:pPr>
              <w:spacing w:after="0"/>
              <w:rPr>
                <w:rFonts w:ascii="Arial" w:cs="Arial" w:eastAsia="Arial" w:hAnsi="Arial"/>
                <w:sz w:val="18"/>
                <w:szCs w:val="18"/>
                <w:color w:val="0000EE"/>
              </w:rPr>
            </w:pPr>
            <w:hyperlink r:id="rId113">
              <w:r>
                <w:rPr>
                  <w:rFonts w:ascii="Arial" w:cs="Arial" w:eastAsia="Arial" w:hAnsi="Arial"/>
                  <w:sz w:val="18"/>
                  <w:szCs w:val="18"/>
                  <w:color w:val="0000EE"/>
                </w:rPr>
                <w:t>Second Collaboration and Licensing Agreement between Arrowhead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960" w:type="dxa"/>
            <w:vAlign w:val="bottom"/>
            <w:tcBorders>
              <w:top w:val="single" w:sz="8" w:color="0000EE"/>
            </w:tcBorders>
            <w:gridSpan w:val="15"/>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Pharmaceuticals, Inc. and Amgen Inc., dated September 28, 2016†</w:t>
              </w:r>
            </w:hyperlink>
          </w:p>
        </w:tc>
        <w:tc>
          <w:tcPr>
            <w:tcW w:w="11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10.18</w:t>
            </w:r>
          </w:p>
        </w:tc>
        <w:tc>
          <w:tcPr>
            <w:tcW w:w="6000" w:type="dxa"/>
            <w:vAlign w:val="bottom"/>
            <w:tcBorders>
              <w:bottom w:val="single" w:sz="8" w:color="0000EE"/>
            </w:tcBorders>
            <w:gridSpan w:val="29"/>
          </w:tcPr>
          <w:p>
            <w:pPr>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Common Stock Purchase Agreement between the Company and Amgen Inc., dated</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60" w:type="dxa"/>
            <w:vAlign w:val="bottom"/>
            <w:gridSpan w:val="32"/>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September 28, 2016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140" w:type="dxa"/>
            <w:vAlign w:val="bottom"/>
          </w:tcPr>
          <w:p>
            <w:pPr>
              <w:spacing w:after="0"/>
              <w:rPr>
                <w:sz w:val="20"/>
                <w:szCs w:val="20"/>
                <w:color w:val="auto"/>
              </w:rPr>
            </w:pPr>
            <w:r>
              <w:rPr>
                <w:rFonts w:ascii="Arial" w:cs="Arial" w:eastAsia="Arial" w:hAnsi="Arial"/>
                <w:sz w:val="18"/>
                <w:szCs w:val="18"/>
                <w:color w:val="auto"/>
              </w:rPr>
              <w:t>10.19†</w:t>
            </w:r>
          </w:p>
        </w:tc>
        <w:tc>
          <w:tcPr>
            <w:tcW w:w="6060" w:type="dxa"/>
            <w:vAlign w:val="bottom"/>
            <w:gridSpan w:val="32"/>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License Agreement by and between Arrowhead Pharmaceuticals, Inc. and Janssen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9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Pharmaceuticals, Inc., dated October 3, 2018†</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10.20†</w:t>
            </w:r>
          </w:p>
        </w:tc>
        <w:tc>
          <w:tcPr>
            <w:tcW w:w="5420" w:type="dxa"/>
            <w:vAlign w:val="bottom"/>
            <w:tcBorders>
              <w:bottom w:val="single" w:sz="8" w:color="0000EE"/>
            </w:tcBorders>
            <w:gridSpan w:val="18"/>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Research Collaboration and Option Agreement by and between Arrowhead</w:t>
              </w:r>
            </w:hyperlink>
          </w:p>
        </w:tc>
        <w:tc>
          <w:tcPr>
            <w:tcW w:w="6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82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r:id="rId116">
              <w:r>
                <w:rPr>
                  <w:rFonts w:ascii="Arial" w:cs="Arial" w:eastAsia="Arial" w:hAnsi="Arial"/>
                  <w:sz w:val="18"/>
                  <w:szCs w:val="18"/>
                  <w:color w:val="0000EE"/>
                  <w:w w:val="88"/>
                </w:rPr>
                <w:t>Pharmaceuticals, Inc. and Janssen Pharmaceuticals, Inc., dated October 3, 2018†</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10.21</w:t>
            </w:r>
          </w:p>
        </w:tc>
        <w:tc>
          <w:tcPr>
            <w:tcW w:w="5900" w:type="dxa"/>
            <w:vAlign w:val="bottom"/>
            <w:tcBorders>
              <w:bottom w:val="single" w:sz="8" w:color="0000EE"/>
            </w:tcBorders>
            <w:gridSpan w:val="26"/>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Stock Purchase Agreement by and between Johnson &amp; Johnson Innovation-JJDC,</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7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Inc. and Arrowhead Pharmaceuticals, Inc., dated October 3, 2018</w:t>
              </w:r>
            </w:hyperlink>
          </w:p>
        </w:tc>
        <w:tc>
          <w:tcPr>
            <w:tcW w:w="13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10.22†</w:t>
            </w:r>
          </w:p>
        </w:tc>
        <w:tc>
          <w:tcPr>
            <w:tcW w:w="5000" w:type="dxa"/>
            <w:vAlign w:val="bottom"/>
            <w:tcBorders>
              <w:bottom w:val="single" w:sz="8" w:color="0000EE"/>
            </w:tcBorders>
            <w:gridSpan w:val="16"/>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Amendment No. 1 to License Agreement by and between Arrowhead</w:t>
              </w:r>
            </w:hyperlink>
          </w:p>
        </w:tc>
        <w:tc>
          <w:tcPr>
            <w:tcW w:w="10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6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r:id="rId118">
              <w:r>
                <w:rPr>
                  <w:rFonts w:ascii="Arial" w:cs="Arial" w:eastAsia="Arial" w:hAnsi="Arial"/>
                  <w:sz w:val="18"/>
                  <w:szCs w:val="18"/>
                  <w:color w:val="0000EE"/>
                  <w:w w:val="88"/>
                </w:rPr>
                <w:t>Pharmaceuticals, Inc. and Janssen Pharmaceuticals, Inc., dated December 18, 2018†</w:t>
              </w:r>
            </w:hyperlink>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10.23†</w:t>
            </w:r>
          </w:p>
        </w:tc>
        <w:tc>
          <w:tcPr>
            <w:tcW w:w="5000" w:type="dxa"/>
            <w:vAlign w:val="bottom"/>
            <w:tcBorders>
              <w:bottom w:val="single" w:sz="8" w:color="0000EE"/>
            </w:tcBorders>
            <w:gridSpan w:val="16"/>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Amendment No. 2 to License Agreement by and between Arrowhead</w:t>
              </w:r>
            </w:hyperlink>
          </w:p>
        </w:tc>
        <w:tc>
          <w:tcPr>
            <w:tcW w:w="10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60" w:type="dxa"/>
            <w:vAlign w:val="bottom"/>
            <w:gridSpan w:val="32"/>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Pharmaceuticals, Inc. and Janssen Pharmaceuticals, Inc., dated February 4, 2019†</w:t>
              </w:r>
            </w:hyperlink>
          </w:p>
        </w:tc>
        <w:tc>
          <w:tcPr>
            <w:tcW w:w="0" w:type="dxa"/>
            <w:vAlign w:val="bottom"/>
          </w:tcPr>
          <w:p>
            <w:pPr>
              <w:spacing w:after="0"/>
              <w:rPr>
                <w:sz w:val="1"/>
                <w:szCs w:val="1"/>
                <w:color w:val="auto"/>
              </w:rPr>
            </w:pPr>
          </w:p>
        </w:tc>
      </w:tr>
      <w:tr>
        <w:trPr>
          <w:trHeight w:val="534"/>
        </w:trPr>
        <w:tc>
          <w:tcPr>
            <w:tcW w:w="1140" w:type="dxa"/>
            <w:vAlign w:val="bottom"/>
          </w:tcPr>
          <w:p>
            <w:pPr>
              <w:spacing w:after="0"/>
              <w:rPr>
                <w:sz w:val="20"/>
                <w:szCs w:val="20"/>
                <w:color w:val="auto"/>
              </w:rPr>
            </w:pPr>
            <w:r>
              <w:rPr>
                <w:rFonts w:ascii="Arial" w:cs="Arial" w:eastAsia="Arial" w:hAnsi="Arial"/>
                <w:sz w:val="18"/>
                <w:szCs w:val="18"/>
                <w:color w:val="auto"/>
              </w:rPr>
              <w:t>10.24†</w:t>
            </w:r>
          </w:p>
        </w:tc>
        <w:tc>
          <w:tcPr>
            <w:tcW w:w="5880" w:type="dxa"/>
            <w:vAlign w:val="bottom"/>
            <w:tcBorders>
              <w:top w:val="single" w:sz="8" w:color="0000EE"/>
            </w:tcBorders>
            <w:gridSpan w:val="25"/>
          </w:tcPr>
          <w:p>
            <w:pPr>
              <w:spacing w:after="0"/>
              <w:rPr>
                <w:rFonts w:ascii="Arial" w:cs="Arial" w:eastAsia="Arial" w:hAnsi="Arial"/>
                <w:sz w:val="18"/>
                <w:szCs w:val="18"/>
                <w:color w:val="0000EE"/>
                <w:w w:val="97"/>
              </w:rPr>
            </w:pPr>
            <w:hyperlink r:id="rId120">
              <w:r>
                <w:rPr>
                  <w:rFonts w:ascii="Arial" w:cs="Arial" w:eastAsia="Arial" w:hAnsi="Arial"/>
                  <w:sz w:val="18"/>
                  <w:szCs w:val="18"/>
                  <w:color w:val="0000EE"/>
                  <w:w w:val="97"/>
                </w:rPr>
                <w:t>Amendment No. 1 to Research Collaboration and Option Agreement by and</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02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r:id="rId120">
              <w:r>
                <w:rPr>
                  <w:rFonts w:ascii="Arial" w:cs="Arial" w:eastAsia="Arial" w:hAnsi="Arial"/>
                  <w:sz w:val="18"/>
                  <w:szCs w:val="18"/>
                  <w:color w:val="0000EE"/>
                  <w:w w:val="88"/>
                </w:rPr>
                <w:t>between Arrowhead Pharmaceuticals, Inc. and Janssen Pharmaceuticals, Inc., dated</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60" w:type="dxa"/>
            <w:vAlign w:val="bottom"/>
            <w:gridSpan w:val="32"/>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November 14, 2019†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10.25</w:t>
            </w:r>
          </w:p>
        </w:tc>
        <w:tc>
          <w:tcPr>
            <w:tcW w:w="6060" w:type="dxa"/>
            <w:vAlign w:val="bottom"/>
            <w:gridSpan w:val="32"/>
          </w:tcPr>
          <w:p>
            <w:pPr>
              <w:spacing w:after="0"/>
              <w:rPr>
                <w:rFonts w:ascii="Arial" w:cs="Arial" w:eastAsia="Arial" w:hAnsi="Arial"/>
                <w:sz w:val="18"/>
                <w:szCs w:val="18"/>
                <w:color w:val="0000EE"/>
              </w:rPr>
            </w:pPr>
            <w:hyperlink r:id="rId121">
              <w:r>
                <w:rPr>
                  <w:rFonts w:ascii="Arial" w:cs="Arial" w:eastAsia="Arial" w:hAnsi="Arial"/>
                  <w:sz w:val="18"/>
                  <w:szCs w:val="18"/>
                  <w:color w:val="0000EE"/>
                </w:rPr>
                <w:t>Office Lease by and between 177 Colorado Owner LLC and Arrowhead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Pharmaceuticals, Inc., dated April 17, 2019</w:t>
              </w:r>
            </w:hyperlink>
          </w:p>
        </w:tc>
        <w:tc>
          <w:tcPr>
            <w:tcW w:w="8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Arial" w:cs="Arial" w:eastAsia="Arial" w:hAnsi="Arial"/>
                <w:sz w:val="18"/>
                <w:szCs w:val="18"/>
                <w:color w:val="auto"/>
              </w:rPr>
              <w:t>10.26</w:t>
            </w:r>
          </w:p>
        </w:tc>
        <w:tc>
          <w:tcPr>
            <w:tcW w:w="4860" w:type="dxa"/>
            <w:vAlign w:val="bottom"/>
            <w:tcBorders>
              <w:bottom w:val="single" w:sz="8" w:color="0000EE"/>
            </w:tcBorders>
            <w:gridSpan w:val="14"/>
          </w:tcPr>
          <w:p>
            <w:pPr>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Amendment No. 1 to Lease Agreement by and between Arrowhead</w:t>
              </w:r>
            </w:hyperlink>
          </w:p>
        </w:tc>
        <w:tc>
          <w:tcPr>
            <w:tcW w:w="12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060" w:type="dxa"/>
            <w:vAlign w:val="bottom"/>
            <w:gridSpan w:val="32"/>
          </w:tcPr>
          <w:p>
            <w:pPr>
              <w:spacing w:after="0" w:line="196" w:lineRule="exact"/>
              <w:rPr>
                <w:rFonts w:ascii="Arial" w:cs="Arial" w:eastAsia="Arial" w:hAnsi="Arial"/>
                <w:sz w:val="18"/>
                <w:szCs w:val="18"/>
                <w:color w:val="0000EE"/>
                <w:w w:val="97"/>
              </w:rPr>
            </w:pPr>
            <w:hyperlink r:id="rId122">
              <w:r>
                <w:rPr>
                  <w:rFonts w:ascii="Arial" w:cs="Arial" w:eastAsia="Arial" w:hAnsi="Arial"/>
                  <w:sz w:val="18"/>
                  <w:szCs w:val="18"/>
                  <w:color w:val="0000EE"/>
                  <w:w w:val="97"/>
                </w:rPr>
                <w:t>Pharmaceuticals, Inc. and 177 Colorado Owner LLC., dated October 23, 2020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60" w:type="dxa"/>
            <w:vAlign w:val="bottom"/>
            <w:gridSpan w:val="5"/>
            <w:shd w:val="clear" w:color="auto" w:fill="0000EE"/>
          </w:tcPr>
          <w:p>
            <w:pPr>
              <w:spacing w:after="0" w:line="20" w:lineRule="exact"/>
              <w:rPr>
                <w:sz w:val="1"/>
                <w:szCs w:val="1"/>
                <w:color w:val="auto"/>
              </w:rPr>
            </w:pPr>
          </w:p>
        </w:tc>
        <w:tc>
          <w:tcPr>
            <w:tcW w:w="2960" w:type="dxa"/>
            <w:vAlign w:val="bottom"/>
            <w:gridSpan w:val="15"/>
            <w:shd w:val="clear" w:color="auto" w:fill="0000EE"/>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060" w:type="dxa"/>
            <w:vAlign w:val="bottom"/>
            <w:gridSpan w:val="32"/>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Lease Agreement between University Research Park, Incorporated and Arrowhead</w:t>
              </w:r>
            </w:hyperlink>
          </w:p>
        </w:tc>
        <w:tc>
          <w:tcPr>
            <w:tcW w:w="0" w:type="dxa"/>
            <w:vAlign w:val="bottom"/>
          </w:tcPr>
          <w:p>
            <w:pPr>
              <w:spacing w:after="0"/>
              <w:rPr>
                <w:sz w:val="1"/>
                <w:szCs w:val="1"/>
                <w:color w:val="auto"/>
              </w:rPr>
            </w:pPr>
          </w:p>
        </w:tc>
      </w:tr>
      <w:tr>
        <w:trPr>
          <w:trHeight w:val="196"/>
        </w:trPr>
        <w:tc>
          <w:tcPr>
            <w:tcW w:w="1140" w:type="dxa"/>
            <w:vAlign w:val="bottom"/>
            <w:vMerge w:val="restart"/>
          </w:tcPr>
          <w:p>
            <w:pPr>
              <w:spacing w:after="0"/>
              <w:rPr>
                <w:sz w:val="20"/>
                <w:szCs w:val="20"/>
                <w:color w:val="auto"/>
              </w:rPr>
            </w:pPr>
            <w:r>
              <w:rPr>
                <w:rFonts w:ascii="Arial" w:cs="Arial" w:eastAsia="Arial" w:hAnsi="Arial"/>
                <w:sz w:val="18"/>
                <w:szCs w:val="18"/>
                <w:color w:val="auto"/>
              </w:rPr>
              <w:t>10.27</w:t>
            </w:r>
          </w:p>
        </w:tc>
        <w:tc>
          <w:tcPr>
            <w:tcW w:w="59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Madison, Inc., dated January 8, 2016</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vMerge w:val="continue"/>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9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140" w:type="dxa"/>
            <w:vAlign w:val="bottom"/>
          </w:tcPr>
          <w:p>
            <w:pPr>
              <w:spacing w:after="0"/>
              <w:rPr>
                <w:sz w:val="24"/>
                <w:szCs w:val="24"/>
                <w:color w:val="auto"/>
              </w:rPr>
            </w:pPr>
          </w:p>
        </w:tc>
        <w:tc>
          <w:tcPr>
            <w:tcW w:w="4720" w:type="dxa"/>
            <w:vAlign w:val="bottom"/>
            <w:gridSpan w:val="12"/>
          </w:tcPr>
          <w:p>
            <w:pPr>
              <w:ind w:left="440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Annual Report on Form 10-K, as Exhibit 10.11</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Current Report on Form 8-K, as Exhibit 10.1</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Annual Report on Form 10-K, as Exhibit 10.8</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Annual Report on Form 10-K, as Exhibit 10.33</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Annual Report on Form 10-K, as Exhibit 10.36</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Quarterly Report on Form 10-Q, as Exhibit 10.1</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Annual Report on Form 10-K, as Exhibit 10.18</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Annual Report on Form 10-K, as Exhibit 10.19</w:t>
      </w:r>
    </w:p>
    <w:p>
      <w:pPr>
        <w:spacing w:after="0" w:line="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Amendment No. 1 to the Registration Statement on Form S-3, as Exhibit 10.1)</w:t>
      </w:r>
    </w:p>
    <w:p>
      <w:pPr>
        <w:spacing w:after="0" w:line="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Quarterly Report on Form 10-Q, as Exhibit 10.1</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Quarterly Report on Form 10-Q, as Exhibit 10.2</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Quarterly Report on Form 10-Q, as Exhibit 10.3</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Annual Report on Form 10-Q, as Exhibit 10.19</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Annual Report on Form 10-K, as Exhibit 10.20</w:t>
      </w: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Annual Report on Form 10-K, as Exhibit 10.21</w:t>
      </w:r>
    </w:p>
    <w:p>
      <w:pPr>
        <w:spacing w:after="0" w:line="2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Quarterly Report on Form 10-Q, as Exhibit 10.1</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Quarterly Report on Form 10-Q, as Exhibit 10.2</w:t>
      </w:r>
    </w:p>
    <w:p>
      <w:pPr>
        <w:spacing w:after="0" w:line="3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Quarterly Report on Form 10-Q, as Exhibit 10.1</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December 14, 2006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June 13, 2008</w:t>
      </w:r>
    </w:p>
    <w:p>
      <w:pPr>
        <w:spacing w:after="0" w:line="3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December 22, 2009</w:t>
      </w:r>
    </w:p>
    <w:p>
      <w:pPr>
        <w:spacing w:after="0" w:line="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December 20, 2011</w:t>
      </w:r>
    </w:p>
    <w:p>
      <w:pPr>
        <w:spacing w:after="0" w:line="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December 20, 2011</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August 12, 2014</w:t>
      </w:r>
    </w:p>
    <w:p>
      <w:pPr>
        <w:spacing w:after="0" w:line="200" w:lineRule="exact"/>
        <w:rPr>
          <w:sz w:val="20"/>
          <w:szCs w:val="20"/>
          <w:color w:val="auto"/>
        </w:rPr>
      </w:pPr>
    </w:p>
    <w:p>
      <w:pPr>
        <w:spacing w:after="0" w:line="2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December 14, 2016</w:t>
      </w:r>
    </w:p>
    <w:p>
      <w:pPr>
        <w:spacing w:after="0" w:line="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December 14, 2016</w:t>
      </w:r>
    </w:p>
    <w:p>
      <w:pPr>
        <w:spacing w:after="0" w:line="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November 25, 2016</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February 7, 2019</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7, 2019</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February 7, 2019</w:t>
      </w:r>
    </w:p>
    <w:p>
      <w:pPr>
        <w:spacing w:after="0" w:line="3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November 25, 2019</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November 25, 2019</w:t>
      </w:r>
    </w:p>
    <w:p>
      <w:pPr>
        <w:spacing w:after="0" w:line="29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November 25,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August 5, 2019</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February 4, 2021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February 9. 2016</w:t>
      </w:r>
    </w:p>
    <w:p>
      <w:pPr>
        <w:sectPr>
          <w:pgSz w:w="11900" w:h="16838" w:orient="portrait"/>
          <w:cols w:equalWidth="0" w:num="3">
            <w:col w:w="7200" w:space="120"/>
            <w:col w:w="2380" w:space="200"/>
            <w:col w:w="1340"/>
          </w:cols>
          <w:pgMar w:left="320" w:top="184" w:right="3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080" w:type="dxa"/>
            <w:vAlign w:val="bottom"/>
            <w:gridSpan w:val="21"/>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10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10.28</w:t>
            </w:r>
          </w:p>
        </w:tc>
        <w:tc>
          <w:tcPr>
            <w:tcW w:w="120" w:type="dxa"/>
            <w:vAlign w:val="bottom"/>
          </w:tcPr>
          <w:p>
            <w:pPr>
              <w:spacing w:after="0"/>
              <w:rPr>
                <w:sz w:val="14"/>
                <w:szCs w:val="14"/>
                <w:color w:val="auto"/>
              </w:rPr>
            </w:pPr>
          </w:p>
        </w:tc>
        <w:tc>
          <w:tcPr>
            <w:tcW w:w="5920" w:type="dxa"/>
            <w:vAlign w:val="bottom"/>
            <w:tcBorders>
              <w:top w:val="single" w:sz="8" w:color="auto"/>
              <w:bottom w:val="single" w:sz="8" w:color="0000EE"/>
            </w:tcBorders>
            <w:gridSpan w:val="19"/>
          </w:tcPr>
          <w:p>
            <w:pPr>
              <w:spacing w:after="0" w:line="169" w:lineRule="exact"/>
              <w:rPr>
                <w:rFonts w:ascii="Arial" w:cs="Arial" w:eastAsia="Arial" w:hAnsi="Arial"/>
                <w:sz w:val="18"/>
                <w:szCs w:val="18"/>
                <w:color w:val="0000EE"/>
                <w:w w:val="90"/>
              </w:rPr>
            </w:pPr>
            <w:hyperlink r:id="rId125">
              <w:r>
                <w:rPr>
                  <w:rFonts w:ascii="Arial" w:cs="Arial" w:eastAsia="Arial" w:hAnsi="Arial"/>
                  <w:sz w:val="18"/>
                  <w:szCs w:val="18"/>
                  <w:color w:val="0000EE"/>
                  <w:w w:val="90"/>
                </w:rPr>
                <w:t>Amendment No. 1 to Lease Agreement between Arrowhead Pharmaceuticals, Inc.</w:t>
              </w:r>
            </w:hyperlink>
          </w:p>
        </w:tc>
        <w:tc>
          <w:tcPr>
            <w:tcW w:w="160" w:type="dxa"/>
            <w:vAlign w:val="bottom"/>
            <w:tcBorders>
              <w:top w:val="single" w:sz="8" w:color="auto"/>
            </w:tcBorders>
            <w:gridSpan w:val="2"/>
          </w:tcPr>
          <w:p>
            <w:pPr>
              <w:spacing w:after="0"/>
              <w:rPr>
                <w:sz w:val="14"/>
                <w:szCs w:val="1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and University Research Park, Incorporated, dated October 22, 2018</w:t>
              </w:r>
            </w:hyperlink>
          </w:p>
        </w:tc>
        <w:tc>
          <w:tcPr>
            <w:tcW w:w="1140" w:type="dxa"/>
            <w:vAlign w:val="bottom"/>
            <w:gridSpan w:val="12"/>
          </w:tcPr>
          <w:p>
            <w:pPr>
              <w:spacing w:after="0"/>
              <w:rPr>
                <w:sz w:val="17"/>
                <w:szCs w:val="17"/>
                <w:color w:val="auto"/>
              </w:rPr>
            </w:pPr>
          </w:p>
        </w:tc>
      </w:tr>
      <w:tr>
        <w:trPr>
          <w:trHeight w:val="534"/>
        </w:trPr>
        <w:tc>
          <w:tcPr>
            <w:tcW w:w="1020" w:type="dxa"/>
            <w:vAlign w:val="bottom"/>
          </w:tcPr>
          <w:p>
            <w:pPr>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5920" w:type="dxa"/>
            <w:vAlign w:val="bottom"/>
            <w:tcBorders>
              <w:bottom w:val="single" w:sz="8" w:color="0000EE"/>
            </w:tcBorders>
            <w:gridSpan w:val="19"/>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Amendment No. 2 to Lease Agreement between Arrowhead Pharmaceuticals, Inc.</w:t>
              </w:r>
            </w:hyperlink>
          </w:p>
        </w:tc>
        <w:tc>
          <w:tcPr>
            <w:tcW w:w="16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and University Research Park, Incorporated, dated January 10, 2019</w:t>
              </w:r>
            </w:hyperlink>
          </w:p>
        </w:tc>
        <w:tc>
          <w:tcPr>
            <w:tcW w:w="1160" w:type="dxa"/>
            <w:vAlign w:val="bottom"/>
            <w:gridSpan w:val="13"/>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5920" w:type="dxa"/>
            <w:vAlign w:val="bottom"/>
            <w:tcBorders>
              <w:bottom w:val="single" w:sz="8" w:color="0000EE"/>
            </w:tcBorders>
            <w:gridSpan w:val="19"/>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Amendment No. 3 to Lease Agreement between Arrowhead Pharmaceuticals, Inc.</w:t>
              </w:r>
            </w:hyperlink>
          </w:p>
        </w:tc>
        <w:tc>
          <w:tcPr>
            <w:tcW w:w="16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80" w:type="dxa"/>
            <w:vAlign w:val="bottom"/>
            <w:gridSpan w:val="21"/>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and University Research Park, Incorporated, dated January 11, 2019</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5920" w:type="dxa"/>
            <w:vAlign w:val="bottom"/>
            <w:tcBorders>
              <w:bottom w:val="single" w:sz="8" w:color="0000EE"/>
            </w:tcBorders>
            <w:gridSpan w:val="19"/>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Amendment No. 4 to Lease Agreement between Arrowhead Pharmaceuticals, Inc.</w:t>
              </w:r>
            </w:hyperlink>
          </w:p>
        </w:tc>
        <w:tc>
          <w:tcPr>
            <w:tcW w:w="16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80" w:type="dxa"/>
            <w:vAlign w:val="bottom"/>
            <w:gridSpan w:val="21"/>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and University Research Park, Incorporated, dated September 19, 2019</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5920" w:type="dxa"/>
            <w:vAlign w:val="bottom"/>
            <w:tcBorders>
              <w:bottom w:val="single" w:sz="8" w:color="0000EE"/>
            </w:tcBorders>
            <w:gridSpan w:val="19"/>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Amendment No. 5 to Lease Agreement between Arrowhead Pharmaceuticals, Inc.</w:t>
              </w:r>
            </w:hyperlink>
          </w:p>
        </w:tc>
        <w:tc>
          <w:tcPr>
            <w:tcW w:w="16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80" w:type="dxa"/>
            <w:vAlign w:val="bottom"/>
            <w:gridSpan w:val="21"/>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and University Research Park, Incorporated, dated May 14, 2020</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4900" w:type="dxa"/>
            <w:vAlign w:val="bottom"/>
            <w:tcBorders>
              <w:bottom w:val="single" w:sz="8" w:color="0000EE"/>
            </w:tcBorders>
            <w:gridSpan w:val="7"/>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Amendment No. 6 to Lease Agreement by and between Arrowhead</w:t>
              </w:r>
            </w:hyperlink>
          </w:p>
        </w:tc>
        <w:tc>
          <w:tcPr>
            <w:tcW w:w="1180" w:type="dxa"/>
            <w:vAlign w:val="bottom"/>
            <w:gridSpan w:val="1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30">
              <w:r>
                <w:rPr>
                  <w:rFonts w:ascii="Arial" w:cs="Arial" w:eastAsia="Arial" w:hAnsi="Arial"/>
                  <w:sz w:val="18"/>
                  <w:szCs w:val="18"/>
                  <w:color w:val="0000EE"/>
                  <w:w w:val="89"/>
                </w:rPr>
                <w:t>Pharmaceuticals, Inc. and University Research Park, dated November 23, 2020</w:t>
              </w:r>
            </w:hyperlink>
          </w:p>
        </w:tc>
        <w:tc>
          <w:tcPr>
            <w:tcW w:w="380" w:type="dxa"/>
            <w:vAlign w:val="bottom"/>
            <w:gridSpan w:val="7"/>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4"/>
                <w:szCs w:val="24"/>
                <w:color w:val="auto"/>
              </w:rPr>
            </w:pPr>
          </w:p>
        </w:tc>
        <w:tc>
          <w:tcPr>
            <w:tcW w:w="4900" w:type="dxa"/>
            <w:vAlign w:val="bottom"/>
            <w:tcBorders>
              <w:bottom w:val="single" w:sz="8" w:color="0000EE"/>
            </w:tcBorders>
            <w:gridSpan w:val="7"/>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Amendment No. 7 to Lease Agreement by and between Arrowhead</w:t>
              </w:r>
            </w:hyperlink>
          </w:p>
        </w:tc>
        <w:tc>
          <w:tcPr>
            <w:tcW w:w="1180" w:type="dxa"/>
            <w:vAlign w:val="bottom"/>
            <w:gridSpan w:val="1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80" w:type="dxa"/>
            <w:vAlign w:val="bottom"/>
            <w:gridSpan w:val="21"/>
          </w:tcPr>
          <w:p>
            <w:pPr>
              <w:spacing w:after="0" w:line="196" w:lineRule="exact"/>
              <w:rPr>
                <w:rFonts w:ascii="Arial" w:cs="Arial" w:eastAsia="Arial" w:hAnsi="Arial"/>
                <w:sz w:val="18"/>
                <w:szCs w:val="18"/>
                <w:color w:val="0000EE"/>
                <w:w w:val="97"/>
              </w:rPr>
            </w:pPr>
            <w:hyperlink r:id="rId131">
              <w:r>
                <w:rPr>
                  <w:rFonts w:ascii="Arial" w:cs="Arial" w:eastAsia="Arial" w:hAnsi="Arial"/>
                  <w:sz w:val="18"/>
                  <w:szCs w:val="18"/>
                  <w:color w:val="0000EE"/>
                  <w:w w:val="97"/>
                </w:rPr>
                <w:t>Pharmaceuticals, Inc. and University Research Park, dated December 9, 2020</w:t>
              </w:r>
            </w:hyperlink>
          </w:p>
        </w:tc>
      </w:tr>
      <w:tr>
        <w:trPr>
          <w:trHeight w:val="534"/>
        </w:trPr>
        <w:tc>
          <w:tcPr>
            <w:tcW w:w="1140" w:type="dxa"/>
            <w:vAlign w:val="bottom"/>
            <w:gridSpan w:val="2"/>
          </w:tcPr>
          <w:p>
            <w:pPr>
              <w:spacing w:after="0"/>
              <w:rPr>
                <w:sz w:val="20"/>
                <w:szCs w:val="20"/>
                <w:color w:val="auto"/>
              </w:rPr>
            </w:pPr>
            <w:r>
              <w:rPr>
                <w:rFonts w:ascii="Arial" w:cs="Arial" w:eastAsia="Arial" w:hAnsi="Arial"/>
                <w:sz w:val="18"/>
                <w:szCs w:val="18"/>
                <w:color w:val="auto"/>
              </w:rPr>
              <w:t>10.35†</w:t>
            </w:r>
          </w:p>
        </w:tc>
        <w:tc>
          <w:tcPr>
            <w:tcW w:w="5580" w:type="dxa"/>
            <w:vAlign w:val="bottom"/>
            <w:tcBorders>
              <w:top w:val="single" w:sz="8" w:color="0000EE"/>
            </w:tcBorders>
            <w:gridSpan w:val="13"/>
          </w:tcPr>
          <w:p>
            <w:pPr>
              <w:spacing w:after="0"/>
              <w:rPr>
                <w:rFonts w:ascii="Arial" w:cs="Arial" w:eastAsia="Arial" w:hAnsi="Arial"/>
                <w:sz w:val="18"/>
                <w:szCs w:val="18"/>
                <w:color w:val="0000EE"/>
              </w:rPr>
            </w:pPr>
            <w:hyperlink r:id="rId132">
              <w:r>
                <w:rPr>
                  <w:rFonts w:ascii="Arial" w:cs="Arial" w:eastAsia="Arial" w:hAnsi="Arial"/>
                  <w:sz w:val="18"/>
                  <w:szCs w:val="18"/>
                  <w:color w:val="0000EE"/>
                </w:rPr>
                <w:t>Sublease Agreement by and between Halozyme, Inc. and Arrowhead</w:t>
              </w:r>
            </w:hyperlink>
          </w:p>
        </w:tc>
        <w:tc>
          <w:tcPr>
            <w:tcW w:w="50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Pharmaceuticals, Inc. dated March 3, 2020†</w:t>
              </w:r>
            </w:hyperlink>
          </w:p>
        </w:tc>
        <w:tc>
          <w:tcPr>
            <w:tcW w:w="1120" w:type="dxa"/>
            <w:vAlign w:val="bottom"/>
            <w:gridSpan w:val="11"/>
          </w:tcPr>
          <w:p>
            <w:pPr>
              <w:spacing w:after="0"/>
              <w:rPr>
                <w:sz w:val="17"/>
                <w:szCs w:val="17"/>
                <w:color w:val="auto"/>
              </w:rPr>
            </w:pPr>
          </w:p>
        </w:tc>
      </w:tr>
      <w:tr>
        <w:trPr>
          <w:trHeight w:val="20"/>
        </w:trPr>
        <w:tc>
          <w:tcPr>
            <w:tcW w:w="114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10.36†</w:t>
            </w:r>
          </w:p>
        </w:tc>
        <w:tc>
          <w:tcPr>
            <w:tcW w:w="6080" w:type="dxa"/>
            <w:vAlign w:val="bottom"/>
            <w:gridSpan w:val="21"/>
          </w:tcPr>
          <w:p>
            <w:pPr>
              <w:spacing w:after="0"/>
              <w:rPr>
                <w:rFonts w:ascii="Arial" w:cs="Arial" w:eastAsia="Arial" w:hAnsi="Arial"/>
                <w:sz w:val="18"/>
                <w:szCs w:val="18"/>
                <w:color w:val="0000EE"/>
              </w:rPr>
            </w:pPr>
            <w:hyperlink r:id="rId133">
              <w:r>
                <w:rPr>
                  <w:rFonts w:ascii="Arial" w:cs="Arial" w:eastAsia="Arial" w:hAnsi="Arial"/>
                  <w:sz w:val="18"/>
                  <w:szCs w:val="18"/>
                  <w:color w:val="0000EE"/>
                </w:rPr>
                <w:t>Collaboration and License Agreement by and between Arrowhead</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98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80" w:type="dxa"/>
            <w:vAlign w:val="bottom"/>
            <w:gridSpan w:val="21"/>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Pharmaceuticals, Inc. and Horizon Therapeutics Ireland DAC, dated June 18, 2021</w:t>
              </w:r>
            </w:hyperlink>
            <w:r>
              <w:rPr>
                <w:rFonts w:ascii="Arial" w:cs="Arial" w:eastAsia="Arial" w:hAnsi="Arial"/>
                <w:sz w:val="18"/>
                <w:szCs w:val="18"/>
                <w:color w:val="000000"/>
                <w:w w:val="90"/>
              </w:rPr>
              <w:t>†</w:t>
            </w: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10.37†</w:t>
            </w:r>
          </w:p>
        </w:tc>
        <w:tc>
          <w:tcPr>
            <w:tcW w:w="5960" w:type="dxa"/>
            <w:vAlign w:val="bottom"/>
            <w:tcBorders>
              <w:top w:val="single" w:sz="8" w:color="0000EE"/>
            </w:tcBorders>
            <w:gridSpan w:val="20"/>
          </w:tcPr>
          <w:p>
            <w:pPr>
              <w:spacing w:after="0"/>
              <w:rPr>
                <w:rFonts w:ascii="Arial" w:cs="Arial" w:eastAsia="Arial" w:hAnsi="Arial"/>
                <w:sz w:val="18"/>
                <w:szCs w:val="18"/>
                <w:color w:val="0000EE"/>
                <w:w w:val="99"/>
              </w:rPr>
            </w:pPr>
            <w:hyperlink r:id="rId134">
              <w:r>
                <w:rPr>
                  <w:rFonts w:ascii="Arial" w:cs="Arial" w:eastAsia="Arial" w:hAnsi="Arial"/>
                  <w:sz w:val="18"/>
                  <w:szCs w:val="18"/>
                  <w:color w:val="0000EE"/>
                  <w:w w:val="99"/>
                </w:rPr>
                <w:t>Exclusive License and Co-Funding Agreement by and between Arrowhead</w:t>
              </w:r>
            </w:hyperlink>
          </w:p>
        </w:tc>
        <w:tc>
          <w:tcPr>
            <w:tcW w:w="12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98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8"/>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34">
              <w:r>
                <w:rPr>
                  <w:rFonts w:ascii="Arial" w:cs="Arial" w:eastAsia="Arial" w:hAnsi="Arial"/>
                  <w:sz w:val="18"/>
                  <w:szCs w:val="18"/>
                  <w:color w:val="0000EE"/>
                  <w:w w:val="89"/>
                </w:rPr>
                <w:t>Pharmaceuticals, Inc. and Takeda Pharmaceuticals U.S.A., Inc., dated October 7,</w:t>
              </w:r>
            </w:hyperlink>
          </w:p>
        </w:tc>
        <w:tc>
          <w:tcPr>
            <w:tcW w:w="24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80" w:type="dxa"/>
            <w:vAlign w:val="bottom"/>
            <w:gridSpan w:val="21"/>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2020</w:t>
              </w:r>
              <w:r>
                <w:rPr>
                  <w:rFonts w:ascii="Arial" w:cs="Arial" w:eastAsia="Arial" w:hAnsi="Arial"/>
                  <w:sz w:val="18"/>
                  <w:szCs w:val="18"/>
                  <w:color w:val="000000"/>
                </w:rPr>
                <w:t>†</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17"/>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6080" w:type="dxa"/>
            <w:vAlign w:val="bottom"/>
            <w:gridSpan w:val="21"/>
          </w:tcPr>
          <w:p>
            <w:pPr>
              <w:spacing w:after="0"/>
              <w:rPr>
                <w:sz w:val="20"/>
                <w:szCs w:val="20"/>
                <w:color w:val="auto"/>
              </w:rPr>
            </w:pPr>
            <w:r>
              <w:rPr>
                <w:rFonts w:ascii="Arial" w:cs="Arial" w:eastAsia="Arial" w:hAnsi="Arial"/>
                <w:sz w:val="18"/>
                <w:szCs w:val="18"/>
                <w:color w:val="0000EE"/>
              </w:rPr>
              <w:t>List of Subsidiaries</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980" w:type="dxa"/>
            <w:vAlign w:val="bottom"/>
            <w:tcBorders>
              <w:left w:val="single" w:sz="8" w:color="0000EE"/>
            </w:tcBorders>
            <w:gridSpan w:val="2"/>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3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Consent of Independent Public Registered Accounting Firm</w:t>
            </w:r>
          </w:p>
        </w:tc>
        <w:tc>
          <w:tcPr>
            <w:tcW w:w="1760" w:type="dxa"/>
            <w:vAlign w:val="bottom"/>
            <w:gridSpan w:val="17"/>
          </w:tcPr>
          <w:p>
            <w:pPr>
              <w:spacing w:after="0"/>
              <w:rPr>
                <w:sz w:val="24"/>
                <w:szCs w:val="24"/>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84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100">
              <w:r>
                <w:rPr>
                  <w:rFonts w:ascii="Arial" w:cs="Arial" w:eastAsia="Arial" w:hAnsi="Arial"/>
                  <w:sz w:val="18"/>
                  <w:szCs w:val="18"/>
                  <w:color w:val="0000EE"/>
                  <w:w w:val="91"/>
                </w:rPr>
                <w:t>Certification of Chief Executive Officer pursuant to Section 302 of the Sarbanes-</w:t>
              </w:r>
            </w:hyperlink>
          </w:p>
        </w:tc>
        <w:tc>
          <w:tcPr>
            <w:tcW w:w="24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80" w:type="dxa"/>
            <w:vAlign w:val="bottom"/>
            <w:gridSpan w:val="21"/>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Oxley Act of 2002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44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6080" w:type="dxa"/>
            <w:vAlign w:val="bottom"/>
            <w:gridSpan w:val="21"/>
          </w:tcPr>
          <w:p>
            <w:pPr>
              <w:spacing w:after="0"/>
              <w:rPr>
                <w:rFonts w:ascii="Arial" w:cs="Arial" w:eastAsia="Arial" w:hAnsi="Arial"/>
                <w:sz w:val="18"/>
                <w:szCs w:val="18"/>
                <w:color w:val="0000EE"/>
                <w:w w:val="96"/>
              </w:rPr>
            </w:pPr>
            <w:hyperlink w:anchor="page101">
              <w:r>
                <w:rPr>
                  <w:rFonts w:ascii="Arial" w:cs="Arial" w:eastAsia="Arial" w:hAnsi="Arial"/>
                  <w:sz w:val="18"/>
                  <w:szCs w:val="18"/>
                  <w:color w:val="0000EE"/>
                  <w:w w:val="96"/>
                </w:rPr>
                <w:t>Certification of Chief Financial Officer pursuant to Section 302 of the Sarbanes-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Oxley Act of 2002</w:t>
              </w:r>
            </w:hyperlink>
          </w:p>
        </w:tc>
        <w:tc>
          <w:tcPr>
            <w:tcW w:w="300" w:type="dxa"/>
            <w:vAlign w:val="bottom"/>
            <w:gridSpan w:val="6"/>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48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17"/>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6080" w:type="dxa"/>
            <w:vAlign w:val="bottom"/>
            <w:gridSpan w:val="21"/>
          </w:tcPr>
          <w:p>
            <w:pPr>
              <w:spacing w:after="0"/>
              <w:rPr>
                <w:rFonts w:ascii="Arial" w:cs="Arial" w:eastAsia="Arial" w:hAnsi="Arial"/>
                <w:sz w:val="18"/>
                <w:szCs w:val="18"/>
                <w:color w:val="0000EE"/>
                <w:w w:val="94"/>
              </w:rPr>
            </w:pPr>
            <w:hyperlink w:anchor="page102">
              <w:r>
                <w:rPr>
                  <w:rFonts w:ascii="Arial" w:cs="Arial" w:eastAsia="Arial" w:hAnsi="Arial"/>
                  <w:sz w:val="18"/>
                  <w:szCs w:val="18"/>
                  <w:color w:val="0000EE"/>
                  <w:w w:val="94"/>
                </w:rPr>
                <w:t>Certification by Chief Executive Officer pursuant to Section 906 of the Sarbanes-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Oxley Act of 2002</w:t>
              </w:r>
            </w:hyperlink>
          </w:p>
        </w:tc>
        <w:tc>
          <w:tcPr>
            <w:tcW w:w="220" w:type="dxa"/>
            <w:vAlign w:val="bottom"/>
            <w:gridSpan w:val="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480" w:type="dxa"/>
            <w:vAlign w:val="bottom"/>
            <w:gridSpan w:val="1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82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Certification by Chief Financial Officer pursuant to Section 906 of the Sarbanes-</w:t>
              </w:r>
            </w:hyperlink>
          </w:p>
        </w:tc>
        <w:tc>
          <w:tcPr>
            <w:tcW w:w="26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80" w:type="dxa"/>
            <w:vAlign w:val="bottom"/>
            <w:gridSpan w:val="21"/>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Oxley Act of 2002</w:t>
              </w:r>
            </w:hyperlink>
          </w:p>
        </w:tc>
      </w:tr>
      <w:tr>
        <w:trPr>
          <w:trHeight w:val="20"/>
        </w:trPr>
        <w:tc>
          <w:tcPr>
            <w:tcW w:w="1140" w:type="dxa"/>
            <w:vAlign w:val="bottom"/>
            <w:gridSpan w:val="2"/>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4740" w:type="dxa"/>
            <w:vAlign w:val="bottom"/>
            <w:gridSpan w:val="19"/>
          </w:tcPr>
          <w:p>
            <w:pPr>
              <w:spacing w:after="0" w:line="20" w:lineRule="exact"/>
              <w:rPr>
                <w:sz w:val="1"/>
                <w:szCs w:val="1"/>
                <w:color w:val="auto"/>
              </w:rPr>
            </w:pPr>
          </w:p>
        </w:tc>
      </w:tr>
      <w:tr>
        <w:trPr>
          <w:trHeight w:val="358"/>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80" w:type="dxa"/>
            <w:vAlign w:val="bottom"/>
            <w:gridSpan w:val="21"/>
          </w:tcPr>
          <w:p>
            <w:pPr>
              <w:spacing w:after="0"/>
              <w:rPr>
                <w:sz w:val="20"/>
                <w:szCs w:val="20"/>
                <w:color w:val="auto"/>
              </w:rPr>
            </w:pPr>
            <w:r>
              <w:rPr>
                <w:rFonts w:ascii="Arial" w:cs="Arial" w:eastAsia="Arial" w:hAnsi="Arial"/>
                <w:sz w:val="18"/>
                <w:szCs w:val="18"/>
                <w:color w:val="auto"/>
              </w:rPr>
              <w:t>Inline XBRL Instance Document</w:t>
            </w: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80" w:type="dxa"/>
            <w:vAlign w:val="bottom"/>
            <w:gridSpan w:val="21"/>
          </w:tcPr>
          <w:p>
            <w:pPr>
              <w:spacing w:after="0"/>
              <w:rPr>
                <w:sz w:val="20"/>
                <w:szCs w:val="20"/>
                <w:color w:val="auto"/>
              </w:rPr>
            </w:pPr>
            <w:r>
              <w:rPr>
                <w:rFonts w:ascii="Arial" w:cs="Arial" w:eastAsia="Arial" w:hAnsi="Arial"/>
                <w:sz w:val="18"/>
                <w:szCs w:val="18"/>
                <w:color w:val="auto"/>
              </w:rPr>
              <w:t>Inline XBRL Schema Document</w:t>
            </w: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80" w:type="dxa"/>
            <w:vAlign w:val="bottom"/>
            <w:gridSpan w:val="21"/>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337"/>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80" w:type="dxa"/>
            <w:vAlign w:val="bottom"/>
            <w:gridSpan w:val="21"/>
          </w:tcPr>
          <w:p>
            <w:pPr>
              <w:spacing w:after="0"/>
              <w:rPr>
                <w:sz w:val="20"/>
                <w:szCs w:val="20"/>
                <w:color w:val="auto"/>
              </w:rPr>
            </w:pPr>
            <w:r>
              <w:rPr>
                <w:rFonts w:ascii="Arial" w:cs="Arial" w:eastAsia="Arial" w:hAnsi="Arial"/>
                <w:sz w:val="18"/>
                <w:szCs w:val="18"/>
                <w:color w:val="auto"/>
              </w:rPr>
              <w:t>Inline XBRL Label Linkbase Document</w:t>
            </w: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80" w:type="dxa"/>
            <w:vAlign w:val="bottom"/>
            <w:gridSpan w:val="21"/>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432"/>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80" w:type="dxa"/>
            <w:vAlign w:val="bottom"/>
            <w:gridSpan w:val="5"/>
          </w:tcPr>
          <w:p>
            <w:pPr>
              <w:ind w:left="440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900"/>
        <w:spacing w:after="0"/>
        <w:rPr>
          <w:sz w:val="20"/>
          <w:szCs w:val="20"/>
          <w:color w:val="auto"/>
        </w:rPr>
      </w:pPr>
      <w:r>
        <w:rPr>
          <w:rFonts w:ascii="Arial" w:cs="Arial" w:eastAsia="Arial" w:hAnsi="Arial"/>
          <w:sz w:val="14"/>
          <w:szCs w:val="14"/>
          <w:b w:val="1"/>
          <w:bCs w:val="1"/>
          <w:color w:val="auto"/>
        </w:rPr>
        <w:t>Incorporated by Reference Herein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80" w:type="dxa"/>
            <w:vAlign w:val="bottom"/>
            <w:tcBorders>
              <w:top w:val="single" w:sz="8" w:color="auto"/>
              <w:bottom w:val="single" w:sz="8" w:color="auto"/>
            </w:tcBorders>
          </w:tcPr>
          <w:p>
            <w:pPr>
              <w:ind w:left="1060"/>
              <w:spacing w:after="0" w:line="142" w:lineRule="exact"/>
              <w:rPr>
                <w:sz w:val="20"/>
                <w:szCs w:val="20"/>
                <w:color w:val="auto"/>
              </w:rPr>
            </w:pPr>
            <w:r>
              <w:rPr>
                <w:rFonts w:ascii="Arial" w:cs="Arial" w:eastAsia="Arial" w:hAnsi="Arial"/>
                <w:sz w:val="14"/>
                <w:szCs w:val="14"/>
                <w:b w:val="1"/>
                <w:bCs w:val="1"/>
                <w:color w:val="auto"/>
              </w:rPr>
              <w:t>Form</w:t>
            </w: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Date</w:t>
            </w:r>
          </w:p>
        </w:tc>
      </w:tr>
      <w:tr>
        <w:trPr>
          <w:trHeight w:val="195"/>
        </w:trPr>
        <w:tc>
          <w:tcPr>
            <w:tcW w:w="2480" w:type="dxa"/>
            <w:vAlign w:val="bottom"/>
          </w:tcPr>
          <w:p>
            <w:pPr>
              <w:spacing w:after="0" w:line="195" w:lineRule="exact"/>
              <w:rPr>
                <w:sz w:val="20"/>
                <w:szCs w:val="20"/>
                <w:color w:val="auto"/>
              </w:rPr>
            </w:pPr>
            <w:r>
              <w:rPr>
                <w:rFonts w:ascii="Arial" w:cs="Arial" w:eastAsia="Arial" w:hAnsi="Arial"/>
                <w:sz w:val="18"/>
                <w:szCs w:val="18"/>
                <w:color w:val="auto"/>
                <w:w w:val="94"/>
              </w:rPr>
              <w:t>Annual Report on Form 10-K, as</w:t>
            </w:r>
          </w:p>
        </w:tc>
        <w:tc>
          <w:tcPr>
            <w:tcW w:w="100" w:type="dxa"/>
            <w:vAlign w:val="bottom"/>
          </w:tcPr>
          <w:p>
            <w:pPr>
              <w:spacing w:after="0"/>
              <w:rPr>
                <w:sz w:val="16"/>
                <w:szCs w:val="16"/>
                <w:color w:val="auto"/>
              </w:rPr>
            </w:pPr>
          </w:p>
        </w:tc>
        <w:tc>
          <w:tcPr>
            <w:tcW w:w="1340" w:type="dxa"/>
            <w:vAlign w:val="bottom"/>
          </w:tcPr>
          <w:p>
            <w:pPr>
              <w:spacing w:after="0" w:line="195" w:lineRule="exact"/>
              <w:rPr>
                <w:sz w:val="20"/>
                <w:szCs w:val="20"/>
                <w:color w:val="auto"/>
              </w:rPr>
            </w:pPr>
            <w:r>
              <w:rPr>
                <w:rFonts w:ascii="Arial" w:cs="Arial" w:eastAsia="Arial" w:hAnsi="Arial"/>
                <w:sz w:val="18"/>
                <w:szCs w:val="18"/>
                <w:color w:val="auto"/>
              </w:rPr>
              <w:t>November 23,</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Exhibit 10.23</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2020</w:t>
            </w:r>
          </w:p>
        </w:tc>
      </w:tr>
      <w:tr>
        <w:trPr>
          <w:trHeight w:val="539"/>
        </w:trPr>
        <w:tc>
          <w:tcPr>
            <w:tcW w:w="2480" w:type="dxa"/>
            <w:vAlign w:val="bottom"/>
          </w:tcPr>
          <w:p>
            <w:pPr>
              <w:spacing w:after="0"/>
              <w:rPr>
                <w:sz w:val="20"/>
                <w:szCs w:val="20"/>
                <w:color w:val="auto"/>
              </w:rPr>
            </w:pPr>
            <w:r>
              <w:rPr>
                <w:rFonts w:ascii="Arial" w:cs="Arial" w:eastAsia="Arial" w:hAnsi="Arial"/>
                <w:sz w:val="18"/>
                <w:szCs w:val="18"/>
                <w:color w:val="auto"/>
                <w:w w:val="94"/>
              </w:rPr>
              <w:t>Annual Report on Form 10-K, as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November 23,</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Exhibit 10.24</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2020</w:t>
            </w:r>
          </w:p>
        </w:tc>
      </w:tr>
      <w:tr>
        <w:trPr>
          <w:trHeight w:val="323"/>
        </w:trPr>
        <w:tc>
          <w:tcPr>
            <w:tcW w:w="2480" w:type="dxa"/>
            <w:vAlign w:val="bottom"/>
          </w:tcPr>
          <w:p>
            <w:pPr>
              <w:spacing w:after="0"/>
              <w:rPr>
                <w:sz w:val="20"/>
                <w:szCs w:val="20"/>
                <w:color w:val="auto"/>
              </w:rPr>
            </w:pPr>
            <w:r>
              <w:rPr>
                <w:rFonts w:ascii="Arial" w:cs="Arial" w:eastAsia="Arial" w:hAnsi="Arial"/>
                <w:sz w:val="18"/>
                <w:szCs w:val="18"/>
                <w:color w:val="auto"/>
                <w:w w:val="94"/>
              </w:rPr>
              <w:t>Annual Report on Form 10-K, as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November 23,</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Exhibit 10.25</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2020</w:t>
            </w:r>
          </w:p>
        </w:tc>
      </w:tr>
      <w:tr>
        <w:trPr>
          <w:trHeight w:val="323"/>
        </w:trPr>
        <w:tc>
          <w:tcPr>
            <w:tcW w:w="2480" w:type="dxa"/>
            <w:vAlign w:val="bottom"/>
          </w:tcPr>
          <w:p>
            <w:pPr>
              <w:spacing w:after="0"/>
              <w:rPr>
                <w:sz w:val="20"/>
                <w:szCs w:val="20"/>
                <w:color w:val="auto"/>
              </w:rPr>
            </w:pPr>
            <w:r>
              <w:rPr>
                <w:rFonts w:ascii="Arial" w:cs="Arial" w:eastAsia="Arial" w:hAnsi="Arial"/>
                <w:sz w:val="18"/>
                <w:szCs w:val="18"/>
                <w:color w:val="auto"/>
                <w:w w:val="97"/>
              </w:rPr>
              <w:t>Annual report on Form 10-K, as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November 23,</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Exhibit 10.26</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2020</w:t>
            </w:r>
          </w:p>
        </w:tc>
      </w:tr>
      <w:tr>
        <w:trPr>
          <w:trHeight w:val="323"/>
        </w:trPr>
        <w:tc>
          <w:tcPr>
            <w:tcW w:w="2480" w:type="dxa"/>
            <w:vAlign w:val="bottom"/>
          </w:tcPr>
          <w:p>
            <w:pPr>
              <w:spacing w:after="0"/>
              <w:rPr>
                <w:sz w:val="20"/>
                <w:szCs w:val="20"/>
                <w:color w:val="auto"/>
              </w:rPr>
            </w:pPr>
            <w:r>
              <w:rPr>
                <w:rFonts w:ascii="Arial" w:cs="Arial" w:eastAsia="Arial" w:hAnsi="Arial"/>
                <w:sz w:val="18"/>
                <w:szCs w:val="18"/>
                <w:color w:val="auto"/>
                <w:w w:val="97"/>
              </w:rPr>
              <w:t>Annual report on Form 10-K, as</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November 23,</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Exhibit 10.27</w:t>
            </w: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2020</w:t>
            </w:r>
          </w:p>
        </w:tc>
      </w:tr>
      <w:tr>
        <w:trPr>
          <w:trHeight w:val="323"/>
        </w:trPr>
        <w:tc>
          <w:tcPr>
            <w:tcW w:w="2480" w:type="dxa"/>
            <w:vAlign w:val="bottom"/>
          </w:tcPr>
          <w:p>
            <w:pPr>
              <w:spacing w:after="0"/>
              <w:rPr>
                <w:sz w:val="20"/>
                <w:szCs w:val="20"/>
                <w:color w:val="auto"/>
              </w:rPr>
            </w:pPr>
            <w:r>
              <w:rPr>
                <w:rFonts w:ascii="Arial" w:cs="Arial" w:eastAsia="Arial" w:hAnsi="Arial"/>
                <w:sz w:val="18"/>
                <w:szCs w:val="18"/>
                <w:color w:val="auto"/>
                <w:w w:val="96"/>
              </w:rPr>
              <w:t>Quarterly Report on Form 10-Q,</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February 4, 2021</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as Exhibit 10.3</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23"/>
        </w:trPr>
        <w:tc>
          <w:tcPr>
            <w:tcW w:w="2480" w:type="dxa"/>
            <w:vAlign w:val="bottom"/>
          </w:tcPr>
          <w:p>
            <w:pPr>
              <w:spacing w:after="0"/>
              <w:rPr>
                <w:sz w:val="20"/>
                <w:szCs w:val="20"/>
                <w:color w:val="auto"/>
              </w:rPr>
            </w:pPr>
            <w:r>
              <w:rPr>
                <w:rFonts w:ascii="Arial" w:cs="Arial" w:eastAsia="Arial" w:hAnsi="Arial"/>
                <w:sz w:val="18"/>
                <w:szCs w:val="18"/>
                <w:color w:val="auto"/>
                <w:w w:val="96"/>
              </w:rPr>
              <w:t>Quarterly Report on Form 10-Q,</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February 4, 2021</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as Exhibit 10.4</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39"/>
        </w:trPr>
        <w:tc>
          <w:tcPr>
            <w:tcW w:w="2480" w:type="dxa"/>
            <w:vAlign w:val="bottom"/>
          </w:tcPr>
          <w:p>
            <w:pPr>
              <w:spacing w:after="0"/>
              <w:rPr>
                <w:sz w:val="20"/>
                <w:szCs w:val="20"/>
                <w:color w:val="auto"/>
              </w:rPr>
            </w:pPr>
            <w:r>
              <w:rPr>
                <w:rFonts w:ascii="Arial" w:cs="Arial" w:eastAsia="Arial" w:hAnsi="Arial"/>
                <w:sz w:val="18"/>
                <w:szCs w:val="18"/>
                <w:color w:val="auto"/>
                <w:w w:val="96"/>
              </w:rPr>
              <w:t>Quarterly Report on Form 10-Q,</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May 7, 2020</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as Exhibit 10.1</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23"/>
        </w:trPr>
        <w:tc>
          <w:tcPr>
            <w:tcW w:w="2480" w:type="dxa"/>
            <w:vAlign w:val="bottom"/>
          </w:tcPr>
          <w:p>
            <w:pPr>
              <w:spacing w:after="0"/>
              <w:rPr>
                <w:sz w:val="20"/>
                <w:szCs w:val="20"/>
                <w:color w:val="auto"/>
              </w:rPr>
            </w:pPr>
            <w:r>
              <w:rPr>
                <w:rFonts w:ascii="Arial" w:cs="Arial" w:eastAsia="Arial" w:hAnsi="Arial"/>
                <w:sz w:val="18"/>
                <w:szCs w:val="18"/>
                <w:color w:val="auto"/>
                <w:w w:val="96"/>
              </w:rPr>
              <w:t>Quarterly Report on Form 10-Q,</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August 5, 2021</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as Exhibit 10.4</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23"/>
        </w:trPr>
        <w:tc>
          <w:tcPr>
            <w:tcW w:w="2480" w:type="dxa"/>
            <w:vAlign w:val="bottom"/>
          </w:tcPr>
          <w:p>
            <w:pPr>
              <w:spacing w:after="0"/>
              <w:rPr>
                <w:sz w:val="20"/>
                <w:szCs w:val="20"/>
                <w:color w:val="auto"/>
              </w:rPr>
            </w:pPr>
            <w:r>
              <w:rPr>
                <w:rFonts w:ascii="Arial" w:cs="Arial" w:eastAsia="Arial" w:hAnsi="Arial"/>
                <w:sz w:val="18"/>
                <w:szCs w:val="18"/>
                <w:color w:val="auto"/>
                <w:w w:val="96"/>
              </w:rPr>
              <w:t>Quarterly Report on Form 10-Q,</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February 4, 2021</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as Exhibit 10.1</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ectPr>
          <w:pgSz w:w="11900" w:h="16838" w:orient="portrait"/>
          <w:cols w:equalWidth="0" w:num="2">
            <w:col w:w="7220" w:space="100"/>
            <w:col w:w="3920"/>
          </w:cols>
          <w:pgMar w:left="320" w:top="184"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5"/>
              </w:rPr>
              <w:t>Incorporated by Reference Herein</w:t>
            </w:r>
          </w:p>
        </w:tc>
        <w:tc>
          <w:tcPr>
            <w:tcW w:w="860" w:type="dxa"/>
            <w:vAlign w:val="bottom"/>
            <w:tcBorders>
              <w:bottom w:val="single" w:sz="8" w:color="auto"/>
            </w:tcBorders>
          </w:tcPr>
          <w:p>
            <w:pPr>
              <w:spacing w:after="0"/>
              <w:rPr>
                <w:sz w:val="14"/>
                <w:szCs w:val="14"/>
                <w:color w:val="auto"/>
              </w:rPr>
            </w:pPr>
          </w:p>
        </w:tc>
      </w:tr>
      <w:tr>
        <w:trPr>
          <w:trHeight w:val="142"/>
        </w:trPr>
        <w:tc>
          <w:tcPr>
            <w:tcW w:w="10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60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2480" w:type="dxa"/>
            <w:vAlign w:val="bottom"/>
            <w:tcBorders>
              <w:bottom w:val="single" w:sz="8" w:color="auto"/>
            </w:tcBorders>
          </w:tcPr>
          <w:p>
            <w:pPr>
              <w:ind w:left="1060"/>
              <w:spacing w:after="0" w:line="142" w:lineRule="exact"/>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Date</w:t>
            </w:r>
          </w:p>
        </w:tc>
      </w:tr>
      <w:tr>
        <w:trPr>
          <w:trHeight w:val="331"/>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180" w:type="dxa"/>
            <w:vAlign w:val="bottom"/>
            <w:gridSpan w:val="2"/>
          </w:tcPr>
          <w:p>
            <w:pPr>
              <w:spacing w:after="0"/>
              <w:rPr>
                <w:sz w:val="20"/>
                <w:szCs w:val="20"/>
                <w:color w:val="auto"/>
              </w:rPr>
            </w:pPr>
            <w:r>
              <w:rPr>
                <w:rFonts w:ascii="Arial" w:cs="Arial" w:eastAsia="Arial" w:hAnsi="Arial"/>
                <w:sz w:val="18"/>
                <w:szCs w:val="18"/>
                <w:color w:val="auto"/>
              </w:rPr>
              <w:t>Inline XBRL Definition Linkbase Document</w:t>
            </w: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212529"/>
                <w:w w:val="98"/>
              </w:rPr>
              <w:t>The cover page from the Company’s Annual Report on Form 10-K for the year</w:t>
            </w: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212529"/>
                <w:w w:val="98"/>
              </w:rPr>
              <w:t>ended September 30, 2021, formatted in Inline XBRL (included as Exhibit 101)</w:t>
            </w: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00" w:lineRule="exact"/>
        <w:rPr>
          <w:sz w:val="20"/>
          <w:szCs w:val="20"/>
          <w:color w:val="auto"/>
        </w:rPr>
      </w:pPr>
    </w:p>
    <w:p>
      <w:pPr>
        <w:spacing w:after="0" w:line="366"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compensation plan, contract or arrangement.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Certain confidential portions of this exhibit were omitted by means of marking such portions with asterisks because the identified confidential portions</w:t>
      </w:r>
    </w:p>
    <w:p>
      <w:pPr>
        <w:spacing w:after="0" w:line="32"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on Form 10-K to be signed on its behalf by the undersigned, thereunto duly authorized, on this 22nd day of November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22, 2021</w:t>
      </w:r>
    </w:p>
    <w:p>
      <w:pPr>
        <w:spacing w:after="0" w:line="25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ARROWHEAD PHARMACEUTICALS, INC.</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  /s/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14605</wp:posOffset>
            </wp:positionV>
            <wp:extent cx="30175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7">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Christopher Anzalone</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40" w:type="dxa"/>
            <w:vAlign w:val="bottom"/>
          </w:tcPr>
          <w:p>
            <w:pPr>
              <w:spacing w:after="0"/>
              <w:rPr>
                <w:sz w:val="14"/>
                <w:szCs w:val="14"/>
                <w:color w:val="auto"/>
              </w:rPr>
            </w:pPr>
          </w:p>
        </w:tc>
        <w:tc>
          <w:tcPr>
            <w:tcW w:w="530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3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Christopher Anzalone</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Chief Executive Officer, President and</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November 22, 2021</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1"/>
              </w:rPr>
              <w:t>Christopher Anzalone</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Director (Principal Executive Officer)</w:t>
            </w:r>
          </w:p>
        </w:tc>
        <w:tc>
          <w:tcPr>
            <w:tcW w:w="2360" w:type="dxa"/>
            <w:vAlign w:val="bottom"/>
          </w:tcPr>
          <w:p>
            <w:pPr>
              <w:spacing w:after="0"/>
              <w:rPr>
                <w:sz w:val="19"/>
                <w:szCs w:val="19"/>
                <w:color w:val="auto"/>
              </w:rPr>
            </w:pPr>
          </w:p>
        </w:tc>
      </w:tr>
      <w:tr>
        <w:trPr>
          <w:trHeight w:val="319"/>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Kenneth A. Myszkowski</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 (Principal</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November 22, 2021</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2"/>
              </w:rPr>
              <w:t>Kenneth A. Myszkowski</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Financial and Accounting Officer)</w:t>
            </w:r>
          </w:p>
        </w:tc>
        <w:tc>
          <w:tcPr>
            <w:tcW w:w="2360" w:type="dxa"/>
            <w:vAlign w:val="bottom"/>
          </w:tcPr>
          <w:p>
            <w:pPr>
              <w:spacing w:after="0"/>
              <w:rPr>
                <w:sz w:val="19"/>
                <w:szCs w:val="19"/>
                <w:color w:val="auto"/>
              </w:rPr>
            </w:pPr>
          </w:p>
        </w:tc>
      </w:tr>
      <w:tr>
        <w:trPr>
          <w:trHeight w:val="319"/>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Douglass Given</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Director, Chairman of the Board of Directors</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November 22, 2021</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88"/>
              </w:rPr>
              <w:t>Douglass Given</w:t>
            </w:r>
          </w:p>
        </w:tc>
        <w:tc>
          <w:tcPr>
            <w:tcW w:w="1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319"/>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Mauro Ferrari</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November 22, 2021</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8"/>
              </w:rPr>
              <w:t>Mauro Ferrari</w:t>
            </w:r>
          </w:p>
        </w:tc>
        <w:tc>
          <w:tcPr>
            <w:tcW w:w="1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319"/>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S. Perry</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November 22, 2021</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2"/>
              </w:rPr>
              <w:t>Michael S. Perry</w:t>
            </w:r>
          </w:p>
        </w:tc>
        <w:tc>
          <w:tcPr>
            <w:tcW w:w="1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319"/>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William Waddill</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November 22, 2021</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6"/>
              </w:rPr>
              <w:t>William Waddill</w:t>
            </w:r>
          </w:p>
        </w:tc>
        <w:tc>
          <w:tcPr>
            <w:tcW w:w="1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319"/>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Marianne De Backer</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November 22, 2021</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2"/>
              </w:rPr>
              <w:t>Marianne De Backer</w:t>
            </w:r>
          </w:p>
        </w:tc>
        <w:tc>
          <w:tcPr>
            <w:tcW w:w="1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319"/>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Adeoye Olukotun</w:t>
            </w:r>
          </w:p>
        </w:tc>
        <w:tc>
          <w:tcPr>
            <w:tcW w:w="560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2360" w:type="dxa"/>
            <w:vAlign w:val="bottom"/>
          </w:tcPr>
          <w:p>
            <w:pPr>
              <w:jc w:val="center"/>
              <w:spacing w:after="0"/>
              <w:rPr>
                <w:sz w:val="20"/>
                <w:szCs w:val="20"/>
                <w:color w:val="auto"/>
              </w:rPr>
            </w:pPr>
            <w:r>
              <w:rPr>
                <w:rFonts w:ascii="Arial" w:cs="Arial" w:eastAsia="Arial" w:hAnsi="Arial"/>
                <w:sz w:val="18"/>
                <w:szCs w:val="18"/>
                <w:color w:val="auto"/>
                <w:w w:val="91"/>
              </w:rPr>
              <w:t>November 22, 2021</w:t>
            </w:r>
          </w:p>
        </w:tc>
      </w:tr>
      <w:tr>
        <w:trPr>
          <w:trHeight w:val="228"/>
        </w:trPr>
        <w:tc>
          <w:tcPr>
            <w:tcW w:w="3280" w:type="dxa"/>
            <w:vAlign w:val="bottom"/>
          </w:tcPr>
          <w:p>
            <w:pPr>
              <w:jc w:val="center"/>
              <w:spacing w:after="0"/>
              <w:rPr>
                <w:sz w:val="20"/>
                <w:szCs w:val="20"/>
                <w:color w:val="auto"/>
              </w:rPr>
            </w:pPr>
            <w:r>
              <w:rPr>
                <w:rFonts w:ascii="Arial" w:cs="Arial" w:eastAsia="Arial" w:hAnsi="Arial"/>
                <w:sz w:val="18"/>
                <w:szCs w:val="18"/>
                <w:b w:val="1"/>
                <w:bCs w:val="1"/>
                <w:color w:val="auto"/>
                <w:w w:val="91"/>
              </w:rPr>
              <w:t>Adeoye Olukotun</w:t>
            </w:r>
          </w:p>
        </w:tc>
        <w:tc>
          <w:tcPr>
            <w:tcW w:w="1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7980" w:type="dxa"/>
            <w:vAlign w:val="bottom"/>
            <w:gridSpan w:val="7"/>
          </w:tcPr>
          <w:p>
            <w:pPr>
              <w:ind w:left="680"/>
              <w:spacing w:after="0"/>
              <w:rPr>
                <w:sz w:val="20"/>
                <w:szCs w:val="20"/>
                <w:color w:val="auto"/>
              </w:rPr>
            </w:pPr>
            <w:r>
              <w:rPr>
                <w:rFonts w:ascii="Arial" w:cs="Arial" w:eastAsia="Arial" w:hAnsi="Arial"/>
                <w:sz w:val="18"/>
                <w:szCs w:val="18"/>
                <w:b w:val="1"/>
                <w:bCs w:val="1"/>
                <w:color w:val="auto"/>
              </w:rPr>
              <w:t>INDEX TO FINANCIAL STATEMENTS AND SCHEDULE</w:t>
            </w:r>
          </w:p>
        </w:tc>
        <w:tc>
          <w:tcPr>
            <w:tcW w:w="540" w:type="dxa"/>
            <w:vAlign w:val="bottom"/>
          </w:tcPr>
          <w:p>
            <w:pPr>
              <w:spacing w:after="0"/>
              <w:rPr>
                <w:sz w:val="20"/>
                <w:szCs w:val="20"/>
                <w:color w:val="auto"/>
              </w:rPr>
            </w:pPr>
          </w:p>
        </w:tc>
      </w:tr>
      <w:tr>
        <w:trPr>
          <w:trHeight w:val="418"/>
        </w:trPr>
        <w:tc>
          <w:tcPr>
            <w:tcW w:w="43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Reports of Independent Registered Public Accounting Firm</w:t>
              </w:r>
            </w:hyperlink>
          </w:p>
        </w:tc>
        <w:tc>
          <w:tcPr>
            <w:tcW w:w="6300" w:type="dxa"/>
            <w:vAlign w:val="bottom"/>
            <w:gridSpan w:val="6"/>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88"/>
              </w:rPr>
              <w:t>F-2</w:t>
            </w:r>
          </w:p>
        </w:tc>
      </w:tr>
      <w:tr>
        <w:trPr>
          <w:trHeight w:val="196"/>
        </w:trPr>
        <w:tc>
          <w:tcPr>
            <w:tcW w:w="69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Balance Sheets of Arrowhead Pharmaceuticals, Inc., September 30, 2021 and 2020</w:t>
              </w:r>
            </w:hyperlink>
          </w:p>
        </w:tc>
        <w:tc>
          <w:tcPr>
            <w:tcW w:w="3620" w:type="dxa"/>
            <w:vAlign w:val="bottom"/>
            <w:gridSpan w:val="4"/>
          </w:tcPr>
          <w:p>
            <w:pPr>
              <w:spacing w:after="0"/>
              <w:rPr>
                <w:sz w:val="17"/>
                <w:szCs w:val="17"/>
                <w:color w:val="auto"/>
              </w:rPr>
            </w:pPr>
          </w:p>
        </w:tc>
        <w:tc>
          <w:tcPr>
            <w:tcW w:w="540" w:type="dxa"/>
            <w:vAlign w:val="bottom"/>
          </w:tcPr>
          <w:p>
            <w:pPr>
              <w:ind w:left="28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10600" w:type="dxa"/>
            <w:vAlign w:val="bottom"/>
            <w:gridSpan w:val="8"/>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Statements of Operations and Comprehensive Income (Loss) of Arrowhead Pharmaceuticals, Inc. for the years ended</w:t>
              </w:r>
            </w:hyperlink>
          </w:p>
        </w:tc>
        <w:tc>
          <w:tcPr>
            <w:tcW w:w="540" w:type="dxa"/>
            <w:vAlign w:val="bottom"/>
          </w:tcPr>
          <w:p>
            <w:pPr>
              <w:spacing w:after="0"/>
              <w:rPr>
                <w:sz w:val="17"/>
                <w:szCs w:val="17"/>
                <w:color w:val="auto"/>
              </w:rPr>
            </w:pPr>
          </w:p>
        </w:tc>
      </w:tr>
      <w:tr>
        <w:trPr>
          <w:trHeight w:val="196"/>
        </w:trPr>
        <w:tc>
          <w:tcPr>
            <w:tcW w:w="26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September 30, 2021, 2020 and 2019</w:t>
              </w:r>
            </w:hyperlink>
          </w:p>
        </w:tc>
        <w:tc>
          <w:tcPr>
            <w:tcW w:w="6820" w:type="dxa"/>
            <w:vAlign w:val="bottom"/>
            <w:tcBorders>
              <w:top w:val="single" w:sz="8" w:color="0000EE"/>
            </w:tcBorders>
            <w:gridSpan w:val="4"/>
          </w:tcPr>
          <w:p>
            <w:pPr>
              <w:spacing w:after="0"/>
              <w:rPr>
                <w:sz w:val="17"/>
                <w:szCs w:val="17"/>
                <w:color w:val="auto"/>
              </w:rPr>
            </w:pPr>
          </w:p>
        </w:tc>
        <w:tc>
          <w:tcPr>
            <w:tcW w:w="1160" w:type="dxa"/>
            <w:vAlign w:val="bottom"/>
            <w:gridSpan w:val="3"/>
          </w:tcPr>
          <w:p>
            <w:pPr>
              <w:spacing w:after="0"/>
              <w:rPr>
                <w:sz w:val="17"/>
                <w:szCs w:val="17"/>
                <w:color w:val="auto"/>
              </w:rPr>
            </w:pPr>
          </w:p>
        </w:tc>
        <w:tc>
          <w:tcPr>
            <w:tcW w:w="540" w:type="dxa"/>
            <w:vAlign w:val="bottom"/>
          </w:tcPr>
          <w:p>
            <w:pPr>
              <w:ind w:left="28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10600" w:type="dxa"/>
            <w:vAlign w:val="bottom"/>
            <w:gridSpan w:val="8"/>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Consolidated Statements of Stockholders’ Equity of Arrowhead Pharmaceuticals, Inc. for the years ended September 30, 2021, 2020, and 2019</w:t>
              </w:r>
            </w:hyperlink>
          </w:p>
        </w:tc>
        <w:tc>
          <w:tcPr>
            <w:tcW w:w="540" w:type="dxa"/>
            <w:vAlign w:val="bottom"/>
          </w:tcPr>
          <w:p>
            <w:pPr>
              <w:ind w:left="280"/>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10300" w:type="dxa"/>
            <w:vAlign w:val="bottom"/>
            <w:tcBorders>
              <w:top w:val="single" w:sz="8" w:color="0000EE"/>
            </w:tcBorders>
            <w:gridSpan w:val="7"/>
          </w:tcPr>
          <w:p>
            <w:pPr>
              <w:spacing w:after="0" w:line="196"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Consolidated Statements of Cash Flows of Arrowhead Pharmaceuticals, Inc. for the years ended September 30, 2021, 2020 and 2019</w:t>
              </w:r>
            </w:hyperlink>
          </w:p>
        </w:tc>
        <w:tc>
          <w:tcPr>
            <w:tcW w:w="300" w:type="dxa"/>
            <w:vAlign w:val="bottom"/>
          </w:tcPr>
          <w:p>
            <w:pPr>
              <w:spacing w:after="0"/>
              <w:rPr>
                <w:sz w:val="17"/>
                <w:szCs w:val="17"/>
                <w:color w:val="auto"/>
              </w:rPr>
            </w:pPr>
          </w:p>
        </w:tc>
        <w:tc>
          <w:tcPr>
            <w:tcW w:w="540" w:type="dxa"/>
            <w:vAlign w:val="bottom"/>
          </w:tcPr>
          <w:p>
            <w:pPr>
              <w:ind w:left="280"/>
              <w:spacing w:after="0" w:line="196" w:lineRule="exact"/>
              <w:rPr>
                <w:sz w:val="20"/>
                <w:szCs w:val="20"/>
                <w:color w:val="auto"/>
              </w:rPr>
            </w:pPr>
            <w:r>
              <w:rPr>
                <w:rFonts w:ascii="Arial" w:cs="Arial" w:eastAsia="Arial" w:hAnsi="Arial"/>
                <w:sz w:val="18"/>
                <w:szCs w:val="18"/>
                <w:color w:val="auto"/>
                <w:w w:val="88"/>
              </w:rPr>
              <w:t>F-8</w:t>
            </w:r>
          </w:p>
        </w:tc>
      </w:tr>
      <w:tr>
        <w:trPr>
          <w:trHeight w:val="196"/>
        </w:trPr>
        <w:tc>
          <w:tcPr>
            <w:tcW w:w="5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Notes to Consolidated Financial Statements of Arrowhead Pharmaceuticals, Inc.</w:t>
              </w:r>
            </w:hyperlink>
          </w:p>
        </w:tc>
        <w:tc>
          <w:tcPr>
            <w:tcW w:w="3780" w:type="dxa"/>
            <w:vAlign w:val="bottom"/>
            <w:tcBorders>
              <w:top w:val="single" w:sz="8" w:color="0000EE"/>
            </w:tcBorders>
            <w:gridSpan w:val="3"/>
          </w:tcPr>
          <w:p>
            <w:pPr>
              <w:spacing w:after="0"/>
              <w:rPr>
                <w:sz w:val="17"/>
                <w:szCs w:val="17"/>
                <w:color w:val="auto"/>
              </w:rPr>
            </w:pPr>
          </w:p>
        </w:tc>
        <w:tc>
          <w:tcPr>
            <w:tcW w:w="1020" w:type="dxa"/>
            <w:vAlign w:val="bottom"/>
            <w:gridSpan w:val="2"/>
          </w:tcPr>
          <w:p>
            <w:pPr>
              <w:spacing w:after="0"/>
              <w:rPr>
                <w:sz w:val="17"/>
                <w:szCs w:val="17"/>
                <w:color w:val="auto"/>
              </w:rPr>
            </w:pPr>
          </w:p>
        </w:tc>
        <w:tc>
          <w:tcPr>
            <w:tcW w:w="540" w:type="dxa"/>
            <w:vAlign w:val="bottom"/>
          </w:tcPr>
          <w:p>
            <w:pPr>
              <w:ind w:left="280"/>
              <w:spacing w:after="0" w:line="196" w:lineRule="exact"/>
              <w:rPr>
                <w:sz w:val="20"/>
                <w:szCs w:val="20"/>
                <w:color w:val="auto"/>
              </w:rPr>
            </w:pPr>
            <w:r>
              <w:rPr>
                <w:rFonts w:ascii="Arial" w:cs="Arial" w:eastAsia="Arial" w:hAnsi="Arial"/>
                <w:sz w:val="18"/>
                <w:szCs w:val="18"/>
                <w:color w:val="auto"/>
                <w:w w:val="88"/>
              </w:rPr>
              <w:t>F-9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Arrowhead Pharmaceuticals,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Arrowhead Pharmaceuticals, Inc. and Subsidiaries (the Company) as of September 30, 2021 and 2020, and the related consolidated statements of operations and comprehensive income (loss), stockholders’ equity, and cash flows for each of the years in the three-year period ended September 30, 2021, and the related notes (collectively referred to as the financial statements). In our opinion, the consolidated financial statements present fairly, in all material respects, the financial position of the Company as of September 30, 2021 and 2020, and the results of its operations and its cash flows for each of the years in the three-year period ended September 30, 2021, in conformity with accounting principles generally accepted in the United States of America.</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September 30, 2021,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and our report dated November 22, 2021,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Revenue Recognized Over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 of the Matter</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discussed in Note 1 and Note 2 to the Consolidated Financial Statements, the Company earns its revenue through license and collaboration agreements. For performance obligations related to services that are required to be recognized over time, the Company measures its progress to completion using various measures, including an input measure of total labor costs incurred divided by total labor costs expected to be incurred, time elapsed, and an output measure of total patient visits divided by total patient visits expected. The selection of measurement criteria is based on the nature and phase of trials being conducted.</w:t>
      </w:r>
    </w:p>
    <w:p>
      <w:pPr>
        <w:spacing w:after="0" w:line="296"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Auditing revenue recognition is complex and highly judgmental due to the variability and uncertainty associated with the Company’s assessment of measure of progress. Changes in these estimates would have a significant effect on the amount of revenue recognized.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u w:val="single" w:color="auto"/>
          <w:color w:val="auto"/>
        </w:rPr>
        <w:t>How We Addressed the Matter in Our Audit</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that address the risk of material misstatement of license and collaboration agreement revenue including those associated with cost to complete estimates. We tested controls over management’s process to collect, review, and approve the data used in assessing revenue recognized over time.</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test the measures of progress used for performance obligations related to services that are required to be recognized over time, our audit procedures included, among others, evaluating the appropriateness of the Company’s accounting policy for each type of arrangement, testing the identified measure of performance by reading contracts with customers, including all amendments, and reviewing the contract analyses prepared by management. We evaluated whether the selected measures of progress towards satisfaction of performance obligations were applied consistently. We also tested the completeness and accuracy of the underlying data used for the measure of progress by testing and or analyzing the underlying data and conducting interviews of project personnel.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November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Arrowhead Pharmaceuticals, Inc.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We have audited Arrowhead Pharmaceuticals, Inc. and Subsidiaries (the Company’s) internal control over financial reporting as of September 30, 2021,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September 30, 2021,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COSO.</w:t>
      </w:r>
    </w:p>
    <w:p>
      <w:pPr>
        <w:spacing w:after="0" w:line="6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as of September 30, 2021 and 2020 and the related consolidated statements of operations and comprehensive income (loss), stockholders’ equity, and cash flows for each of the three years in the period ended September 30, 2021 and related notes, and our report dated November 22, 2021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Encino, CA</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November 22, 2021</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80" w:type="dxa"/>
            <w:vAlign w:val="bottom"/>
          </w:tcPr>
          <w:p>
            <w:pPr>
              <w:jc w:val="center"/>
              <w:ind w:left="289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88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6880" w:type="dxa"/>
            <w:vAlign w:val="bottom"/>
          </w:tcPr>
          <w:p>
            <w:pPr>
              <w:jc w:val="center"/>
              <w:ind w:left="2890"/>
              <w:spacing w:after="0"/>
              <w:rPr>
                <w:sz w:val="20"/>
                <w:szCs w:val="20"/>
                <w:color w:val="auto"/>
              </w:rPr>
            </w:pPr>
            <w:r>
              <w:rPr>
                <w:rFonts w:ascii="Arial" w:cs="Arial" w:eastAsia="Arial" w:hAnsi="Arial"/>
                <w:sz w:val="18"/>
                <w:szCs w:val="18"/>
                <w:b w:val="1"/>
                <w:bCs w:val="1"/>
                <w:color w:val="auto"/>
                <w:w w:val="91"/>
              </w:rPr>
              <w:t>Arrowhead Pharmaceuticals, Inc.</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80" w:type="dxa"/>
            <w:vAlign w:val="bottom"/>
          </w:tcPr>
          <w:p>
            <w:pPr>
              <w:jc w:val="center"/>
              <w:ind w:left="2870"/>
              <w:spacing w:after="0"/>
              <w:rPr>
                <w:sz w:val="20"/>
                <w:szCs w:val="20"/>
                <w:color w:val="auto"/>
              </w:rPr>
            </w:pPr>
            <w:r>
              <w:rPr>
                <w:rFonts w:ascii="Arial" w:cs="Arial" w:eastAsia="Arial" w:hAnsi="Arial"/>
                <w:sz w:val="18"/>
                <w:szCs w:val="18"/>
                <w:b w:val="1"/>
                <w:bCs w:val="1"/>
                <w:color w:val="auto"/>
                <w:w w:val="87"/>
              </w:rPr>
              <w:t>Consolidated Balance Sheets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6880" w:type="dxa"/>
            <w:vAlign w:val="bottom"/>
          </w:tcPr>
          <w:p>
            <w:pPr>
              <w:jc w:val="center"/>
              <w:ind w:left="289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2020</w:t>
            </w:r>
          </w:p>
        </w:tc>
        <w:tc>
          <w:tcPr>
            <w:tcW w:w="0" w:type="dxa"/>
            <w:vAlign w:val="bottom"/>
          </w:tcPr>
          <w:p>
            <w:pPr>
              <w:spacing w:after="0"/>
              <w:rPr>
                <w:sz w:val="1"/>
                <w:szCs w:val="1"/>
                <w:color w:val="auto"/>
              </w:rPr>
            </w:pPr>
          </w:p>
        </w:tc>
      </w:tr>
      <w:tr>
        <w:trPr>
          <w:trHeight w:val="223"/>
        </w:trPr>
        <w:tc>
          <w:tcPr>
            <w:tcW w:w="700" w:type="dxa"/>
            <w:vAlign w:val="bottom"/>
            <w:tcBorders>
              <w:top w:val="single" w:sz="8" w:color="CFF0FC"/>
            </w:tcBorders>
            <w:shd w:val="clear" w:color="auto" w:fill="CFF0FC"/>
          </w:tcPr>
          <w:p>
            <w:pPr>
              <w:spacing w:after="0"/>
              <w:rPr>
                <w:sz w:val="19"/>
                <w:szCs w:val="19"/>
                <w:color w:val="auto"/>
              </w:rPr>
            </w:pPr>
          </w:p>
        </w:tc>
        <w:tc>
          <w:tcPr>
            <w:tcW w:w="6880" w:type="dxa"/>
            <w:vAlign w:val="bottom"/>
            <w:tcBorders>
              <w:top w:val="single" w:sz="8" w:color="CFF0FC"/>
            </w:tcBorders>
            <w:shd w:val="clear" w:color="auto" w:fill="CFF0FC"/>
          </w:tcPr>
          <w:p>
            <w:pPr>
              <w:ind w:left="280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184,434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126,728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Short term investments</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56,627</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86,890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shd w:val="clear" w:color="auto" w:fill="CFF0FC"/>
          </w:tcPr>
          <w:p>
            <w:pPr>
              <w:spacing w:after="0"/>
              <w:rPr>
                <w:sz w:val="19"/>
                <w:szCs w:val="19"/>
                <w:color w:val="auto"/>
              </w:rPr>
            </w:pPr>
          </w:p>
        </w:tc>
        <w:tc>
          <w:tcPr>
            <w:tcW w:w="688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384,597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48,675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140"/>
              <w:spacing w:after="0"/>
              <w:rPr>
                <w:sz w:val="20"/>
                <w:szCs w:val="20"/>
                <w:color w:val="auto"/>
              </w:rPr>
            </w:pPr>
            <w:r>
              <w:rPr>
                <w:rFonts w:ascii="Arial" w:cs="Arial" w:eastAsia="Arial" w:hAnsi="Arial"/>
                <w:sz w:val="18"/>
                <w:szCs w:val="18"/>
                <w:color w:val="auto"/>
              </w:rPr>
              <w:t>Long term investments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245,595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Right-of-use assets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CFF0FC"/>
            </w:tcBorders>
            <w:shd w:val="clear" w:color="auto" w:fill="CFF0FC"/>
          </w:tcPr>
          <w:p>
            <w:pPr>
              <w:spacing w:after="0"/>
              <w:rPr>
                <w:sz w:val="19"/>
                <w:szCs w:val="19"/>
                <w:color w:val="auto"/>
              </w:rPr>
            </w:pPr>
          </w:p>
        </w:tc>
        <w:tc>
          <w:tcPr>
            <w:tcW w:w="68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710,148</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522,504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8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6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9,457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Accrued payroll and benefits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Lease liabilities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111,055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8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146,536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Lease liabilities, net of current portion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23,295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131,495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880" w:type="dxa"/>
            <w:vAlign w:val="bottom"/>
          </w:tcPr>
          <w:p>
            <w:pPr>
              <w:ind w:left="40"/>
              <w:spacing w:after="0"/>
              <w:rPr>
                <w:sz w:val="20"/>
                <w:szCs w:val="20"/>
                <w:color w:val="auto"/>
              </w:rPr>
            </w:pPr>
            <w:r>
              <w:rPr>
                <w:rFonts w:ascii="Arial" w:cs="Arial" w:eastAsia="Arial" w:hAnsi="Arial"/>
                <w:sz w:val="18"/>
                <w:szCs w:val="18"/>
                <w:color w:val="auto"/>
              </w:rPr>
              <w:t>TOTAL LONG-TERM LIABILITIES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154,790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Commitments and contingencies (Note 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tcPr>
          <w:p>
            <w:pPr>
              <w:ind w:left="14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w w:val="90"/>
              </w:rPr>
              <w:t>Common stock, $0.001 par value; 145,000 shares authorized; 104,327 and 102,376 shares issued</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and outstanding as of September 30, 2021 and September 30, 2020, respectively</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1,053,386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965,410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(644,692)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(503,844)</w:t>
            </w:r>
          </w:p>
        </w:tc>
        <w:tc>
          <w:tcPr>
            <w:tcW w:w="0" w:type="dxa"/>
            <w:vAlign w:val="bottom"/>
          </w:tcPr>
          <w:p>
            <w:pPr>
              <w:spacing w:after="0"/>
              <w:rPr>
                <w:sz w:val="1"/>
                <w:szCs w:val="1"/>
                <w:color w:val="auto"/>
              </w:rPr>
            </w:pPr>
          </w:p>
        </w:tc>
      </w:tr>
      <w:tr>
        <w:trPr>
          <w:trHeight w:val="223"/>
        </w:trPr>
        <w:tc>
          <w:tcPr>
            <w:tcW w:w="700" w:type="dxa"/>
            <w:vAlign w:val="bottom"/>
            <w:tcBorders>
              <w:top w:val="single" w:sz="8" w:color="CFF0FC"/>
            </w:tcBorders>
            <w:shd w:val="clear" w:color="auto" w:fill="CFF0FC"/>
          </w:tcPr>
          <w:p>
            <w:pPr>
              <w:spacing w:after="0"/>
              <w:rPr>
                <w:sz w:val="19"/>
                <w:szCs w:val="19"/>
                <w:color w:val="auto"/>
              </w:rPr>
            </w:pPr>
          </w:p>
        </w:tc>
        <w:tc>
          <w:tcPr>
            <w:tcW w:w="688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408,822</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461,779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880" w:type="dxa"/>
            <w:vAlign w:val="bottom"/>
          </w:tcPr>
          <w:p>
            <w:pPr>
              <w:ind w:left="30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710,148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2"/>
              </w:rPr>
              <w:t>Years Ended September 30,</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138,287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87,992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168,796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206,342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287,323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181,151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107,605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Pr>
          <w:p>
            <w:pPr>
              <w:ind w:left="14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(149,036)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(93,159)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500"/>
              <w:spacing w:after="0"/>
              <w:rPr>
                <w:sz w:val="20"/>
                <w:szCs w:val="20"/>
                <w:color w:val="auto"/>
              </w:rPr>
            </w:pPr>
            <w:r>
              <w:rPr>
                <w:rFonts w:ascii="Arial" w:cs="Arial" w:eastAsia="Arial" w:hAnsi="Arial"/>
                <w:sz w:val="18"/>
                <w:szCs w:val="18"/>
                <w:color w:val="auto"/>
              </w:rPr>
              <w:t>Interest income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(583)</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8,608</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(140,846)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(84,551)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68,149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50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622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(140,848)</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(84,553)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67,975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220" w:type="dxa"/>
            <w:vAlign w:val="bottom"/>
          </w:tcPr>
          <w:p>
            <w:pPr>
              <w:ind w:left="140"/>
              <w:spacing w:after="0"/>
              <w:rPr>
                <w:sz w:val="20"/>
                <w:szCs w:val="20"/>
                <w:color w:val="auto"/>
              </w:rPr>
            </w:pPr>
            <w:r>
              <w:rPr>
                <w:rFonts w:ascii="Arial" w:cs="Arial" w:eastAsia="Arial" w:hAnsi="Arial"/>
                <w:sz w:val="18"/>
                <w:szCs w:val="18"/>
                <w:color w:val="auto"/>
              </w:rPr>
              <w:t>NET INCOME (LOSS) PER SHARE - BASIC</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(0.84)</w:t>
            </w:r>
          </w:p>
        </w:tc>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INCOME (LOSS) PER SHARE - DILUTED</w:t>
            </w: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140"/>
              <w:spacing w:after="0"/>
              <w:rPr>
                <w:sz w:val="20"/>
                <w:szCs w:val="20"/>
                <w:color w:val="auto"/>
              </w:rPr>
            </w:pPr>
            <w:r>
              <w:rPr>
                <w:rFonts w:ascii="Arial" w:cs="Arial" w:eastAsia="Arial" w:hAnsi="Arial"/>
                <w:sz w:val="18"/>
                <w:szCs w:val="18"/>
                <w:color w:val="auto"/>
              </w:rPr>
              <w:t>Weighted average shares outstanding - basic</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103,745</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100,722</w:t>
            </w: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93,859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 diluted</w:t>
            </w: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103,745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100,722</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98,608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6220" w:type="dxa"/>
            <w:vAlign w:val="bottom"/>
          </w:tcPr>
          <w:p>
            <w:pPr>
              <w:ind w:left="14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(84,143)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280"/>
              <w:spacing w:after="0" w:line="135"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11"/>
                <w:szCs w:val="11"/>
                <w:color w:val="auto"/>
              </w:rPr>
            </w:pPr>
          </w:p>
        </w:tc>
        <w:tc>
          <w:tcPr>
            <w:tcW w:w="960" w:type="dxa"/>
            <w:vAlign w:val="bottom"/>
            <w:gridSpan w:val="3"/>
          </w:tcPr>
          <w:p>
            <w:pPr>
              <w:jc w:val="center"/>
              <w:ind w:right="14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0"/>
              </w:rPr>
              <w:t>Accumulated</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Non-controlling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9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8"/>
              </w:rPr>
              <w:t>Common Stock</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w w:val="91"/>
              </w:rPr>
              <w:t>Amount ($)</w:t>
            </w:r>
          </w:p>
        </w:tc>
        <w:tc>
          <w:tcPr>
            <w:tcW w:w="2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3"/>
              </w:rPr>
              <w:t>Paid-In Capital</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5"/>
              </w:rPr>
              <w:t>Income (Loss)</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87"/>
              </w:rPr>
              <w:t>Deficit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82"/>
              <w:spacing w:after="0"/>
              <w:rPr>
                <w:sz w:val="20"/>
                <w:szCs w:val="20"/>
                <w:color w:val="auto"/>
              </w:rPr>
            </w:pPr>
            <w:r>
              <w:rPr>
                <w:rFonts w:ascii="Arial" w:cs="Arial" w:eastAsia="Arial" w:hAnsi="Arial"/>
                <w:sz w:val="12"/>
                <w:szCs w:val="12"/>
                <w:b w:val="1"/>
                <w:bCs w:val="1"/>
                <w:color w:val="auto"/>
                <w:w w:val="87"/>
              </w:rPr>
              <w:t>Interest</w:t>
            </w: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Totals</w:t>
            </w:r>
          </w:p>
        </w:tc>
        <w:tc>
          <w:tcPr>
            <w:tcW w:w="100" w:type="dxa"/>
            <w:vAlign w:val="bottom"/>
            <w:tcBorders>
              <w:bottom w:val="single" w:sz="8" w:color="CFF0FC"/>
            </w:tcBorders>
          </w:tcPr>
          <w:p>
            <w:pPr>
              <w:spacing w:after="0"/>
              <w:rPr>
                <w:sz w:val="12"/>
                <w:szCs w:val="12"/>
                <w:color w:val="auto"/>
              </w:rPr>
            </w:pPr>
          </w:p>
        </w:tc>
      </w:tr>
      <w:tr>
        <w:trPr>
          <w:trHeight w:val="142"/>
        </w:trPr>
        <w:tc>
          <w:tcPr>
            <w:tcW w:w="39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Balance at September 30, 2018</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88,505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181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582,903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b w:val="1"/>
                <w:bCs w:val="1"/>
                <w:color w:val="auto"/>
              </w:rPr>
              <w:t>(22)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b w:val="1"/>
                <w:bCs w:val="1"/>
                <w:color w:val="auto"/>
              </w:rPr>
              <w:t>(487,266)</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b w:val="1"/>
                <w:bCs w:val="1"/>
                <w:color w:val="auto"/>
              </w:rPr>
              <w:t>(555)</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95,241</w:t>
            </w:r>
          </w:p>
        </w:tc>
        <w:tc>
          <w:tcPr>
            <w:tcW w:w="100" w:type="dxa"/>
            <w:vAlign w:val="bottom"/>
            <w:shd w:val="clear" w:color="auto" w:fill="CFF0FC"/>
          </w:tcPr>
          <w:p>
            <w:pPr>
              <w:spacing w:after="0"/>
              <w:rPr>
                <w:sz w:val="12"/>
                <w:szCs w:val="12"/>
                <w:color w:val="auto"/>
              </w:rPr>
            </w:pPr>
          </w:p>
        </w:tc>
      </w:tr>
      <w:tr>
        <w:trPr>
          <w:trHeight w:val="148"/>
        </w:trPr>
        <w:tc>
          <w:tcPr>
            <w:tcW w:w="3940" w:type="dxa"/>
            <w:vAlign w:val="bottom"/>
          </w:tcPr>
          <w:p>
            <w:pPr>
              <w:ind w:left="140"/>
              <w:spacing w:after="0"/>
              <w:rPr>
                <w:sz w:val="20"/>
                <w:szCs w:val="20"/>
                <w:color w:val="auto"/>
              </w:rPr>
            </w:pPr>
            <w:r>
              <w:rPr>
                <w:rFonts w:ascii="Arial" w:cs="Arial" w:eastAsia="Arial" w:hAnsi="Arial"/>
                <w:sz w:val="12"/>
                <w:szCs w:val="12"/>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12,393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12,393</w:t>
            </w:r>
          </w:p>
        </w:tc>
        <w:tc>
          <w:tcPr>
            <w:tcW w:w="100" w:type="dxa"/>
            <w:vAlign w:val="bottom"/>
          </w:tcPr>
          <w:p>
            <w:pPr>
              <w:spacing w:after="0"/>
              <w:rPr>
                <w:sz w:val="12"/>
                <w:szCs w:val="12"/>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Exercise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1,543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8,274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8,276</w:t>
            </w:r>
          </w:p>
        </w:tc>
        <w:tc>
          <w:tcPr>
            <w:tcW w:w="100" w:type="dxa"/>
            <w:vAlign w:val="bottom"/>
            <w:shd w:val="clear" w:color="auto" w:fill="CFF0FC"/>
          </w:tcPr>
          <w:p>
            <w:pPr>
              <w:spacing w:after="0"/>
              <w:rPr>
                <w:sz w:val="12"/>
                <w:szCs w:val="12"/>
                <w:color w:val="auto"/>
              </w:rPr>
            </w:pPr>
          </w:p>
        </w:tc>
      </w:tr>
      <w:tr>
        <w:trPr>
          <w:trHeight w:val="148"/>
        </w:trPr>
        <w:tc>
          <w:tcPr>
            <w:tcW w:w="3940" w:type="dxa"/>
            <w:vAlign w:val="bottom"/>
          </w:tcPr>
          <w:p>
            <w:pPr>
              <w:ind w:left="140"/>
              <w:spacing w:after="0"/>
              <w:rPr>
                <w:sz w:val="20"/>
                <w:szCs w:val="20"/>
                <w:color w:val="auto"/>
              </w:rPr>
            </w:pPr>
            <w:r>
              <w:rPr>
                <w:rFonts w:ascii="Arial" w:cs="Arial" w:eastAsia="Arial" w:hAnsi="Arial"/>
                <w:sz w:val="12"/>
                <w:szCs w:val="12"/>
                <w:color w:val="auto"/>
              </w:rPr>
              <w:t>Common stock - restricted stock units vesting</w:t>
            </w:r>
          </w:p>
        </w:tc>
        <w:tc>
          <w:tcPr>
            <w:tcW w:w="820" w:type="dxa"/>
            <w:vAlign w:val="bottom"/>
          </w:tcPr>
          <w:p>
            <w:pPr>
              <w:jc w:val="right"/>
              <w:spacing w:after="0"/>
              <w:rPr>
                <w:sz w:val="20"/>
                <w:szCs w:val="20"/>
                <w:color w:val="auto"/>
              </w:rPr>
            </w:pPr>
            <w:r>
              <w:rPr>
                <w:rFonts w:ascii="Arial" w:cs="Arial" w:eastAsia="Arial" w:hAnsi="Arial"/>
                <w:sz w:val="12"/>
                <w:szCs w:val="12"/>
                <w:color w:val="auto"/>
              </w:rPr>
              <w:t>2,197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Common stock - issued for cash</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3,261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60,518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60,521</w:t>
            </w:r>
          </w:p>
        </w:tc>
        <w:tc>
          <w:tcPr>
            <w:tcW w:w="100" w:type="dxa"/>
            <w:vAlign w:val="bottom"/>
            <w:shd w:val="clear" w:color="auto" w:fill="CFF0FC"/>
          </w:tcPr>
          <w:p>
            <w:pPr>
              <w:spacing w:after="0"/>
              <w:rPr>
                <w:sz w:val="12"/>
                <w:szCs w:val="12"/>
                <w:color w:val="auto"/>
              </w:rPr>
            </w:pPr>
          </w:p>
        </w:tc>
      </w:tr>
      <w:tr>
        <w:trPr>
          <w:trHeight w:val="149"/>
        </w:trPr>
        <w:tc>
          <w:tcPr>
            <w:tcW w:w="3940" w:type="dxa"/>
            <w:vAlign w:val="bottom"/>
          </w:tcPr>
          <w:p>
            <w:pPr>
              <w:ind w:left="140"/>
              <w:spacing w:after="0"/>
              <w:rPr>
                <w:sz w:val="20"/>
                <w:szCs w:val="20"/>
                <w:color w:val="auto"/>
              </w:rPr>
            </w:pPr>
            <w:r>
              <w:rPr>
                <w:rFonts w:ascii="Arial" w:cs="Arial" w:eastAsia="Arial" w:hAnsi="Arial"/>
                <w:sz w:val="12"/>
                <w:szCs w:val="12"/>
                <w:color w:val="auto"/>
              </w:rPr>
              <w:t>Foreign currency translation adjustments</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(370)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(370)</w:t>
            </w: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Net income (loss) for the twelve months ended September 30, 2019</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67,975</w:t>
            </w:r>
          </w:p>
        </w:tc>
        <w:tc>
          <w:tcPr>
            <w:tcW w:w="2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67,975</w:t>
            </w:r>
          </w:p>
        </w:tc>
        <w:tc>
          <w:tcPr>
            <w:tcW w:w="100" w:type="dxa"/>
            <w:vAlign w:val="bottom"/>
            <w:shd w:val="clear" w:color="auto" w:fill="CFF0FC"/>
          </w:tcPr>
          <w:p>
            <w:pPr>
              <w:spacing w:after="0"/>
              <w:rPr>
                <w:sz w:val="12"/>
                <w:szCs w:val="12"/>
                <w:color w:val="auto"/>
              </w:rPr>
            </w:pPr>
          </w:p>
        </w:tc>
      </w:tr>
      <w:tr>
        <w:trPr>
          <w:trHeight w:val="142"/>
        </w:trPr>
        <w:tc>
          <w:tcPr>
            <w:tcW w:w="3940" w:type="dxa"/>
            <w:vAlign w:val="bottom"/>
          </w:tcPr>
          <w:p>
            <w:pPr>
              <w:spacing w:after="0"/>
              <w:rPr>
                <w:sz w:val="20"/>
                <w:szCs w:val="20"/>
                <w:color w:val="auto"/>
              </w:rPr>
            </w:pPr>
            <w:r>
              <w:rPr>
                <w:rFonts w:ascii="Arial" w:cs="Arial" w:eastAsia="Arial" w:hAnsi="Arial"/>
                <w:sz w:val="12"/>
                <w:szCs w:val="12"/>
                <w:b w:val="1"/>
                <w:bCs w:val="1"/>
                <w:color w:val="auto"/>
              </w:rPr>
              <w:t>Balance at September 30, 2019</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95,506</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188</w:t>
            </w:r>
          </w:p>
        </w:tc>
        <w:tc>
          <w:tcPr>
            <w:tcW w:w="220" w:type="dxa"/>
            <w:vAlign w:val="bottom"/>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664,086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(392)</w:t>
            </w:r>
          </w:p>
        </w:tc>
        <w:tc>
          <w:tcPr>
            <w:tcW w:w="18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(419,291)</w:t>
            </w:r>
          </w:p>
        </w:tc>
        <w:tc>
          <w:tcPr>
            <w:tcW w:w="140" w:type="dxa"/>
            <w:vAlign w:val="bottom"/>
          </w:tcPr>
          <w:p>
            <w:pPr>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(555)</w:t>
            </w:r>
          </w:p>
        </w:tc>
        <w:tc>
          <w:tcPr>
            <w:tcW w:w="2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244,036</w:t>
            </w:r>
          </w:p>
        </w:tc>
        <w:tc>
          <w:tcPr>
            <w:tcW w:w="100" w:type="dxa"/>
            <w:vAlign w:val="bottom"/>
          </w:tcPr>
          <w:p>
            <w:pPr>
              <w:spacing w:after="0"/>
              <w:rPr>
                <w:sz w:val="12"/>
                <w:szCs w:val="12"/>
                <w:color w:val="auto"/>
              </w:rPr>
            </w:pPr>
          </w:p>
        </w:tc>
      </w:tr>
      <w:tr>
        <w:trPr>
          <w:trHeight w:val="20"/>
        </w:trPr>
        <w:tc>
          <w:tcPr>
            <w:tcW w:w="3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8"/>
        </w:trPr>
        <w:tc>
          <w:tcPr>
            <w:tcW w:w="3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3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280"/>
              <w:spacing w:after="0" w:line="135"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11"/>
                <w:szCs w:val="11"/>
                <w:color w:val="auto"/>
              </w:rPr>
            </w:pPr>
          </w:p>
        </w:tc>
        <w:tc>
          <w:tcPr>
            <w:tcW w:w="960" w:type="dxa"/>
            <w:vAlign w:val="bottom"/>
            <w:gridSpan w:val="3"/>
          </w:tcPr>
          <w:p>
            <w:pPr>
              <w:jc w:val="center"/>
              <w:ind w:right="14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0"/>
              </w:rPr>
              <w:t>Accumulated</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Non-controlling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9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8"/>
              </w:rPr>
              <w:t>Common Stock</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w w:val="91"/>
              </w:rPr>
              <w:t>Amount ($)</w:t>
            </w:r>
          </w:p>
        </w:tc>
        <w:tc>
          <w:tcPr>
            <w:tcW w:w="2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3"/>
              </w:rPr>
              <w:t>Paid-In Capital</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5"/>
              </w:rPr>
              <w:t>Income (Loss)</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87"/>
              </w:rPr>
              <w:t>Deficit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82"/>
              <w:spacing w:after="0"/>
              <w:rPr>
                <w:sz w:val="20"/>
                <w:szCs w:val="20"/>
                <w:color w:val="auto"/>
              </w:rPr>
            </w:pPr>
            <w:r>
              <w:rPr>
                <w:rFonts w:ascii="Arial" w:cs="Arial" w:eastAsia="Arial" w:hAnsi="Arial"/>
                <w:sz w:val="12"/>
                <w:szCs w:val="12"/>
                <w:b w:val="1"/>
                <w:bCs w:val="1"/>
                <w:color w:val="auto"/>
                <w:w w:val="87"/>
              </w:rPr>
              <w:t>Interest</w:t>
            </w: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Totals</w:t>
            </w:r>
          </w:p>
        </w:tc>
        <w:tc>
          <w:tcPr>
            <w:tcW w:w="100" w:type="dxa"/>
            <w:vAlign w:val="bottom"/>
            <w:tcBorders>
              <w:bottom w:val="single" w:sz="8" w:color="CFF0FC"/>
            </w:tcBorders>
          </w:tcPr>
          <w:p>
            <w:pPr>
              <w:spacing w:after="0"/>
              <w:rPr>
                <w:sz w:val="12"/>
                <w:szCs w:val="12"/>
                <w:color w:val="auto"/>
              </w:rPr>
            </w:pPr>
          </w:p>
        </w:tc>
      </w:tr>
      <w:tr>
        <w:trPr>
          <w:trHeight w:val="142"/>
        </w:trPr>
        <w:tc>
          <w:tcPr>
            <w:tcW w:w="39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Balance at September 30, 2019</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95,506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188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664,086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b w:val="1"/>
                <w:bCs w:val="1"/>
                <w:color w:val="auto"/>
              </w:rPr>
              <w:t>(392)</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b w:val="1"/>
                <w:bCs w:val="1"/>
                <w:color w:val="auto"/>
              </w:rPr>
              <w:t>(419,291)</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b w:val="1"/>
                <w:bCs w:val="1"/>
                <w:color w:val="auto"/>
              </w:rPr>
              <w:t>(555)</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244,036</w:t>
            </w:r>
          </w:p>
        </w:tc>
        <w:tc>
          <w:tcPr>
            <w:tcW w:w="100" w:type="dxa"/>
            <w:vAlign w:val="bottom"/>
            <w:shd w:val="clear" w:color="auto" w:fill="CFF0FC"/>
          </w:tcPr>
          <w:p>
            <w:pPr>
              <w:spacing w:after="0"/>
              <w:rPr>
                <w:sz w:val="12"/>
                <w:szCs w:val="12"/>
                <w:color w:val="auto"/>
              </w:rPr>
            </w:pPr>
          </w:p>
        </w:tc>
      </w:tr>
      <w:tr>
        <w:trPr>
          <w:trHeight w:val="148"/>
        </w:trPr>
        <w:tc>
          <w:tcPr>
            <w:tcW w:w="3940" w:type="dxa"/>
            <w:vAlign w:val="bottom"/>
          </w:tcPr>
          <w:p>
            <w:pPr>
              <w:ind w:left="140"/>
              <w:spacing w:after="0"/>
              <w:rPr>
                <w:sz w:val="20"/>
                <w:szCs w:val="20"/>
                <w:color w:val="auto"/>
              </w:rPr>
            </w:pPr>
            <w:r>
              <w:rPr>
                <w:rFonts w:ascii="Arial" w:cs="Arial" w:eastAsia="Arial" w:hAnsi="Arial"/>
                <w:sz w:val="12"/>
                <w:szCs w:val="12"/>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43,383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43,383</w:t>
            </w:r>
          </w:p>
        </w:tc>
        <w:tc>
          <w:tcPr>
            <w:tcW w:w="100" w:type="dxa"/>
            <w:vAlign w:val="bottom"/>
          </w:tcPr>
          <w:p>
            <w:pPr>
              <w:spacing w:after="0"/>
              <w:rPr>
                <w:sz w:val="12"/>
                <w:szCs w:val="12"/>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Exercise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7,468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7,469</w:t>
            </w:r>
          </w:p>
        </w:tc>
        <w:tc>
          <w:tcPr>
            <w:tcW w:w="100" w:type="dxa"/>
            <w:vAlign w:val="bottom"/>
            <w:shd w:val="clear" w:color="auto" w:fill="CFF0FC"/>
          </w:tcPr>
          <w:p>
            <w:pPr>
              <w:spacing w:after="0"/>
              <w:rPr>
                <w:sz w:val="12"/>
                <w:szCs w:val="12"/>
                <w:color w:val="auto"/>
              </w:rPr>
            </w:pPr>
          </w:p>
        </w:tc>
      </w:tr>
      <w:tr>
        <w:trPr>
          <w:trHeight w:val="148"/>
        </w:trPr>
        <w:tc>
          <w:tcPr>
            <w:tcW w:w="3940" w:type="dxa"/>
            <w:vAlign w:val="bottom"/>
          </w:tcPr>
          <w:p>
            <w:pPr>
              <w:ind w:left="140"/>
              <w:spacing w:after="0"/>
              <w:rPr>
                <w:sz w:val="20"/>
                <w:szCs w:val="20"/>
                <w:color w:val="auto"/>
              </w:rPr>
            </w:pPr>
            <w:r>
              <w:rPr>
                <w:rFonts w:ascii="Arial" w:cs="Arial" w:eastAsia="Arial" w:hAnsi="Arial"/>
                <w:sz w:val="12"/>
                <w:szCs w:val="12"/>
                <w:color w:val="auto"/>
              </w:rPr>
              <w:t>Common stock - restricted stock units vesting</w:t>
            </w:r>
          </w:p>
        </w:tc>
        <w:tc>
          <w:tcPr>
            <w:tcW w:w="820" w:type="dxa"/>
            <w:vAlign w:val="bottom"/>
          </w:tcPr>
          <w:p>
            <w:pPr>
              <w:jc w:val="right"/>
              <w:spacing w:after="0"/>
              <w:rPr>
                <w:sz w:val="20"/>
                <w:szCs w:val="20"/>
                <w:color w:val="auto"/>
              </w:rPr>
            </w:pPr>
            <w:r>
              <w:rPr>
                <w:rFonts w:ascii="Arial" w:cs="Arial" w:eastAsia="Arial" w:hAnsi="Arial"/>
                <w:sz w:val="12"/>
                <w:szCs w:val="12"/>
                <w:color w:val="auto"/>
              </w:rPr>
              <w:t>1,159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Common stock - issued for cash</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4,600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250,474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250,479</w:t>
            </w:r>
          </w:p>
        </w:tc>
        <w:tc>
          <w:tcPr>
            <w:tcW w:w="100" w:type="dxa"/>
            <w:vAlign w:val="bottom"/>
            <w:shd w:val="clear" w:color="auto" w:fill="CFF0FC"/>
          </w:tcPr>
          <w:p>
            <w:pPr>
              <w:spacing w:after="0"/>
              <w:rPr>
                <w:sz w:val="12"/>
                <w:szCs w:val="12"/>
                <w:color w:val="auto"/>
              </w:rPr>
            </w:pPr>
          </w:p>
        </w:tc>
      </w:tr>
      <w:tr>
        <w:trPr>
          <w:trHeight w:val="149"/>
        </w:trPr>
        <w:tc>
          <w:tcPr>
            <w:tcW w:w="3940" w:type="dxa"/>
            <w:vAlign w:val="bottom"/>
          </w:tcPr>
          <w:p>
            <w:pPr>
              <w:ind w:left="140"/>
              <w:spacing w:after="0"/>
              <w:rPr>
                <w:sz w:val="20"/>
                <w:szCs w:val="20"/>
                <w:color w:val="auto"/>
              </w:rPr>
            </w:pPr>
            <w:r>
              <w:rPr>
                <w:rFonts w:ascii="Arial" w:cs="Arial" w:eastAsia="Arial" w:hAnsi="Arial"/>
                <w:sz w:val="12"/>
                <w:szCs w:val="12"/>
                <w:color w:val="auto"/>
              </w:rPr>
              <w:t>Foreign currency translation adjustments</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410</w:t>
            </w:r>
          </w:p>
        </w:tc>
        <w:tc>
          <w:tcPr>
            <w:tcW w:w="100" w:type="dxa"/>
            <w:vAlign w:val="bottom"/>
          </w:tcPr>
          <w:p>
            <w:pPr>
              <w:spacing w:after="0"/>
              <w:rPr>
                <w:sz w:val="12"/>
                <w:szCs w:val="12"/>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Deconsolidation of Ablaris Therapeutics, Inc.</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555</w:t>
            </w:r>
          </w:p>
        </w:tc>
        <w:tc>
          <w:tcPr>
            <w:tcW w:w="100" w:type="dxa"/>
            <w:vAlign w:val="bottom"/>
            <w:shd w:val="clear" w:color="auto" w:fill="CFF0FC"/>
          </w:tcPr>
          <w:p>
            <w:pPr>
              <w:spacing w:after="0"/>
              <w:rPr>
                <w:sz w:val="12"/>
                <w:szCs w:val="12"/>
                <w:color w:val="auto"/>
              </w:rPr>
            </w:pPr>
          </w:p>
        </w:tc>
      </w:tr>
      <w:tr>
        <w:trPr>
          <w:trHeight w:val="148"/>
        </w:trPr>
        <w:tc>
          <w:tcPr>
            <w:tcW w:w="3940" w:type="dxa"/>
            <w:vAlign w:val="bottom"/>
          </w:tcPr>
          <w:p>
            <w:pPr>
              <w:ind w:left="140"/>
              <w:spacing w:after="0"/>
              <w:rPr>
                <w:sz w:val="20"/>
                <w:szCs w:val="20"/>
                <w:color w:val="auto"/>
              </w:rPr>
            </w:pPr>
            <w:r>
              <w:rPr>
                <w:rFonts w:ascii="Arial" w:cs="Arial" w:eastAsia="Arial" w:hAnsi="Arial"/>
                <w:sz w:val="12"/>
                <w:szCs w:val="12"/>
                <w:color w:val="auto"/>
              </w:rPr>
              <w:t>Net income (loss) for the twelve months ended September 30, 2020</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(84,553)</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(84,553)</w:t>
            </w:r>
          </w:p>
        </w:tc>
      </w:tr>
      <w:tr>
        <w:trPr>
          <w:trHeight w:val="20"/>
        </w:trPr>
        <w:tc>
          <w:tcPr>
            <w:tcW w:w="39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39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Balance at September 30, 2020</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102,376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195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965,410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b w:val="1"/>
                <w:bCs w:val="1"/>
                <w:color w:val="auto"/>
              </w:rPr>
              <w:t>(503,844)</w:t>
            </w:r>
          </w:p>
        </w:tc>
        <w:tc>
          <w:tcPr>
            <w:tcW w:w="1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461,779</w:t>
            </w:r>
          </w:p>
        </w:tc>
        <w:tc>
          <w:tcPr>
            <w:tcW w:w="100" w:type="dxa"/>
            <w:vAlign w:val="bottom"/>
            <w:shd w:val="clear" w:color="auto" w:fill="CFF0FC"/>
          </w:tcPr>
          <w:p>
            <w:pPr>
              <w:spacing w:after="0"/>
              <w:rPr>
                <w:sz w:val="12"/>
                <w:szCs w:val="12"/>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18"/>
        </w:trPr>
        <w:tc>
          <w:tcPr>
            <w:tcW w:w="3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3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280"/>
              <w:spacing w:after="0" w:line="135"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11"/>
                <w:szCs w:val="11"/>
                <w:color w:val="auto"/>
              </w:rPr>
            </w:pPr>
          </w:p>
        </w:tc>
        <w:tc>
          <w:tcPr>
            <w:tcW w:w="960" w:type="dxa"/>
            <w:vAlign w:val="bottom"/>
            <w:gridSpan w:val="3"/>
          </w:tcPr>
          <w:p>
            <w:pPr>
              <w:jc w:val="center"/>
              <w:ind w:right="14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0"/>
              </w:rPr>
              <w:t>Accumulated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9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8"/>
              </w:rPr>
              <w:t>Common Stock</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w w:val="91"/>
              </w:rPr>
              <w:t>Amount ($)</w:t>
            </w:r>
          </w:p>
        </w:tc>
        <w:tc>
          <w:tcPr>
            <w:tcW w:w="2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3"/>
              </w:rPr>
              <w:t>Paid-In Capital</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5"/>
              </w:rPr>
              <w:t>Income (Loss)</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87"/>
              </w:rPr>
              <w:t>Deficit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82"/>
              <w:spacing w:after="0"/>
              <w:rPr>
                <w:sz w:val="20"/>
                <w:szCs w:val="20"/>
                <w:color w:val="auto"/>
              </w:rPr>
            </w:pPr>
            <w:r>
              <w:rPr>
                <w:rFonts w:ascii="Arial" w:cs="Arial" w:eastAsia="Arial" w:hAnsi="Arial"/>
                <w:sz w:val="12"/>
                <w:szCs w:val="12"/>
                <w:b w:val="1"/>
                <w:bCs w:val="1"/>
                <w:color w:val="auto"/>
                <w:w w:val="84"/>
              </w:rPr>
              <w:t>Totals</w:t>
            </w:r>
          </w:p>
        </w:tc>
        <w:tc>
          <w:tcPr>
            <w:tcW w:w="120" w:type="dxa"/>
            <w:vAlign w:val="bottom"/>
            <w:tcBorders>
              <w:bottom w:val="single" w:sz="8" w:color="CFF0FC"/>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9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Balance at September 30, 2020</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102,376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195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965,410</w:t>
            </w:r>
          </w:p>
        </w:tc>
        <w:tc>
          <w:tcPr>
            <w:tcW w:w="1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2"/>
                <w:szCs w:val="12"/>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18</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b w:val="1"/>
                <w:bCs w:val="1"/>
                <w:color w:val="auto"/>
              </w:rPr>
              <w:t>(503,844)</w:t>
            </w:r>
          </w:p>
        </w:tc>
        <w:tc>
          <w:tcPr>
            <w:tcW w:w="1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461,779</w:t>
            </w:r>
          </w:p>
        </w:tc>
        <w:tc>
          <w:tcPr>
            <w:tcW w:w="120" w:type="dxa"/>
            <w:vAlign w:val="bottom"/>
            <w:shd w:val="clear" w:color="auto" w:fill="CFF0FC"/>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940" w:type="dxa"/>
            <w:vAlign w:val="bottom"/>
          </w:tcPr>
          <w:p>
            <w:pPr>
              <w:ind w:left="140"/>
              <w:spacing w:after="0"/>
              <w:rPr>
                <w:sz w:val="20"/>
                <w:szCs w:val="20"/>
                <w:color w:val="auto"/>
              </w:rPr>
            </w:pPr>
            <w:r>
              <w:rPr>
                <w:rFonts w:ascii="Arial" w:cs="Arial" w:eastAsia="Arial" w:hAnsi="Arial"/>
                <w:sz w:val="12"/>
                <w:szCs w:val="12"/>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76,673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76,673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Exercise of stock options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11,304</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11,305</w:t>
            </w:r>
          </w:p>
        </w:tc>
        <w:tc>
          <w:tcPr>
            <w:tcW w:w="120" w:type="dxa"/>
            <w:vAlign w:val="bottom"/>
            <w:shd w:val="clear" w:color="auto" w:fill="CFF0FC"/>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40" w:type="dxa"/>
            <w:vAlign w:val="bottom"/>
          </w:tcPr>
          <w:p>
            <w:pPr>
              <w:ind w:left="140"/>
              <w:spacing w:after="0"/>
              <w:rPr>
                <w:sz w:val="20"/>
                <w:szCs w:val="20"/>
                <w:color w:val="auto"/>
              </w:rPr>
            </w:pPr>
            <w:r>
              <w:rPr>
                <w:rFonts w:ascii="Arial" w:cs="Arial" w:eastAsia="Arial" w:hAnsi="Arial"/>
                <w:sz w:val="12"/>
                <w:szCs w:val="12"/>
                <w:color w:val="auto"/>
              </w:rPr>
              <w:t>Common stock - restricted stock units vesting</w:t>
            </w:r>
          </w:p>
        </w:tc>
        <w:tc>
          <w:tcPr>
            <w:tcW w:w="820" w:type="dxa"/>
            <w:vAlign w:val="bottom"/>
          </w:tcPr>
          <w:p>
            <w:pPr>
              <w:jc w:val="right"/>
              <w:spacing w:after="0"/>
              <w:rPr>
                <w:sz w:val="20"/>
                <w:szCs w:val="20"/>
                <w:color w:val="auto"/>
              </w:rPr>
            </w:pPr>
            <w:r>
              <w:rPr>
                <w:rFonts w:ascii="Arial" w:cs="Arial" w:eastAsia="Arial" w:hAnsi="Arial"/>
                <w:sz w:val="12"/>
                <w:szCs w:val="12"/>
                <w:color w:val="auto"/>
              </w:rPr>
              <w:t>899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940" w:type="dxa"/>
            <w:vAlign w:val="bottom"/>
            <w:shd w:val="clear" w:color="auto" w:fill="CFF0FC"/>
          </w:tcPr>
          <w:p>
            <w:pPr>
              <w:ind w:left="140"/>
              <w:spacing w:after="0"/>
              <w:rPr>
                <w:sz w:val="20"/>
                <w:szCs w:val="20"/>
                <w:color w:val="auto"/>
              </w:rPr>
            </w:pPr>
            <w:r>
              <w:rPr>
                <w:rFonts w:ascii="Arial" w:cs="Arial" w:eastAsia="Arial" w:hAnsi="Arial"/>
                <w:sz w:val="12"/>
                <w:szCs w:val="12"/>
                <w:color w:val="auto"/>
              </w:rPr>
              <w:t>Foreign currency translation adjustments</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40" w:type="dxa"/>
            <w:vAlign w:val="bottom"/>
          </w:tcPr>
          <w:p>
            <w:pPr>
              <w:ind w:left="140"/>
              <w:spacing w:after="0"/>
              <w:rPr>
                <w:sz w:val="20"/>
                <w:szCs w:val="20"/>
                <w:color w:val="auto"/>
              </w:rPr>
            </w:pPr>
            <w:r>
              <w:rPr>
                <w:rFonts w:ascii="Arial" w:cs="Arial" w:eastAsia="Arial" w:hAnsi="Arial"/>
                <w:sz w:val="12"/>
                <w:szCs w:val="12"/>
                <w:color w:val="auto"/>
              </w:rPr>
              <w:t>Net income (loss) for the twelve months ended September 30, 2021</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(140,848)</w:t>
            </w:r>
          </w:p>
        </w:tc>
        <w:tc>
          <w:tcPr>
            <w:tcW w:w="14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(140,848)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39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39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Balance at September 30, 2021</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104,327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197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1,053,386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b w:val="1"/>
                <w:bCs w:val="1"/>
                <w:color w:val="auto"/>
              </w:rPr>
              <w:t>(69)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b w:val="1"/>
                <w:bCs w:val="1"/>
                <w:color w:val="auto"/>
              </w:rPr>
              <w:t>(644,692)</w:t>
            </w:r>
          </w:p>
        </w:tc>
        <w:tc>
          <w:tcPr>
            <w:tcW w:w="14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408,822</w:t>
            </w:r>
          </w:p>
        </w:tc>
        <w:tc>
          <w:tcPr>
            <w:tcW w:w="120" w:type="dxa"/>
            <w:vAlign w:val="bottom"/>
            <w:shd w:val="clear" w:color="auto" w:fill="CFF0FC"/>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0"/>
              </w:rPr>
              <w:t>Years ended September 30,</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6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602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6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02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(140,848)</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(84,553)</w:t>
            </w:r>
          </w:p>
        </w:tc>
        <w:tc>
          <w:tcPr>
            <w:tcW w:w="3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67,975</w:t>
            </w:r>
          </w:p>
        </w:tc>
        <w:tc>
          <w:tcPr>
            <w:tcW w:w="100" w:type="dxa"/>
            <w:vAlign w:val="bottom"/>
          </w:tcPr>
          <w:p>
            <w:pPr>
              <w:spacing w:after="0"/>
              <w:rPr>
                <w:sz w:val="19"/>
                <w:szCs w:val="19"/>
                <w:color w:val="auto"/>
              </w:rPr>
            </w:pPr>
          </w:p>
        </w:tc>
      </w:tr>
      <w:tr>
        <w:trPr>
          <w:trHeight w:val="229"/>
        </w:trPr>
        <w:tc>
          <w:tcPr>
            <w:tcW w:w="6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43,383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shd w:val="clear" w:color="auto" w:fill="CFF0FC"/>
          </w:tcPr>
          <w:p>
            <w:pPr>
              <w:spacing w:after="0"/>
              <w:rPr>
                <w:sz w:val="19"/>
                <w:szCs w:val="19"/>
                <w:color w:val="auto"/>
              </w:rPr>
            </w:pPr>
          </w:p>
        </w:tc>
      </w:tr>
      <w:tr>
        <w:trPr>
          <w:trHeight w:val="229"/>
        </w:trPr>
        <w:tc>
          <w:tcPr>
            <w:tcW w:w="60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4,439</w:t>
            </w:r>
          </w:p>
        </w:tc>
        <w:tc>
          <w:tcPr>
            <w:tcW w:w="100" w:type="dxa"/>
            <w:vAlign w:val="bottom"/>
          </w:tcPr>
          <w:p>
            <w:pPr>
              <w:spacing w:after="0"/>
              <w:rPr>
                <w:sz w:val="19"/>
                <w:szCs w:val="19"/>
                <w:color w:val="auto"/>
              </w:rPr>
            </w:pPr>
          </w:p>
        </w:tc>
      </w:tr>
      <w:tr>
        <w:trPr>
          <w:trHeight w:val="230"/>
        </w:trPr>
        <w:tc>
          <w:tcPr>
            <w:tcW w:w="6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Amortization/(accretion) of note premiums</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FF0FC"/>
          </w:tcPr>
          <w:p>
            <w:pPr>
              <w:spacing w:after="0"/>
              <w:rPr>
                <w:sz w:val="19"/>
                <w:szCs w:val="19"/>
                <w:color w:val="auto"/>
              </w:rPr>
            </w:pPr>
          </w:p>
        </w:tc>
      </w:tr>
      <w:tr>
        <w:trPr>
          <w:trHeight w:val="229"/>
        </w:trPr>
        <w:tc>
          <w:tcPr>
            <w:tcW w:w="602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Accounts receivable</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(9,409)</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(334)</w:t>
            </w:r>
          </w:p>
        </w:tc>
      </w:tr>
      <w:tr>
        <w:trPr>
          <w:trHeight w:val="229"/>
        </w:trPr>
        <w:tc>
          <w:tcPr>
            <w:tcW w:w="6020" w:type="dxa"/>
            <w:vAlign w:val="bottom"/>
          </w:tcPr>
          <w:p>
            <w:pPr>
              <w:ind w:left="62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(3,711)</w:t>
            </w:r>
          </w:p>
        </w:tc>
      </w:tr>
      <w:tr>
        <w:trPr>
          <w:trHeight w:val="229"/>
        </w:trPr>
        <w:tc>
          <w:tcPr>
            <w:tcW w:w="60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Accounts payable</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(821)</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4,844</w:t>
            </w:r>
          </w:p>
        </w:tc>
        <w:tc>
          <w:tcPr>
            <w:tcW w:w="100" w:type="dxa"/>
            <w:vAlign w:val="bottom"/>
            <w:shd w:val="clear" w:color="auto" w:fill="CFF0FC"/>
          </w:tcPr>
          <w:p>
            <w:pPr>
              <w:spacing w:after="0"/>
              <w:rPr>
                <w:sz w:val="19"/>
                <w:szCs w:val="19"/>
                <w:color w:val="auto"/>
              </w:rPr>
            </w:pPr>
          </w:p>
        </w:tc>
      </w:tr>
      <w:tr>
        <w:trPr>
          <w:trHeight w:val="230"/>
        </w:trPr>
        <w:tc>
          <w:tcPr>
            <w:tcW w:w="6020" w:type="dxa"/>
            <w:vAlign w:val="bottom"/>
          </w:tcPr>
          <w:p>
            <w:pPr>
              <w:ind w:left="620"/>
              <w:spacing w:after="0"/>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19"/>
                <w:szCs w:val="19"/>
                <w:color w:val="auto"/>
              </w:rPr>
            </w:pPr>
          </w:p>
        </w:tc>
      </w:tr>
      <w:tr>
        <w:trPr>
          <w:trHeight w:val="229"/>
        </w:trPr>
        <w:tc>
          <w:tcPr>
            <w:tcW w:w="60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Deferred revenue</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223,258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(63,514)</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82,804</w:t>
            </w:r>
          </w:p>
        </w:tc>
        <w:tc>
          <w:tcPr>
            <w:tcW w:w="100" w:type="dxa"/>
            <w:vAlign w:val="bottom"/>
            <w:shd w:val="clear" w:color="auto" w:fill="CFF0FC"/>
          </w:tcPr>
          <w:p>
            <w:pPr>
              <w:spacing w:after="0"/>
              <w:rPr>
                <w:sz w:val="19"/>
                <w:szCs w:val="19"/>
                <w:color w:val="auto"/>
              </w:rPr>
            </w:pPr>
          </w:p>
        </w:tc>
      </w:tr>
      <w:tr>
        <w:trPr>
          <w:trHeight w:val="229"/>
        </w:trPr>
        <w:tc>
          <w:tcPr>
            <w:tcW w:w="602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FF0FC"/>
            </w:tcBorders>
          </w:tcPr>
          <w:p>
            <w:pPr>
              <w:spacing w:after="0"/>
              <w:rPr>
                <w:sz w:val="19"/>
                <w:szCs w:val="19"/>
                <w:color w:val="auto"/>
              </w:rPr>
            </w:pPr>
          </w:p>
        </w:tc>
      </w:tr>
      <w:tr>
        <w:trPr>
          <w:trHeight w:val="223"/>
        </w:trPr>
        <w:tc>
          <w:tcPr>
            <w:tcW w:w="6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PROVIDED BY (USED IN) OPERATING ACTIVITIES</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171,224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(95,391)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173,035</w:t>
            </w:r>
          </w:p>
        </w:tc>
        <w:tc>
          <w:tcPr>
            <w:tcW w:w="100" w:type="dxa"/>
            <w:vAlign w:val="bottom"/>
            <w:shd w:val="clear" w:color="auto" w:fill="CFF0FC"/>
          </w:tcPr>
          <w:p>
            <w:pPr>
              <w:spacing w:after="0"/>
              <w:rPr>
                <w:sz w:val="19"/>
                <w:szCs w:val="19"/>
                <w:color w:val="auto"/>
              </w:rPr>
            </w:pP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Purchases of property and equipment</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(23,567)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(11,952)</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(12,001)</w:t>
            </w:r>
          </w:p>
        </w:tc>
      </w:tr>
      <w:tr>
        <w:trPr>
          <w:trHeight w:val="229"/>
        </w:trPr>
        <w:tc>
          <w:tcPr>
            <w:tcW w:w="602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(240,703)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(278,964)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(90,266)</w:t>
            </w:r>
          </w:p>
        </w:tc>
      </w:tr>
      <w:tr>
        <w:trPr>
          <w:trHeight w:val="230"/>
        </w:trPr>
        <w:tc>
          <w:tcPr>
            <w:tcW w:w="6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sale of investments</w:t>
            </w:r>
          </w:p>
        </w:tc>
        <w:tc>
          <w:tcPr>
            <w:tcW w:w="5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122,592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54,521</w:t>
            </w:r>
          </w:p>
        </w:tc>
        <w:tc>
          <w:tcPr>
            <w:tcW w:w="100" w:type="dxa"/>
            <w:vAlign w:val="bottom"/>
            <w:shd w:val="clear" w:color="auto" w:fill="CFF0FC"/>
          </w:tcPr>
          <w:p>
            <w:pPr>
              <w:spacing w:after="0"/>
              <w:rPr>
                <w:sz w:val="19"/>
                <w:szCs w:val="19"/>
                <w:color w:val="auto"/>
              </w:rPr>
            </w:pPr>
          </w:p>
        </w:tc>
      </w:tr>
      <w:tr>
        <w:trPr>
          <w:trHeight w:val="223"/>
        </w:trPr>
        <w:tc>
          <w:tcPr>
            <w:tcW w:w="602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(141,678)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(240,778)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(47,746)</w:t>
            </w:r>
          </w:p>
        </w:tc>
        <w:tc>
          <w:tcPr>
            <w:tcW w:w="100" w:type="dxa"/>
            <w:vAlign w:val="bottom"/>
          </w:tcPr>
          <w:p>
            <w:pPr>
              <w:spacing w:after="0"/>
              <w:rPr>
                <w:sz w:val="19"/>
                <w:szCs w:val="19"/>
                <w:color w:val="auto"/>
              </w:rPr>
            </w:pPr>
          </w:p>
        </w:tc>
      </w:tr>
      <w:tr>
        <w:trPr>
          <w:trHeight w:val="230"/>
        </w:trPr>
        <w:tc>
          <w:tcPr>
            <w:tcW w:w="6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020" w:type="dxa"/>
            <w:vAlign w:val="bottom"/>
          </w:tcPr>
          <w:p>
            <w:pPr>
              <w:ind w:left="380"/>
              <w:spacing w:after="0"/>
              <w:rPr>
                <w:sz w:val="20"/>
                <w:szCs w:val="20"/>
                <w:color w:val="auto"/>
              </w:rPr>
            </w:pPr>
            <w:r>
              <w:rPr>
                <w:rFonts w:ascii="Arial" w:cs="Arial" w:eastAsia="Arial" w:hAnsi="Arial"/>
                <w:sz w:val="18"/>
                <w:szCs w:val="18"/>
                <w:color w:val="auto"/>
              </w:rPr>
              <w:t>Principal payments on notes payable</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(2,415)</w:t>
            </w:r>
          </w:p>
        </w:tc>
      </w:tr>
      <w:tr>
        <w:trPr>
          <w:trHeight w:val="229"/>
        </w:trPr>
        <w:tc>
          <w:tcPr>
            <w:tcW w:w="6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the exercises of stock options</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8,275</w:t>
            </w:r>
          </w:p>
        </w:tc>
        <w:tc>
          <w:tcPr>
            <w:tcW w:w="100" w:type="dxa"/>
            <w:vAlign w:val="bottom"/>
            <w:shd w:val="clear" w:color="auto" w:fill="CFF0FC"/>
          </w:tcPr>
          <w:p>
            <w:pPr>
              <w:spacing w:after="0"/>
              <w:rPr>
                <w:sz w:val="19"/>
                <w:szCs w:val="19"/>
                <w:color w:val="auto"/>
              </w:rPr>
            </w:pPr>
          </w:p>
        </w:tc>
      </w:tr>
      <w:tr>
        <w:trPr>
          <w:trHeight w:val="230"/>
        </w:trPr>
        <w:tc>
          <w:tcPr>
            <w:tcW w:w="60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5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250,479</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60,522</w:t>
            </w:r>
          </w:p>
        </w:tc>
        <w:tc>
          <w:tcPr>
            <w:tcW w:w="100" w:type="dxa"/>
            <w:vAlign w:val="bottom"/>
            <w:tcBorders>
              <w:bottom w:val="single" w:sz="8" w:color="CFF0FC"/>
            </w:tcBorders>
          </w:tcPr>
          <w:p>
            <w:pPr>
              <w:spacing w:after="0"/>
              <w:rPr>
                <w:sz w:val="19"/>
                <w:szCs w:val="19"/>
                <w:color w:val="auto"/>
              </w:rPr>
            </w:pPr>
          </w:p>
        </w:tc>
      </w:tr>
      <w:tr>
        <w:trPr>
          <w:trHeight w:val="223"/>
        </w:trPr>
        <w:tc>
          <w:tcPr>
            <w:tcW w:w="6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257,948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66,382</w:t>
            </w:r>
          </w:p>
        </w:tc>
        <w:tc>
          <w:tcPr>
            <w:tcW w:w="100" w:type="dxa"/>
            <w:vAlign w:val="bottom"/>
            <w:shd w:val="clear" w:color="auto" w:fill="CFF0FC"/>
          </w:tcPr>
          <w:p>
            <w:pPr>
              <w:spacing w:after="0"/>
              <w:rPr>
                <w:sz w:val="19"/>
                <w:szCs w:val="19"/>
                <w:color w:val="auto"/>
              </w:rPr>
            </w:pPr>
          </w:p>
        </w:tc>
      </w:tr>
      <w:tr>
        <w:trPr>
          <w:trHeight w:val="230"/>
        </w:trPr>
        <w:tc>
          <w:tcPr>
            <w:tcW w:w="6020" w:type="dxa"/>
            <w:vAlign w:val="bottom"/>
          </w:tcPr>
          <w:p>
            <w:pPr>
              <w:ind w:left="380"/>
              <w:spacing w:after="0"/>
              <w:rPr>
                <w:sz w:val="20"/>
                <w:szCs w:val="20"/>
                <w:color w:val="auto"/>
              </w:rPr>
            </w:pPr>
            <w:r>
              <w:rPr>
                <w:rFonts w:ascii="Arial" w:cs="Arial" w:eastAsia="Arial" w:hAnsi="Arial"/>
                <w:sz w:val="18"/>
                <w:szCs w:val="18"/>
                <w:color w:val="auto"/>
              </w:rPr>
              <w:t>NET INCREASE (DECREASE) IN CASH</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(78,221)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191,671</w:t>
            </w:r>
          </w:p>
        </w:tc>
        <w:tc>
          <w:tcPr>
            <w:tcW w:w="100" w:type="dxa"/>
            <w:vAlign w:val="bottom"/>
          </w:tcPr>
          <w:p>
            <w:pPr>
              <w:spacing w:after="0"/>
              <w:rPr>
                <w:sz w:val="19"/>
                <w:szCs w:val="19"/>
                <w:color w:val="auto"/>
              </w:rPr>
            </w:pPr>
          </w:p>
        </w:tc>
      </w:tr>
      <w:tr>
        <w:trPr>
          <w:trHeight w:val="230"/>
        </w:trPr>
        <w:tc>
          <w:tcPr>
            <w:tcW w:w="6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 AT BEGINNING OF PERIOD</w:t>
            </w:r>
          </w:p>
        </w:tc>
        <w:tc>
          <w:tcPr>
            <w:tcW w:w="5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143,583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221,804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30,133</w:t>
            </w:r>
          </w:p>
        </w:tc>
        <w:tc>
          <w:tcPr>
            <w:tcW w:w="100" w:type="dxa"/>
            <w:vAlign w:val="bottom"/>
            <w:shd w:val="clear" w:color="auto" w:fill="CFF0FC"/>
          </w:tcPr>
          <w:p>
            <w:pPr>
              <w:spacing w:after="0"/>
              <w:rPr>
                <w:sz w:val="19"/>
                <w:szCs w:val="19"/>
                <w:color w:val="auto"/>
              </w:rPr>
            </w:pPr>
          </w:p>
        </w:tc>
      </w:tr>
      <w:tr>
        <w:trPr>
          <w:trHeight w:val="263"/>
        </w:trPr>
        <w:tc>
          <w:tcPr>
            <w:tcW w:w="60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CASH AND CASH EQUIVALENTS AT END OF PERIOD</w:t>
            </w:r>
          </w:p>
        </w:tc>
        <w:tc>
          <w:tcPr>
            <w:tcW w:w="5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184,434</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143,583</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221,804</w:t>
            </w:r>
          </w:p>
        </w:tc>
        <w:tc>
          <w:tcPr>
            <w:tcW w:w="100" w:type="dxa"/>
            <w:vAlign w:val="bottom"/>
            <w:tcBorders>
              <w:bottom w:val="single" w:sz="8" w:color="CFF0FC"/>
            </w:tcBorders>
          </w:tcPr>
          <w:p>
            <w:pPr>
              <w:spacing w:after="0"/>
              <w:rPr>
                <w:sz w:val="22"/>
                <w:szCs w:val="22"/>
                <w:color w:val="auto"/>
              </w:rPr>
            </w:pPr>
          </w:p>
        </w:tc>
      </w:tr>
      <w:tr>
        <w:trPr>
          <w:trHeight w:val="210"/>
        </w:trPr>
        <w:tc>
          <w:tcPr>
            <w:tcW w:w="6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Supplementary disclosures:</w:t>
            </w: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020" w:type="dxa"/>
            <w:vAlign w:val="bottom"/>
          </w:tcPr>
          <w:p>
            <w:pPr>
              <w:ind w:left="380"/>
              <w:spacing w:after="0"/>
              <w:rPr>
                <w:sz w:val="20"/>
                <w:szCs w:val="20"/>
                <w:color w:val="auto"/>
              </w:rPr>
            </w:pPr>
            <w:r>
              <w:rPr>
                <w:rFonts w:ascii="Arial" w:cs="Arial" w:eastAsia="Arial" w:hAnsi="Arial"/>
                <w:sz w:val="18"/>
                <w:szCs w:val="18"/>
                <w:color w:val="auto"/>
              </w:rPr>
              <w:t>Interest paid</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6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Taxes (Paid)/Refunded</w:t>
            </w: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(302)</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and Arrowhead Australia Pty Ltd (“Arrowhead Australia”), (4) the term “Common Stock” refers to Arrowhead’s Common Stock, (5) the term “Preferred Stock” refers to Arrowhead’s Preferred Stock and (6) the term “Stockholder(s)” refers to the holders of Arrowhead Common Stock.</w:t>
      </w:r>
    </w:p>
    <w:p>
      <w:pPr>
        <w:spacing w:after="0" w:line="321" w:lineRule="exact"/>
        <w:rPr>
          <w:sz w:val="20"/>
          <w:szCs w:val="20"/>
          <w:color w:val="auto"/>
        </w:rPr>
      </w:pPr>
    </w:p>
    <w:p>
      <w:pPr>
        <w:ind w:right="538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Recent Developments</w:t>
      </w:r>
    </w:p>
    <w:p>
      <w:pPr>
        <w:ind w:firstLine="510"/>
        <w:spacing w:after="0" w:line="283" w:lineRule="auto"/>
        <w:rPr>
          <w:sz w:val="20"/>
          <w:szCs w:val="20"/>
          <w:color w:val="auto"/>
        </w:rPr>
      </w:pPr>
      <w:r>
        <w:rPr>
          <w:rFonts w:ascii="Arial" w:cs="Arial" w:eastAsia="Arial" w:hAnsi="Arial"/>
          <w:sz w:val="16"/>
          <w:szCs w:val="16"/>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ARO-APOC3 for hypertriglyceridemia, ARO-ANG3 for dyslipidemia, ARO-HSD for liver disease, ARO-ENaC for cystic fibrosis, ARO-HIF2 for renal cell carcinoma, ARO-DUX4 for facioscapulohumeral muscular dystrophy, ARO-LUNG2 for chronic obstructive pulmonary disorder, ARO-COV for the coronavirus that causes COVID-19 and other possible future pulmonary-borne pathogens and ARO-C3 for complement mediated diseases. ARO-XDH is being developed for uncontrolled gout under a collaboration agreement with Horizon Therapeutics Ireland DAC (“Horizon”). ARO-JNJ2 and ARO-JNJ3 are being developed for undisclosed liver-expressed targets under a collaboration agreement with Janssen Pharmaceuticals, Inc.</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(“Janssen”). JNJ-75220795 (ARO-JNJ1) is being developed by Janssen as a potential treatment for patients with non-alcoholic steatohepatitis</w:t>
      </w:r>
    </w:p>
    <w:p>
      <w:pPr>
        <w:spacing w:after="0" w:line="21"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(NASH). ARO-AAT for liver disease associated with alpha-1 antitrypsin deficiency (“AATD”) was out-licensed to Takeda Pharmaceuticals U.S.A., Inc. (“Takeda”) in October 2020. JNJ3989 (formerly referred to as ARO-HBV) for chronic hepatitis B virus was out-licensed to Janssen in October 2018. Olpasiran (formerly referred to as AMG 890 or ARO-LPA) for cardiovascular disease was out-licensed to Amgen Inc. (“Amgen”) in 2016.</w:t>
      </w:r>
    </w:p>
    <w:p>
      <w:pPr>
        <w:spacing w:after="0" w:line="173" w:lineRule="exact"/>
        <w:rPr>
          <w:sz w:val="20"/>
          <w:szCs w:val="20"/>
          <w:color w:val="auto"/>
        </w:rPr>
      </w:pPr>
    </w:p>
    <w:p>
      <w:pPr>
        <w:ind w:right="20" w:firstLine="514"/>
        <w:spacing w:after="0" w:line="284" w:lineRule="auto"/>
        <w:rPr>
          <w:sz w:val="20"/>
          <w:szCs w:val="20"/>
          <w:color w:val="auto"/>
        </w:rPr>
      </w:pPr>
      <w:r>
        <w:rPr>
          <w:rFonts w:ascii="Arial" w:cs="Arial" w:eastAsia="Arial" w:hAnsi="Arial"/>
          <w:sz w:val="16"/>
          <w:szCs w:val="16"/>
          <w:color w:val="auto"/>
        </w:rPr>
        <w:t>During fiscal year 2021, the Company continued to develop its pipeline and partnered candidates. The Company announced positive interim clinical data on (i) AROAAT2002, an open-label Phase 2 clinical study of ARO-AAT, the Company’s second-generation investigational RNAi therapeutic being co-developed with Takeda as a treatment for the rare genetic liver disease associated with AATD, (ii) AROHSD1001, a Phase 1/2 clinical study of ARO-HSD, the Company’s investigational RNAi therapeutic being developed as a treatment for patients with alcohol-related and nonalcohol related liver diseases, such as nonalcoholic steatohepatitis (NASH), and (iii) AROHIF21001, a Phase 1b dose-finding clinical study of ARO-HIF2, the Company’s investigational RNAi therapeutic being developed as a treatment for patients with clear cell renal cell carcinoma. The Company also presented preclinical data on the development of ARO-DUX4, the Company’s investigational RNAi therapeutic being developed as a treatment for patients with facioscapulohumeral muscular dystrophy (FSHD), at the 28th Annual FSHD Society International Research Congress. The Company hosted a key opinion leader webinar on its cardiometabolic candidates, ARO-APOC3 and ARO-ANG3, and presented positive clinical data from the Phase 1/2 clinical studies of ARO-APOC3 and ARO-ANG3 at the American Heart Association Scientific Sessions 2020. The Company filed two Investigational New Drug Applications with the United States Food and Drug Administration (the “FDA”) to begin a Phase 2b clinical study of ARO-APOC3 in patients with severe hypertriglyceridemia and a Phase 2b clinical study of ARO-ANG3 in patients with mixed dyslipidemia, and initiated these two Phase 2b clinical studies in the third quarter of fiscal year 2021. The Company also filed for regulatory clearance to begin a Phase 1/2a study of ARO-C3 for treatment of complement mediated diseases. In July 2021, the Company voluntarily paused AROENaC1001, a Phase 1/2 clinical study of ARO-ENaC, the Company’s investigational RNAi therapeutic being developed as a treatment for patients with cystic fibrosis, after receiving a preliminary update from an ongoing chronic toxicology study in rats that contained unexpected signals of local lung inflammation. New screening, enrollment and any further dosing of investigational ARO-ENaC have been paused pending additional data from ongoing nonclinical toxicology studies. The Company announced two collaborations during fiscal year 2021: a collaboration with Takeda to co-develop and co-commercialize ARO-AAT for alpha-1 antitrypsin-associated liver disease and a collaboration with Horizon to develop ARO-XDH, an investigational RNAi therapeutic for uncontrolled gout. In July 2021, the Company received Breakthrough Therapy designation from the FDA for ARO-AAT, which is a process designed to expedite the development and review of drugs that are intended to treat a serious life-threatening disease or condition and preliminary clinical evidence indicates that the drug may demonstrate substantial improvement over existing therapies on one or more clinically significant endpoints.</w:t>
      </w:r>
    </w:p>
    <w:p>
      <w:pPr>
        <w:spacing w:after="0" w:line="396"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The Company’s partnered candidates under its collaboration agreements also continued to progress. Janssen began dosing patients in a Phase 2b triple combination study called REEF-1, designed to enroll up to 450 patients with chronic hepatitis B infection. The Company is currently performing discovery, optimization and preclinical research and development for ARO-JNJ2 and ARO-JNJ3 for Janssen as part of the Company’s Research Collaboration and Option Agreement with Janssen (“Janssen Collaboration Agreement”), and Janssen has began dosing patients in its Phase 1 clinical trial for JNJ-75220795 (ARO-JNJ1). Amgen has initiated a Phase 2 clinical trial for Olpasiran (previously referred to as AMG 890 or ARO-LPA). The Company entered into two licensing deals during fiscal 2021: i) an Exclusive License and Co-Funding Agreement (the “Takeda License Agreement”) with Takeda for ARO-AAT, and ii) a Collaboration and License Agreement (the “Horizon License Agreement”) with Horizon Therapeutics Ireland DAC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ind w:right="100"/>
        <w:spacing w:after="0" w:line="259" w:lineRule="auto"/>
        <w:rPr>
          <w:sz w:val="20"/>
          <w:szCs w:val="20"/>
          <w:color w:val="auto"/>
        </w:rPr>
      </w:pPr>
      <w:r>
        <w:rPr>
          <w:rFonts w:ascii="Arial" w:cs="Arial" w:eastAsia="Arial" w:hAnsi="Arial"/>
          <w:sz w:val="18"/>
          <w:szCs w:val="18"/>
          <w:color w:val="auto"/>
        </w:rPr>
        <w:t>(“Horizon”) for ARO-XDH. ARO-AAT is currently in phase 2 clinical trials and ARO-XDH is in discovery-stage. During fiscal year 2021, the Company earned $340.0 million in upfront payments from its collaboration agreements, and $20.0 million in option and milestone payments. In total, the Company remains eligible for $5.3 billion in developmental, regulatory and sales milestones and various royalties on net sales. The revenue recognition for these collaboration agreements is discussed further in Note 2 below.</w:t>
      </w:r>
    </w:p>
    <w:p>
      <w:pPr>
        <w:spacing w:after="0" w:line="187"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auto"/>
        </w:rPr>
        <w:t>Arrowhead operates lab facilities in Madison, Wisconsin and San Diego, California, where the Company’s research and development activities, including the development of RNAi therapeutics, take place. The Company’s principal executive offices are located in Pasadena, California.</w:t>
      </w:r>
    </w:p>
    <w:p>
      <w:pPr>
        <w:spacing w:after="0" w:line="124"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The Company is actively monitoring the ongoing COVID-19 pandemic. The financial results for the years ended September 30, 2021 and 2020 were not significantly impacted by COVID-19. Operationally, the Company experienced delays in its earlier stage programs due to a shortage in non-human primates, which are critical to the Company’s preclinical programs. Additionally, the Company experienced delays in enrollment in its clinical trials. The Company’s operations at its research and development facilities in Madison, Wisconsin and San Diego, California, and its corporate headquarters in Pasadena, California have continued with limited impact, other than for enhanced safety measures, including work from home policies, and intermittent lab supply shortages. However, the Company cannot predict the impact the progression of COVID-19 will have on future financial and operational results due to a variety of factors, including the ability of the Company’s clinical sites to continue to enroll subjects, the ability of the Company’s suppliers to continue to operate, the continued good health and safety of the Company’s employees and the length and severity of the COVID-19 pandemic.</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Consolidated Financial Statements have been prepared in conformity with the accounting principles generally accepted in the United States of America (“GAAP”), which contemplate the continuation of the Company as a going concern. Historically, the Company’s primary sources of financing have been through the sale of its securities and revenue from its licensing and collaboration agreements. Research and development activities have required significant capital investment since the Company’s inception and are expected to continue to require significant cash expenditure in the future, particularly as the Company’s pipeline of drug candidates and its headcount have both expanded significantly. Additionally, significant capital investment will be required as the Company’s pipeline matures into later stage clinical trials, as well as with the Company’s plans to increase its internal manufacturing capabilities.</w:t>
      </w:r>
    </w:p>
    <w:p>
      <w:pPr>
        <w:spacing w:after="0" w:line="195"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At September 30, 2021, the Company had $184.4 million in cash and cash equivalents (including $2.4 million in restricted cash), $56.6 million in short-term investments and $126.7 million in marketable securities, and $245.6 million in long-term investments to fund operations. During the year ended September 30, 2021, the Company’s cash and investments balance increased by $160.4 million, was primarily the result of the $300.0 million upfront payment from the Takeda License Agreement and the $40 million upfront payment from the Horizon License Agreement, partially offset by cash used to fund the Company’s research and development operations and general and administrative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84"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Basis of Presentation and Use of Estimates—The preparation of financial statements in conformity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Additionally, certain reclassifications have been made to prior period financial statements to conform to the current period presentation.</w:t>
      </w:r>
    </w:p>
    <w:p>
      <w:pPr>
        <w:spacing w:after="0" w:line="15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Cash and Cash Equivalents—The Company considers all liquid debt instruments purchased with a maturity of three months or less to be cash equivalents. Included within Cash and cash equivalents on the Consolidated Balance Sheets is $2.4 million and $1.8 restricted cash at September 30, 2021 and September 30, 2020, respectively. Amounts included in restricted cash are primarily held as collateral associated with a letter of credit for the Company’s lease for its corporate headquarters in Pasadena, California.</w:t>
      </w:r>
    </w:p>
    <w:p>
      <w:pPr>
        <w:spacing w:after="0" w:line="187" w:lineRule="exact"/>
        <w:rPr>
          <w:sz w:val="20"/>
          <w:szCs w:val="20"/>
          <w:color w:val="auto"/>
        </w:rPr>
      </w:pPr>
    </w:p>
    <w:p>
      <w:pPr>
        <w:ind w:right="300" w:firstLine="510"/>
        <w:spacing w:after="0" w:line="286" w:lineRule="auto"/>
        <w:rPr>
          <w:sz w:val="20"/>
          <w:szCs w:val="20"/>
          <w:color w:val="auto"/>
        </w:rPr>
      </w:pPr>
      <w:r>
        <w:rPr>
          <w:rFonts w:ascii="Arial" w:cs="Arial" w:eastAsia="Arial" w:hAnsi="Arial"/>
          <w:sz w:val="17"/>
          <w:szCs w:val="17"/>
          <w:color w:val="auto"/>
        </w:rPr>
        <w:t>Concentration of Credit Risk—The Company maintains several bank accounts primarily at two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ind w:right="180" w:firstLine="510"/>
        <w:spacing w:after="0" w:line="257" w:lineRule="auto"/>
        <w:rPr>
          <w:sz w:val="20"/>
          <w:szCs w:val="20"/>
          <w:color w:val="auto"/>
        </w:rPr>
      </w:pPr>
      <w:r>
        <w:rPr>
          <w:rFonts w:ascii="Arial" w:cs="Arial" w:eastAsia="Arial" w:hAnsi="Arial"/>
          <w:sz w:val="18"/>
          <w:szCs w:val="18"/>
          <w:color w:val="auto"/>
        </w:rPr>
        <w:t>Investments—The Company may invest excess cash balances in short-term and long-term marketable debt and equity securities. Investments may consist of certificates of deposit, money market accounts, government-sponsored enterprise securities, corporate bonds and/or commercial paper. The Company accounts for its investments in accordance with Financial Accounting Standards Board (“FASB”) ASC 320, Investments – Debt and Equity Securities and ASC 321, Investments in Equity Securities. ASC 320-Investments-Debt and Equity Securities requires debt securities to be classified into three categories: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color w:val="auto"/>
        </w:rPr>
        <w:t>Trading Securities—Debt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Available-for-Sale—Debt securities not classified as either securities held-to-maturity or trading securities are reported at fair value with unrealized gains or losses excluded from earnings and reported as a separate component of stockholders’ equity.</w:t>
      </w:r>
    </w:p>
    <w:p>
      <w:pPr>
        <w:spacing w:after="0" w:line="170"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The Company classifies its investments in marketable debt securities based on the facts and circumstances present at the time of purchase of the securities. During the years ended September 30, 2021, 2020 and 2019, all of the Company’s debt securities were classified as held-to-maturity.</w:t>
      </w:r>
    </w:p>
    <w:p>
      <w:pPr>
        <w:spacing w:after="0" w:line="12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invests in shares of mutual funds that invest in marketable debt securities such as U.S. government bonds, U.S. government agency bonds, corporate bonds, and other asset backed debt securities. The Company accounts for these securities using the guidance from FASB ASC 321, Investments-Equity Securities. These securities are recorded on the Company’s Consolidated Balance Sheet as “marketable securities” and recorded at fair value. All unrealized gains/losses associated with these securities are recorded in the Company’s Consolidated Statement of Operations and Comprehensive Income (Loss).</w:t>
      </w:r>
    </w:p>
    <w:p>
      <w:pPr>
        <w:spacing w:after="0" w:line="188"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 and are also reviewed annually to determine whether any impairment is necessary.</w:t>
      </w:r>
    </w:p>
    <w:p>
      <w:pPr>
        <w:spacing w:after="0" w:line="22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Contingent Consideration—The consideration for the Company’s acquisitions may include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Income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The Company determined the fair value of its contingent consideration obligation to be $0 at September 30, 2021 and September 30, 2020.</w:t>
      </w:r>
    </w:p>
    <w:p>
      <w:pPr>
        <w:spacing w:after="0" w:line="171"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Revenue Recognition— On October 1, 2018, the Company adopted FASB Topic 606 – Revenue for Contracts from Customers which amended revenue recognition principles and provides a single, comprehensive set of criteria for revenue recognition within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2" w:name="page83"/>
    <w:bookmarkEnd w:id="82"/>
    <w:p>
      <w:pPr>
        <w:ind w:right="20"/>
        <w:spacing w:after="0" w:line="259" w:lineRule="auto"/>
        <w:rPr>
          <w:sz w:val="20"/>
          <w:szCs w:val="20"/>
          <w:color w:val="auto"/>
        </w:rPr>
      </w:pPr>
      <w:r>
        <w:rPr>
          <w:rFonts w:ascii="Arial" w:cs="Arial" w:eastAsia="Arial" w:hAnsi="Arial"/>
          <w:sz w:val="18"/>
          <w:szCs w:val="18"/>
          <w:color w:val="auto"/>
        </w:rPr>
        <w:t>across all industries. The Company’s adoption of the revenue standard did not have a material impact on its Consolidated Financial Statements. The Company has not yet achieved commercial sales of its drug candidates to date, however, the new standard is applicable to the Company’s ongoing licensing and collaboration agreements, including those with Amgen, Janssen, Takeda and Horizon, and the analysis of the impact of this guidance on those agreements is discussed further in Note 2 of Notes to Consolidated Financial Statements.</w:t>
      </w:r>
    </w:p>
    <w:p>
      <w:pPr>
        <w:spacing w:after="0" w:line="187"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The revenue standard provides a five-step framework for recognizing revenue as control of promised goods or services is transferred to a customer at an amount that reflects the consideration to which the entity expects to be entitled in exchange for those goods or services. To determine revenue recognition for arrangements that the Company determines are within the scope of the revenue standard, the Company performs the following five steps: (i) identify the contract; (ii) identify the performance obligations; (iii) determine the transaction price; (iv) allocate the transaction price to the performance obligations in the contract; and (v) recognize revenue when (or as) the Company satisfies a performance obligation. 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the Company determines is probable to not cause a significant reversal in the amount of cumulative revenue recognized when the uncertainty associated with the variable consideration is resolved. The Company then allocates the transaction price to each performance obligation and recognizes the associated revenue when (or as) each performance obligation is satisfied.</w:t>
      </w:r>
    </w:p>
    <w:p>
      <w:pPr>
        <w:spacing w:after="0" w:line="16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 the appropriate method of measuring progress for purposes of recognizing revenue from license payments. The Company evaluates the measure of progress each reporting period and, if necessary, adjusts the related revenue recognition.</w:t>
      </w:r>
    </w:p>
    <w:p>
      <w:pPr>
        <w:spacing w:after="0" w:line="19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Clinical Trial Application (“CTA”) or a New Drug Application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 likely 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our milestones and royalties, and, if necessary, adjusts its estimate of the overall transaction price. Any such adjustments are recorded on a cumulative catch-up basis, which would affect revenues and net income in our Consolidated Statements of Operations and Comprehensive Income (Loss). Typically, milestone payments and royalties are achieved after the Company’s performance obligations associated with the collaboration agreements have been completed and after the customer has assumed responsibility for the respective clinical or pre-clinical program. Milestones or royalties achieved after the Company’s performance obligations have been completed are recognized as revenue in the period the milestone or royalty was achieved. If a milestone payment is achieved during the performance period, the milestone payment would be recognized as revenue to the extent performance had been completed at that point, and the remaining balance would be recorded as deferred revenue.</w:t>
      </w:r>
    </w:p>
    <w:p>
      <w:pPr>
        <w:spacing w:after="0" w:line="167" w:lineRule="exact"/>
        <w:rPr>
          <w:sz w:val="20"/>
          <w:szCs w:val="20"/>
          <w:color w:val="auto"/>
        </w:rPr>
      </w:pPr>
    </w:p>
    <w:p>
      <w:pPr>
        <w:jc w:val="both"/>
        <w:ind w:right="280" w:firstLine="510"/>
        <w:spacing w:after="0" w:line="259" w:lineRule="auto"/>
        <w:rPr>
          <w:sz w:val="20"/>
          <w:szCs w:val="20"/>
          <w:color w:val="auto"/>
        </w:rPr>
      </w:pPr>
      <w:r>
        <w:rPr>
          <w:rFonts w:ascii="Arial" w:cs="Arial" w:eastAsia="Arial" w:hAnsi="Arial"/>
          <w:sz w:val="18"/>
          <w:szCs w:val="18"/>
          <w:color w:val="auto"/>
        </w:rPr>
        <w:t>The revenue standard requires the Company to assess whether a significant financing component exists in determining the transaction price. The Company performs this assessment at the onset of its licensing or collaboration agreements. Typically, a significant financing component does not exist because the customer is paying for a license or services in advance with an upfront payment. Additionally, future royalty payments are not substantially within the control of the Company or the customer.</w:t>
      </w:r>
    </w:p>
    <w:p>
      <w:pPr>
        <w:spacing w:after="0" w:line="18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The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revenue standard as the price at which an entity would sell a promised good or service separately to a customer. If other observable transactions in which the Company has sold the same performance obligation separately are not available, the Company estimates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ind w:firstLine="510"/>
        <w:spacing w:after="0" w:line="254" w:lineRule="auto"/>
        <w:rPr>
          <w:sz w:val="20"/>
          <w:szCs w:val="20"/>
          <w:color w:val="auto"/>
        </w:rPr>
      </w:pPr>
      <w:r>
        <w:rPr>
          <w:rFonts w:ascii="Arial" w:cs="Arial" w:eastAsia="Arial" w:hAnsi="Arial"/>
          <w:sz w:val="18"/>
          <w:szCs w:val="18"/>
          <w:color w:val="auto"/>
        </w:rPr>
        <w:t>Whenever the Company determines that goods or services promised in a contract should be accounted for as a combined performance obligation over time, the Company determines the period over which the performance obligations will be performed and revenue will be recognized. Revenue is recognized using either the proportional performance method or on a straight-line basis if efforts will be expended evenly over time. Labor hours, costs incurred or patient visits in clinical trials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the Company’s Consolidated Balance Sheets.</w:t>
      </w:r>
    </w:p>
    <w:p>
      <w:pPr>
        <w:spacing w:after="0" w:line="195"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Certain judgments affect the application of the Company’s revenue recognition policy. For example, the Company records short-term and long-term deferred revenue based on its best estimate of when such revenue will be recognized. Short-term deferred revenue consists of amounts that are expected to be recognized as revenue in the next 12 months, and long-term deferred revenue consists of amounts that the Company does not expect will be recognized in the next 12 months. This estimate is based on the Company’s current operating plan and, if the Company’s operating plan should change in the future, the Company may recognize a different amount of deferred revenue over the next 12-month period.</w:t>
      </w:r>
    </w:p>
    <w:p>
      <w:pPr>
        <w:spacing w:after="0" w:line="176" w:lineRule="exact"/>
        <w:rPr>
          <w:sz w:val="20"/>
          <w:szCs w:val="20"/>
          <w:color w:val="auto"/>
        </w:rPr>
      </w:pPr>
    </w:p>
    <w:p>
      <w:pPr>
        <w:ind w:right="140" w:firstLine="510"/>
        <w:spacing w:after="0" w:line="269" w:lineRule="auto"/>
        <w:rPr>
          <w:sz w:val="20"/>
          <w:szCs w:val="20"/>
          <w:color w:val="auto"/>
        </w:rPr>
      </w:pPr>
      <w:r>
        <w:rPr>
          <w:rFonts w:ascii="Arial" w:cs="Arial" w:eastAsia="Arial" w:hAnsi="Arial"/>
          <w:sz w:val="17"/>
          <w:szCs w:val="17"/>
          <w:color w:val="auto"/>
        </w:rPr>
        <w:t>Collaborative Arrangements—The Company analyzes its collaborative arrangements to assess whether such arrangements involve joint operating activities performed by parties that are both active participants in the activities and exposed to significant risks and rewards, and therefore are within the scope of FASB Topic 808 - Collaborative Arrangements. For collaborative arrangements that contain multiple elements, the Company determines which units of account are deemed to be within the scope of Topic 808 and which units of account are more reflective of a vendor-customer relationship, and therefore are within the scope of Topic 606. For units of account that are accounted for pursuant to Topic 808, an appropriate recognition method is determined and applied consistently, either by analogy to appropriate accounting literature or by applying a reasonable accounting policy election. For collaborative arrangements that are within the scope of Topic 808, the Company evaluates the income statement classification for presentation of amounts due to or owed from other participants associated with multiple units of account in a collaborative arrangement based on the nature of each activity. Payments or reimbursements that are the result of a collaborative relationship instead of a customer relationship, such as co-development and co-commercialization activities, are recorded as increases or decreases to Research and Development Expense or General and Administrative Expense, as appropriate.</w:t>
      </w:r>
    </w:p>
    <w:p>
      <w:pPr>
        <w:spacing w:after="0" w:line="222"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49"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Net Income (Loss) per Share—Basic net income (loss) per share is computed using the weighted-average number of common shares outstanding during the period. Diluted net income (loss) per share are computed using the weighted-average number of common shares and dilutive potential common shares outstanding during the period. Dilutive potential common shares primarily consist of stock options and restricted stock units issued to employees. During the years ended September 30, 2021, 2020 and 2019, the calculation of the effect of dilutive stock options and restricted stock units was 0 shares, 0 shares, and 4,748,958 shares, respectively. During the year ended September 30, 2021 and 2020, the calculation of the effect of dilutive stock options and restricted stock units excluded all stock options and restricted stock units granted and outstanding during the period due to their anti-dilutive effect. During the year ended September 30, 2019, the calculation of the effect of dilutive stock options and restricted stock units excluded 1,007,500 stock options and 11,500 restricted stock units granted and outstanding during the period due to their anti-dilutive effect.</w:t>
      </w:r>
    </w:p>
    <w:p>
      <w:pPr>
        <w:spacing w:after="0" w:line="165"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ind w:right="60" w:firstLine="510"/>
        <w:spacing w:after="0" w:line="260" w:lineRule="auto"/>
        <w:rPr>
          <w:sz w:val="20"/>
          <w:szCs w:val="20"/>
          <w:color w:val="auto"/>
        </w:rPr>
      </w:pPr>
      <w:r>
        <w:rPr>
          <w:rFonts w:ascii="Arial" w:cs="Arial" w:eastAsia="Arial" w:hAnsi="Arial"/>
          <w:sz w:val="18"/>
          <w:szCs w:val="18"/>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185"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Leases—The Company determines whether a contract is, or contains, a lease at inception. The Company classifies each of its leases as operating or financing considering factors such as the length of the lease term, the present value of the lease payments, the nature of the asset being leased, and the potential for ownership of the asset to transfer during the lease term. Leases with terms greater than one-year are recognized on the Consolidated Balance Sheets as Right-of-use assets and Lease liabilities and are measured at the present value of the fixed payments due over the expected lease term minus the present value of any incentives, rebates or abatements expected to be received from the lessor. Options to extend a lease are typically excluded from the expected lease term as the exercise of the option is typically not reasonably certain. The interest rate implicit in lease contracts is typically not readily determinable. As such, the Company utilizes the appropriate incremental borrowing rate, which is the rate incurred to borrow on a collateralized basis an amount equal to the lease payments over a similar term and in a similar economic environment. The Company records expense to recognize fixed lease payments on a straight-line basis over the expected lease term. Costs determined to be variable and not based on an index or rate are not included in the measurement of the lease liability and are expensed as incurred.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In May 2014, the FASB issued ASU No. 2014-09 Revenue from Contracts with Customers (Topic 606), which will supersede nearly all existing revenue recognition guidance under GAAP. ASU No. 2014-09 provides that an entity recognize revenue when it 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became effective for the Company in the first quarter of fiscal 2019. In April 2016, the FASB issued an amendment to ASU No. 2014-09 with update ASU 2016-10 which provided more specific guidance around the identification of performance obligations and licensing arrangements. On October 1, 2018, the Company adopted this standard using the modified retrospective method. The Company’s implementation approach included reviewing the status of each of its ongoing license agreements and collaboration agreements and designing appropriate internal controls to enable the preparation of financial information. The Company completed its assessment of the impact of the new revenue recognition guidance and determined that there will be no material impact. The Company’s existing performance obligations under its ongoing license and collaboration agreements as of October 1, 2018 and prior were substantially completed prior to September 30, 2018. For these agreements that were ongoing as of October 1, 2018, any future option, milestone or royalty payments received will be accounted for under the sales-based royalty exception provided for under this new revenue recognition guidance. Additionally, there will be no impact to cash from or used in operating, financing or investing activities on the Company’s Consolidated Statement of Cash Flows as a result of the adoption of the new standard.</w:t>
      </w:r>
    </w:p>
    <w:p>
      <w:pPr>
        <w:spacing w:after="0" w:line="16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In March 2016, the FASB issued ASU No. 2016-02, Leases (Topic ASC 842). Under ASC 842, lessees are required to recognize a right-of-use asset and a right-of-use lease liability for virtually all leases other than those that meet the definition of a short-term lease. For income statement purposes, a dual model was retained, requiring leases to be classified as either operating or finance. Operating leases will result in straight-line expense while finance leases will result in a front-loaded expense pattern (similar to current capital leases). The Company adopted this standard effective October 1, 2019 and elected the package of three practical expedients that permits an entity to i) not reassess whether expired or existing contracts contain leases, ii) not reassess lease classification for existing or expired leases, and iii) not consider whether previously capitalized initial direct costs would be appropriate under the new standard. At September 30, 2021, the Company has recorded right-of-use assets of $17.3 million and lease liabilities of $25.5 million on its Consolidated Balance Sheets for its research and development facility leases in Madison, Wisconsin and San Diego, California, as well as its corporate headquarters lease in Pasadena, California, as discussed further in Note 8 below. The adoption of this standard did not have a material impact on the Company’s Consolidated Statements of Operations and Comprehensive Income (Loss) and the Company’s Consolidated Statements of Cash Flows.</w:t>
      </w:r>
    </w:p>
    <w:p>
      <w:pPr>
        <w:spacing w:after="0" w:line="168"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In November 2018, the FASB issued ASU No. 2018-18 Collaborative Arrangements (Topic 808). This update provides clarification on the interaction between Revenue Recognition (Topic 606) and Collaborative Arrangements (Topic 808) including the alignment of unit of account guidance between the two topics. ASU 2018-18 became effective for the Company in the first quarter of fiscal 2021 with early adoption permitted. The adoption of this update did not have a material effect on the Company’s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September 28, 2016, the Company entered into two collaboration and license agreements and a common stock purchase agreement with Amgen. Under the Second Collaboration and License Agreement or Olpasiran Agreement, Amgen has received a worldwide, exclusive license to Arrowhead’s novel, RNAi Olpasiran (previously referred to as AMG 890 or ARO-LPA) program. These RNAi molecules are designed to reduce elevated lipoprotein(a), which is a genetically validated, independent risk factor for atherosclerotic cardiovascular disease. Under the other collaboration and license agreement (the “First Collaboration and License Agreement” or the “ARO-AMG1 Agreement”), Amgen received an option to a worldwide, exclusive license for ARO-AMG1, an RNAi therapy for an undisclosed genetically validated cardiovascular target. In both agreements, Amgen is wholly responsible for clinical development and commercialization. Under the terms of the agreements taken together, the Company has received $35.0 million in upfront payments, $21.5 million in the form of an equity investment by Amgen in the Company’s Common Stock, and $30.0 million in milestone payments, and may receive up to an additional $400.0 million in remaining development, regulatory and sales milestone payments. The Company is further eligible to receive up to low double-digit royalties for sales of products under the Olpasiran Agreement. In July 2019, Amgen informed the Company that it would not be exercising its option for an exclusive license for ARO-AMG1, and as such, there will be no further milestone or royalty payments under the ARO-AMG1 Agreement.</w:t>
      </w:r>
    </w:p>
    <w:p>
      <w:pPr>
        <w:spacing w:after="0" w:line="179"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Company has evaluated these agreements in accordance with FASB Topics 808 – Collaboration Arrangements and 606 - Revenue for Contracts from Customers. The Company has substantially completed its performance obligations under the Olpasiran Agreement and the ARO-AMG1 Agreement. Future milestones and royalties achieved will be recognized in their entirety when earned. In July 2020, Amgen initiated a Phase 2 clinical study for Olpasiran, which resulted in a $20 million milestone payment to the Company. During the years ended September 30, 2021, 2020 and 2019, the Company recognized $0, $20.1 million and $0.3 million of Revenue associated with its agreements with Amgen, respectively. As of September 30, 2021, there were $0 in contract assets recorded as accounts receivable and $0 contract liabilities recorded as current deferred revenue on the Company’s Consolidated Balance Sheets.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On October 3, 2018, the Company entered into the Janssen License Agreement and the Janssen Collaboration Agreement with Janssen, part of the Janssen Pharmaceutical Companies of Johnson &amp; Johnson. The Company also entered into a stock purchase agreement with JJDC (“JJDC Stock Purchase Agreement”). Under the Janssen License Agreement, Janssen has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which the Company is responsible for completing, Janssen is wholly responsible for clinical development and commercialization of JNJ-3989. Under the Janssen Collaboration Agreement, Janssen will be able to select three new targets against which Arrowhead will develop clinical candidates. These candidates are subject to certain restrictions and do not include candidates that already were in the Company’s pipeline. The Company will perform discovery, optimization and preclinical research and development, entirely funded by Janssen, which on its own or in combination with Janssen development work, is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$175.0 million as an upfront payment, $75.0 million in the form of an equity investment by JJDC in Arrowhead Common Stock under the JJDC Stock Purchase Agreement, and milestone and option payments totaling $70.0 million,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on product sales up to mid-teens under the Janssen License Agreement and up to low teens under the Janssen Collaboration Agreement.</w:t>
      </w:r>
    </w:p>
    <w:p>
      <w:pPr>
        <w:spacing w:after="0" w:line="176"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The Company has evaluated these agreements in accordance with FASB Topics 808 – Collaboration Arrangements and 606 - Revenue for Contracts from Customers. At the inception of these agreements, the Company identified one distinct performance 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is accounted for separately.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86" w:name="page87"/>
    <w:bookmarkEnd w:id="86"/>
    <w:p>
      <w:pPr>
        <w:ind w:right="160" w:firstLine="510"/>
        <w:spacing w:after="0" w:line="270" w:lineRule="auto"/>
        <w:rPr>
          <w:sz w:val="20"/>
          <w:szCs w:val="20"/>
          <w:color w:val="auto"/>
        </w:rPr>
      </w:pPr>
      <w:r>
        <w:rPr>
          <w:rFonts w:ascii="Arial" w:cs="Arial" w:eastAsia="Arial" w:hAnsi="Arial"/>
          <w:sz w:val="17"/>
          <w:szCs w:val="17"/>
          <w:color w:val="auto"/>
        </w:rPr>
        <w:t>The Company determined the transaction price totaled approximately $252.7 million, which includes the upfront payment, the premium paid by JJDC for its equity investment in the Company, two $25.0 million milestone payments related to JNJ-3989 (ARO-HBV), and estimated payments for reimbursable Janssen R&amp;D Services to be performed. The Company has allocated the total $252.7 million initial transaction price to its one distinct performance obligation for the JNJ-3989 (ARO-HBV) license and the associated Janssen R&amp;D Services. The Company has recognized this transaction price in its entirety as of September 30, 2021 as efforts on its performance obligation have been substantially completed. Future milestones and royalties achieved will be recognized in their entirety when earned. During the years ended September 30, 2021, 2020 and 2019, the Company recognized approximately $20.2 million, $65.0 million, and $167.5 million of revenue associated with this performance obligation, respectively. As of September 30, 2021, there were $0.1 million in contract assets recorded as accounts receivable, and $0 of contract liabilities recorded as current deferred revenue on the Company’s Consolidated Balance Sheets.</w:t>
      </w:r>
    </w:p>
    <w:p>
      <w:pPr>
        <w:spacing w:after="0" w:line="18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Company has begun to conduct its discovery, optimization and preclinical research and development of JNJ-75220795 (ARO-JNJ1), ARO-JNJ2 and ARO-JNJ3 under the Janssen Collaboration Agreement. All costs and labor hours spent by the Company will be entirely funded by Janssen. During the years ended September 30, 2021, 2020 and 2019, the Company recognized $0.5 million, $2.9 million and $1.0 million of revenue associated with these efforts, respectively. In May 2021, Janssen exercised its option right for JNJ-75220795 (ARO-JNJ1), which resulted in a $10.0 million milestone payment to the Company, and in September 2021, Janssen dosed its fifth patient in its phase 1 clinical trial for JNJ-75220795 (ARO-JNJ1), which resulted in $10.0 million milestone payment to the Company. Each of these milestone payments was recognized entirely during the year ended September 30, 2021. As of September 30, 2021, there were $10.0 million of contract assets recorded as accounts receivable and $0 of contract liabilities recorded as current deferred revenue on the Company’s Consolidated Balance Sheets. The $10.0 million milestone payment for the dosing of the fifth patient in its Phase 1 clinical trial for JNJ-75220795 (ARO-JNJ1) was received in October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Pharmaceuticals U.S.A., Inc.</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On October 7, 2020, the Company entered into the Takeda License Agreement with Takeda. Under the Takeda License Agreement, Takeda and the Company will co-develop the Company’s ARO-AAT program, the Company’s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will receive an exclusive license to commercialize ARO-AAT, while the Company will be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95"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 Company has evaluated the Takeda License Agreement in accordance with FASB Topics 808 – Collaborative Arrangements and 606 - Revenue for Contracts from Customers. 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ARO-AAT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will be recorded as Research and Development Expenses or General and Administrative Expenses, as appropriate.</w:t>
      </w:r>
    </w:p>
    <w:p>
      <w:pPr>
        <w:spacing w:after="0" w:line="165"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The Company determined the initial transaction price totaled $300.0 million, including the upfront payment. The Company has excluded any future estimated milestones or royalties from this transaction price to date. The Company has allocated the total $300.0 million initial transaction price to its one distinct performance obligation for the ARO-AAT license and the associated Takeda R&amp;D Services. Revenue will be recognized using a proportional performance method (based on actual patient visits completed versus total estimated visits completed for the ongoing SEQUOIA and AROAAT2002 clinical studies). Revenue for the years ended September 30, 2021, 2020 and 2019 was $90.8 million, $0 and $0, respectively. As of September 30, 2021, there were $0 in contract assets recorded as accounts receivable, $84.4 million in contract liabilities recorded as deferred revenue, $124.8 million in contract liabilities recorded as deferred revenue, net of the current portion, and $3.1 million in contract liabilities recorded as accrued expenses. The $3.1 million in accrued expenses was primarily driven by co-development and co-commercialization activities.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Therapeutics Ireland DAC</w:t>
      </w:r>
    </w:p>
    <w:p>
      <w:pPr>
        <w:spacing w:after="0" w:line="117"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On June 18, 2021, the Company entered into the Horizon License Agreement with Horizon. Under the Horizon License Agreement, Horizon received a worldwide exclusive license for ARO-XDH, a previously undisclosed discovery-stage investigational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7" w:name="page88"/>
    <w:bookmarkEnd w:id="87"/>
    <w:p>
      <w:pPr>
        <w:ind w:right="100"/>
        <w:spacing w:after="0" w:line="301" w:lineRule="auto"/>
        <w:rPr>
          <w:sz w:val="20"/>
          <w:szCs w:val="20"/>
          <w:color w:val="auto"/>
        </w:rPr>
      </w:pPr>
      <w:r>
        <w:rPr>
          <w:rFonts w:ascii="Arial" w:cs="Arial" w:eastAsia="Arial" w:hAnsi="Arial"/>
          <w:sz w:val="16"/>
          <w:szCs w:val="16"/>
          <w:color w:val="auto"/>
        </w:rPr>
        <w:t>RNAi therapeutic being developed by the Company as a potential treatment for people with uncontrolled gout. The Company will conduct all activities through the preclinical stages of development of ARO-XDH, and Horizon will be wholly responsible for clinical development and commercialization of ARO-XDH. In July 2021, the Company received $40 million as an upfront payment and is eligible to receive up to $660 million in potential development, regulatory and sales milestones. The Company is also eligible to receive royalties in the low- to mid-teens range on net product sales.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has evaluated the Horizon License Agreement in accordance with FASB Topics 808 – Collaborative Arrangements and 606 -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 for Contracts from Customers. At the inception of the Horizon License Agreement, the Company identified one distinct performance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obligation. The Company determined that the key deliverables included the license and certain R&amp;D services, including the Company’s responsibilities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conduct all activities through the preclinical stages of development of ARO-XDH (the “Horizon R&amp;D Services”). Due to the specialized and unique nature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these Horizon R&amp;D Services and their direct relationship with the license, the Company determined that these deliverables represented one distinct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bundle and, thus, one performance obligation. Beyond the Horizon R&amp;D Services, which are the responsibility of the Company, Horizon will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responsible for managing future clinical development and commercialization of ARO-XDH.</w:t>
      </w:r>
    </w:p>
    <w:p>
      <w:pPr>
        <w:spacing w:after="0" w:line="21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Company determined the initial transaction price totaled $40.0 million, including the upfront payment. The Company has excluded any future estimated milestones or royalties, from this transaction price to date. The Company will allocate the total $40.0 million initial transaction price to its one distinct performance obligation for the ARO-XDH license and the associated Horizon R&amp;D Services. Revenue will be recognized on a straight-line basis over the estimated timeframe for completing the Horizon R&amp;D Services. The Company determined that the straight-line basis was appropriate as its efforts will be expended evenly over the course of completing its performance obligation. Revenue for the years ended September 30, 2021, 2020 and 2019, was $6.7 million, $0 and $0, respectively. As of September 30, 2021, there were $0.1 million in contract assets recorded as accounts receivable, $26.7 million in contract liabilities recorded as deferred revenue and $6.7 million in contract liabilities recorded as deferred revenue, net of the current portion.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w:t>
            </w:r>
          </w:p>
        </w:tc>
      </w:tr>
      <w:tr>
        <w:trPr>
          <w:trHeight w:val="171"/>
        </w:trPr>
        <w:tc>
          <w:tcPr>
            <w:tcW w:w="4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5"/>
        </w:trPr>
        <w:tc>
          <w:tcPr>
            <w:tcW w:w="4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5"/>
          </w:tcPr>
          <w:p>
            <w:pPr>
              <w:jc w:val="right"/>
              <w:ind w:right="854"/>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FF0FC"/>
          </w:tcPr>
          <w:p>
            <w:pPr>
              <w:spacing w:after="0"/>
              <w:rPr>
                <w:sz w:val="19"/>
                <w:szCs w:val="19"/>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Research equipment</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20,654</w:t>
            </w:r>
          </w:p>
        </w:tc>
        <w:tc>
          <w:tcPr>
            <w:tcW w:w="80" w:type="dxa"/>
            <w:vAlign w:val="bottom"/>
          </w:tcPr>
          <w:p>
            <w:pPr>
              <w:spacing w:after="0"/>
              <w:rPr>
                <w:sz w:val="19"/>
                <w:szCs w:val="19"/>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FF0FC"/>
          </w:tcPr>
          <w:p>
            <w:pPr>
              <w:spacing w:after="0"/>
              <w:rPr>
                <w:sz w:val="19"/>
                <w:szCs w:val="19"/>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25,238</w:t>
            </w:r>
          </w:p>
        </w:tc>
        <w:tc>
          <w:tcPr>
            <w:tcW w:w="80" w:type="dxa"/>
            <w:vAlign w:val="bottom"/>
            <w:tcBorders>
              <w:bottom w:val="single" w:sz="8" w:color="CFF0FC"/>
            </w:tcBorders>
          </w:tcPr>
          <w:p>
            <w:pPr>
              <w:spacing w:after="0"/>
              <w:rPr>
                <w:sz w:val="19"/>
                <w:szCs w:val="19"/>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47,185</w:t>
            </w:r>
          </w:p>
        </w:tc>
        <w:tc>
          <w:tcPr>
            <w:tcW w:w="8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(22,864)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(16,304)</w:t>
            </w:r>
          </w:p>
        </w:tc>
      </w:tr>
      <w:tr>
        <w:trPr>
          <w:trHeight w:val="223"/>
        </w:trPr>
        <w:tc>
          <w:tcPr>
            <w:tcW w:w="48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Depreciation and amortization expense for property and equipment for the years ended September 30, 2021, 2020, and 2019 was $6.6 million, $4.2 million and $2.7 million respectively.</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Investments at September 30, 2021 primarily consisted of corporate bonds that have maturities of less than 36 months, a certificate of deposit and marketable equity securities. The Company’s investments in corporate bonds consist of both short-term and long-term bonds and are classified as “held-to-maturity” on the Company’s Consolidated Balance Sheets. The Company’s certificate of deposit matures in less than 24 months and is classified as “held-to-maturity” on the Company’s Consolidated Balance Sheet. The Company’s marketable equity securities consist of mutual funds that primarily invest in U.S. government bonds, U.S. government agency bonds, corporate bonds and other asset-backed debt securities. Dividends from these funds are automatically reinvested. The Company may also invest excess cash balances in money market accounts, government-sponsored enterprise securities, and/or commercial paper. The Company accounts for its held to maturity investments in accordance with FASB ASC 320, Investments – Debt and Equity Securities and its marketable equity securities in accordance with ASC 321, Investments – Equity Securities.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8" w:name="page89"/>
    <w:bookmarkEnd w:id="88"/>
    <w:p>
      <w:pPr>
        <w:ind w:right="660" w:firstLine="510"/>
        <w:spacing w:after="0" w:line="277" w:lineRule="auto"/>
        <w:rPr>
          <w:sz w:val="20"/>
          <w:szCs w:val="20"/>
          <w:color w:val="auto"/>
        </w:rPr>
      </w:pPr>
      <w:r>
        <w:rPr>
          <w:rFonts w:ascii="Arial" w:cs="Arial" w:eastAsia="Arial" w:hAnsi="Arial"/>
          <w:sz w:val="18"/>
          <w:szCs w:val="18"/>
          <w:color w:val="auto"/>
        </w:rPr>
        <w:t>The following tables summarize the Company’s short-term, long-term investments and marketable securities as of September 30, 2021 and September 30, 2020 by measurement category.</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3780" w:type="dxa"/>
            <w:vAlign w:val="bottom"/>
          </w:tcPr>
          <w:p>
            <w:pPr>
              <w:spacing w:after="0"/>
              <w:rPr>
                <w:sz w:val="20"/>
                <w:szCs w:val="20"/>
                <w:color w:val="auto"/>
              </w:rPr>
            </w:pPr>
            <w:r>
              <w:rPr>
                <w:rFonts w:ascii="Arial" w:cs="Arial" w:eastAsia="Arial" w:hAnsi="Arial"/>
                <w:sz w:val="16"/>
                <w:szCs w:val="16"/>
                <w:b w:val="1"/>
                <w:bCs w:val="1"/>
                <w:i w:val="1"/>
                <w:iCs w:val="1"/>
                <w:color w:val="auto"/>
              </w:rPr>
              <w:t>Held to Maturity</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As of September 30, 2021</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0"/>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3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56,627</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57,430</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w w:val="97"/>
              </w:rPr>
              <w:t>Commercial notes (due within one through three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years)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195,595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196,643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 (due within two years)</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302,222</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As of September 30, 2020</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0"/>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86,890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88,480</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w w:val="97"/>
              </w:rPr>
              <w:t>Commercial notes (due within one through three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years)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137,487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4,574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141,982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vMerge w:val="continue"/>
            <w:shd w:val="clear" w:color="auto" w:fill="CFF0FC"/>
          </w:tcPr>
          <w:p>
            <w:pPr>
              <w:spacing w:after="0"/>
              <w:rPr>
                <w:sz w:val="20"/>
                <w:szCs w:val="20"/>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224,377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230,462</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i w:val="1"/>
                <w:iCs w:val="1"/>
                <w:color w:val="auto"/>
              </w:rPr>
              <w:t>Fair Value</w:t>
            </w: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As of September 30, 2021</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1"/>
              </w:rPr>
              <w:t>Realized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80" w:type="dxa"/>
            <w:vAlign w:val="bottom"/>
            <w:gridSpan w:val="3"/>
          </w:tcPr>
          <w:p>
            <w:pPr>
              <w:jc w:val="center"/>
              <w:ind w:left="74"/>
              <w:spacing w:after="0"/>
              <w:rPr>
                <w:sz w:val="20"/>
                <w:szCs w:val="20"/>
                <w:color w:val="auto"/>
              </w:rPr>
            </w:pPr>
            <w:r>
              <w:rPr>
                <w:rFonts w:ascii="Arial" w:cs="Arial" w:eastAsia="Arial" w:hAnsi="Arial"/>
                <w:sz w:val="14"/>
                <w:szCs w:val="14"/>
                <w:b w:val="1"/>
                <w:bCs w:val="1"/>
                <w:color w:val="auto"/>
                <w:w w:val="87"/>
              </w:rPr>
              <w:t>Gains/(Losses)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3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2"/>
              </w:rPr>
              <w:t>$ 126,728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(888)</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94"/>
              </w:rPr>
              <w:t>$ 126,728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Fair Value</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As of September 30, 2020</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1"/>
              </w:rPr>
              <w:t>Realized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80" w:type="dxa"/>
            <w:vAlign w:val="bottom"/>
            <w:gridSpan w:val="3"/>
          </w:tcPr>
          <w:p>
            <w:pPr>
              <w:jc w:val="center"/>
              <w:ind w:left="74"/>
              <w:spacing w:after="0"/>
              <w:rPr>
                <w:sz w:val="20"/>
                <w:szCs w:val="20"/>
                <w:color w:val="auto"/>
              </w:rPr>
            </w:pPr>
            <w:r>
              <w:rPr>
                <w:rFonts w:ascii="Arial" w:cs="Arial" w:eastAsia="Arial" w:hAnsi="Arial"/>
                <w:sz w:val="14"/>
                <w:szCs w:val="14"/>
                <w:b w:val="1"/>
                <w:bCs w:val="1"/>
                <w:color w:val="auto"/>
                <w:w w:val="87"/>
              </w:rPr>
              <w:t>Gains/(Losses)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3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85,000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85,020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85,020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$1.0 million. The patents associated with the Novartis RNAi asset acquisition are being amortized over the estimated life remaining at the time of acquisition, which was 14 years, and the accumulated amortization of the assets is $10.2 million. Amortization expense for the years ended September 30, 2021, 2020, and 2019 was $1.7 million, $1.7 million and $1.7 million, respectively. Amortization expense is expected to be $1.7 million in 2022, $1.7 million in 2023, $1.7 million in 2024, $1.7 million in 2025, $1.7 million in 2026 and $5.2 million thereafter.</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89" w:name="page90"/>
    <w:bookmarkEnd w:id="89"/>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Intangible</w:t>
            </w:r>
          </w:p>
        </w:tc>
      </w:tr>
      <w:tr>
        <w:trPr>
          <w:trHeight w:val="148"/>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7"/>
              </w:rPr>
              <w:t>assets</w:t>
            </w:r>
          </w:p>
        </w:tc>
      </w:tr>
      <w:tr>
        <w:trPr>
          <w:trHeight w:val="148"/>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subject to</w:t>
            </w:r>
          </w:p>
        </w:tc>
      </w:tr>
      <w:tr>
        <w:trPr>
          <w:trHeight w:val="17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amortization</w:t>
            </w:r>
          </w:p>
        </w:tc>
      </w:tr>
      <w:tr>
        <w:trPr>
          <w:trHeight w:val="155"/>
        </w:trPr>
        <w:tc>
          <w:tcPr>
            <w:tcW w:w="73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center"/>
              <w:ind w:right="1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bottom w:val="single" w:sz="8" w:color="CFF0FC"/>
            </w:tcBorders>
          </w:tcPr>
          <w:p>
            <w:pPr>
              <w:spacing w:after="0"/>
              <w:rPr>
                <w:sz w:val="13"/>
                <w:szCs w:val="13"/>
                <w:color w:val="auto"/>
              </w:rPr>
            </w:pPr>
          </w:p>
        </w:tc>
      </w:tr>
      <w:tr>
        <w:trPr>
          <w:trHeight w:val="223"/>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shd w:val="clear" w:color="auto" w:fill="CFF0FC"/>
          </w:tcPr>
          <w:p>
            <w:pPr>
              <w:spacing w:after="0"/>
              <w:rPr>
                <w:sz w:val="19"/>
                <w:szCs w:val="19"/>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(1,700)</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Balance at September 30, 2021</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13,663</w:t>
            </w:r>
          </w:p>
        </w:tc>
        <w:tc>
          <w:tcPr>
            <w:tcW w:w="10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At September 30, 2021, the Company had a total of 150,000,000 shares of capital stock authorized for issuance, consisting of 145,000,000 shares of Common Stock, par value $0.001 per share, and 5,000,000 shares of Preferred Stock, par value $0.001 per share.</w:t>
      </w:r>
    </w:p>
    <w:p>
      <w:pPr>
        <w:spacing w:after="0" w:line="170"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auto"/>
        </w:rPr>
        <w:t>At September 30, 2021, 104,326,672 shares of Common Stock were outstanding. At September 30, 2021, 15,228,479 shares of Common Stock were reserved for issuance upon exercise of options and vesting of restricted stock units granted or available for grant under Arrowhead’s 2004 Equity Incentive Plan, 2013 Incentive Plan, and 2021 Incentive Plan, as well as for inducement grants made to new employees under Rule 5635(c)(4) of the Nasdaq Listing Rules.</w:t>
      </w:r>
    </w:p>
    <w:p>
      <w:pPr>
        <w:spacing w:after="0" w:line="18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August 2020, the Company entered into an Open Market Sale Agreement (the “ATM Agreement”), pursuant to which the Company may, from time to time, sell up to $250,000,000 in shares of the Company’s Common Stock through Jefferies LLC, acting as the sales agent and/or principal, in an at-the-market offering (“ATM Offering”). The Company is not required to sell shares under the ATM Agreement. The Company will pay Jefferies LLC a commission of up to 3.0% of the aggregate gross proceeds received from all sales of the common stock under the ATM Agreement. Unless otherwise terminated, the ATM Agreement continues until the earlier of selling all shares available under the ATM Agreement or December 2, 2022. At September 30, 2021, no shares have been issued under the ATM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ind w:right="340" w:firstLine="510"/>
        <w:spacing w:after="0" w:line="286" w:lineRule="auto"/>
        <w:rPr>
          <w:sz w:val="20"/>
          <w:szCs w:val="20"/>
          <w:color w:val="auto"/>
        </w:rPr>
      </w:pPr>
      <w:r>
        <w:rPr>
          <w:rFonts w:ascii="Arial" w:cs="Arial" w:eastAsia="Arial" w:hAnsi="Arial"/>
          <w:sz w:val="17"/>
          <w:szCs w:val="17"/>
          <w:color w:val="auto"/>
        </w:rPr>
        <w:t>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the year ended September 30, 2021.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right="60" w:firstLine="510"/>
        <w:spacing w:after="0" w:line="295" w:lineRule="auto"/>
        <w:rPr>
          <w:sz w:val="20"/>
          <w:szCs w:val="20"/>
          <w:color w:val="auto"/>
        </w:rPr>
      </w:pPr>
      <w:r>
        <w:rPr>
          <w:rFonts w:ascii="Arial" w:cs="Arial" w:eastAsia="Arial" w:hAnsi="Arial"/>
          <w:sz w:val="16"/>
          <w:szCs w:val="16"/>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year ended September 30, 2021, the Company did not incur any milestone payments. During the year ended September 30, 2020, the Company triggered $2.4 million of milestone payments related to the progression of the ARO-ENaC and ARO-HIF2 candidates. During the year ended September 30, 2019, the Company did not incur any milestone payments. In certain agreements, the Company may be required to make mid to high single-digit percentage royalty payments based on a percentage of the sales of the relevant products.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April 2019, the Company entered into a lease for its corporate headquarters in Pasadena, California. The 91 month office building lease between the Company and 177 Colorado Owner, LLC is for approximately 24,000 square feet of office space located at 177 E. Colorado Blvd, Pasadena, California. The increased capacity of this new office space compared to the Company’s prior corporate headquarters will accommodate increased personnel as the Company’s pipeline of drug candidates expands and moves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0" w:name="page91"/>
    <w:bookmarkEnd w:id="90"/>
    <w:p>
      <w:pPr>
        <w:ind w:right="40"/>
        <w:spacing w:after="0" w:line="289" w:lineRule="auto"/>
        <w:rPr>
          <w:sz w:val="20"/>
          <w:szCs w:val="20"/>
          <w:color w:val="auto"/>
        </w:rPr>
      </w:pPr>
      <w:r>
        <w:rPr>
          <w:rFonts w:ascii="Arial" w:cs="Arial" w:eastAsia="Arial" w:hAnsi="Arial"/>
          <w:sz w:val="16"/>
          <w:szCs w:val="16"/>
          <w:color w:val="auto"/>
        </w:rPr>
        <w:t>closer to market. Lease payments began on September 30, 2019 and are estimated to total approximately $8.7 million over the term. The lease expires on April 30, 2027. The Company has paid approximately $3.5 million for leasehold improvements, net of tenant improvement allowances. The lease contains an option to renew for one term of five years. The exercise of this option was not determined to be reasonably certain and thus was not included in lease liabilities on the Company’s Consolidated Balance Sheet at September 30, 2021. On October 23, 2020, the Company entered into a lease expansion to add an additional approximately 24,000 square feet of office space at the same location for its corporate headquarters. Lease payments for the expansion began in July 2021 and the lease for the expansion expires in April 2027. The lease payments for the expansion are expected to total $6.9 million. The Company has paid approximately $4.0 million of leasehold improvements, net of tenant improvement allowances, for the lease expansion. The increased capacity of this additional office space compared to the Company’s current corporate headquarters is intended to accommodate increased personnel as the Company’s pipeline of drug candidates continues to expand and move closer to market.</w:t>
      </w:r>
    </w:p>
    <w:p>
      <w:pPr>
        <w:spacing w:after="0" w:line="166"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In January 2016, the Company entered into a lease for its research facility in Madison, Wisconsin. The lease was for approximately 60,000 square feet of office and laboratory space and had an expiration date of September 30, 2026. The lease was amended in January 2019 and May 2020 to expand the rentable square feet by an additional 40,000 square feet and to extend the lease expiration date to September 30, 2031. Lease payments are estimated to total approximately $26.2 million for the term. The Company incurred approximately $11.0 million of leasehold improvements for the additional 40,000 square feet, net of tenant improvement allowances. The lease contains two options to renew for two terms of five years. The exercise of these options were not determined to be reasonably certain and thus was not included in lease liabilities on the Company’s Consolidated Balance Sheet at September 30, 2021. In November 2020 and December 2020, the Company entered into amendments to expand the rentable square space by an additional 10,743 square feet and these amendments added a total of approximately $1.2 million of lease payments for the remainder of the term.</w:t>
      </w:r>
    </w:p>
    <w:p>
      <w:pPr>
        <w:spacing w:after="0" w:line="206"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In March 2020, the Company entered into a sublease agreement (the “Sublease”) with Halozyme, Inc. for additional research and development facility space in San Diego, California. The Sublease provides additional space needed to accommodate the recent growth of the Company’s personnel and discovery efforts. The sublease is for approximately 21,000 rentable square feet. The term of the Sublease commenced on April 1, 2020 and will end on January 14, 2023. Sublease payments are estimated to total approximately $2.0 million over the term.</w:t>
      </w:r>
    </w:p>
    <w:p>
      <w:pPr>
        <w:spacing w:after="0" w:line="171" w:lineRule="exact"/>
        <w:rPr>
          <w:sz w:val="20"/>
          <w:szCs w:val="20"/>
          <w:color w:val="auto"/>
        </w:rPr>
      </w:pPr>
    </w:p>
    <w:p>
      <w:pPr>
        <w:ind w:right="1000" w:firstLine="510"/>
        <w:spacing w:after="0" w:line="286" w:lineRule="auto"/>
        <w:rPr>
          <w:sz w:val="20"/>
          <w:szCs w:val="20"/>
          <w:color w:val="auto"/>
        </w:rPr>
      </w:pPr>
      <w:r>
        <w:rPr>
          <w:rFonts w:ascii="Arial" w:cs="Arial" w:eastAsia="Arial" w:hAnsi="Arial"/>
          <w:sz w:val="17"/>
          <w:szCs w:val="17"/>
          <w:color w:val="auto"/>
        </w:rPr>
        <w:t>Operating lease cost during the years ended September 30, 2021, 2020 and 2019 was $5.1 million, $2.4 million and $1.3 million respectively. Variable lease costs during the year ended September 30, 2021, 2020, and 2019 were $0.8 million, $0.8 million and $0.5 million respectively. There was no short-term lease cost during the years ended September 30, 2021, 2020 and 2019.</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maturities of operating lease liabilities on an undiscounted basis as of September 30, 2021:</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w w:val="96"/>
              </w:rPr>
              <w:t>(in thousands)</w:t>
            </w: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2023</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2025</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2027 and thereafter</w:t>
            </w:r>
          </w:p>
        </w:tc>
        <w:tc>
          <w:tcPr>
            <w:tcW w:w="16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Less imputed interest</w:t>
            </w:r>
          </w:p>
        </w:tc>
        <w:tc>
          <w:tcPr>
            <w:tcW w:w="18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FF0FC"/>
            </w:tcBorders>
            <w:vMerge w:val="continue"/>
          </w:tcPr>
          <w:p>
            <w:pPr>
              <w:spacing w:after="0"/>
              <w:rPr>
                <w:sz w:val="21"/>
                <w:szCs w:val="21"/>
                <w:color w:val="auto"/>
              </w:rPr>
            </w:pPr>
          </w:p>
        </w:tc>
        <w:tc>
          <w:tcPr>
            <w:tcW w:w="16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 (includes current portion)</w:t>
            </w:r>
          </w:p>
        </w:tc>
        <w:tc>
          <w:tcPr>
            <w:tcW w:w="16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Cash paid for the amounts included in the measurement of the operating lease liabilities on the Company’s Consolidated Balance Sheet and included in Other changes in operating assets and liabilities within cash flows from operating activities on the Company’s Consolidated Statements of Cash Flow for the years ended September 30, 2021, 2020 and 2019 were $3.1 million, $1.8 million and $1.3 million, respectively. The weighted-average remaining lease term and weighted-average discount rate for all leases as of September 30, 2021 was 8 years and 8.5%,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Arrowhead has three plans that provide for equity-based compensation. Under the 2004 Equity Incentive Plan and 2013 Incentive Plan, as of September 30, 2021, 429,141 and 5,225,983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September 30, 2021, there were options granted and outstanding to purchase 429,141 and 2,066,533 shares of Common Stock under the 2004 Equity Incentive Plan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60" w:right="359" w:bottom="1440" w:gutter="0" w:footer="0" w:header="0"/>
        </w:sectPr>
      </w:pPr>
    </w:p>
    <w:bookmarkStart w:id="91" w:name="page92"/>
    <w:bookmarkEnd w:id="91"/>
    <w:p>
      <w:pPr>
        <w:spacing w:after="0" w:line="286" w:lineRule="auto"/>
        <w:rPr>
          <w:sz w:val="20"/>
          <w:szCs w:val="20"/>
          <w:color w:val="auto"/>
        </w:rPr>
      </w:pPr>
      <w:r>
        <w:rPr>
          <w:rFonts w:ascii="Arial" w:cs="Arial" w:eastAsia="Arial" w:hAnsi="Arial"/>
          <w:sz w:val="16"/>
          <w:szCs w:val="16"/>
          <w:color w:val="auto"/>
        </w:rPr>
        <w:t>and the 2013 Incentive Plan, respectively, and there were 3,159,450 restricted stock units granted and outstanding under the 2013 Incentive Plan. Also, as of September 30, 2021, there were 957,565 shares reserved for options and 602,000 shares reserved for restricted stock units issued as inducement grants to new employees granted outside of the Company’s equity-based compensation plans under Rule 5635(c)(4) of the Nasdaq Listing Rules. On March 18, 2021, the Company’s stockholders approved the Arrowhead Pharmaceuticals, Inc. 2021 Incentive Plan (“2021 Incentive Plan”), which authorizes</w:t>
      </w:r>
    </w:p>
    <w:p>
      <w:pPr>
        <w:spacing w:after="0" w:line="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8,000,000 shares (subject to certain adjustments) to be awarded for grants of stock options, stock appreciation rights, restricted and unrestricted stock and stock units, performance awards, cash awards and other awards convertible into or otherwise based on shares of Arrowhead’s Common Stock. The maximum number of shares authorized under the 2021 Incentive Plan will be (i) reduced by any shares subject to awards made under the 2013 Incentive Plan after January 1, 2021, and (ii) increased by any shares subject to outstanding awards under the 2013 Incentive Plan as of January 1, 2021 that, after January 1, 2021, are canceled, expired, forfeited or otherwise not issued under such awards (other than as a result of being tendered or withheld to pay the exercise price or withholding taxes in connection with any such awards) or settled in cash. As of September 30, 2021, there were options granted and outstanding to purchase 3,000 shares of Common Stock and 70,400 restricted stock units granted and outstanding under the 2021 Incentive Plan. As of September 30, 2021, the total number of authorized shares under the 2021 Incentive Plan was 8,013,790 shares, which includes 87,190 shares that were forfeited under the 2013 Incentive Plan.</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Per Share</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4,539,403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186,000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65.57</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(217,820)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40.12</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(1,051,344)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10.75</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2021</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3,456,239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18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1140" w:type="dxa"/>
            <w:vAlign w:val="bottom"/>
            <w:tcBorders>
              <w:top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88"/>
              </w:rPr>
              <w:t>$ 149,501,055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Exercisable At September 30,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2,510,091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$ 126,302,948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Stock-based compensation expense related to stock options for the years ended September 30, 2021, 2020, and 2019 was $12.4 million, $9.7 million and $4.0 million, respectively. For non-qualified stock options, the expense creates a timing difference, resulting in a deferred tax asset, which is fully reserved by a valuation allowance.</w:t>
      </w:r>
    </w:p>
    <w:p>
      <w:pPr>
        <w:spacing w:after="0" w:line="184"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grant date fair value of the options granted by the Company for the years ended September 30, 2021, 2020, and 2019 was $9.0 million, $34.6 million and $12.1 million, respectively.</w:t>
      </w:r>
    </w:p>
    <w:p>
      <w:pPr>
        <w:spacing w:after="0" w:line="170"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intrinsic value of the options exercised during the years ended September 30, 2021, 2020, and 2019 was $66.9 million, $44.1 million and $24.6 million, respectively.</w:t>
      </w:r>
    </w:p>
    <w:p>
      <w:pPr>
        <w:spacing w:after="0" w:line="170"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As of September 30, 2021, the pre-tax compensation expense for all outstanding unvested stock options in the amount of $26.3 million will be recognized in the Company’s results of operations over a weighted average period of 2.4 years.</w:t>
      </w:r>
    </w:p>
    <w:p>
      <w:pPr>
        <w:spacing w:after="0" w:line="170"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2" w:name="page93"/>
    <w:bookmarkEnd w:id="92"/>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Years ended September 30,</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12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 – 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0.4 – 1.8%</w:t>
            </w: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1.50 – 3.1%</w:t>
            </w: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86.2 – 90.4%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7"/>
              </w:rPr>
              <w:t>90.0 – 92.0%</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9"/>
                <w:szCs w:val="19"/>
                <w:color w:val="auto"/>
              </w:rPr>
            </w:pPr>
          </w:p>
        </w:tc>
      </w:tr>
      <w:tr>
        <w:trPr>
          <w:trHeight w:val="215"/>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w w:val="99"/>
              </w:rPr>
              <w:t>Weighted average grant date fair value per share of</w:t>
            </w:r>
          </w:p>
        </w:tc>
        <w:tc>
          <w:tcPr>
            <w:tcW w:w="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options granted</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48.64</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80" w:type="dxa"/>
            <w:vAlign w:val="bottom"/>
            <w:shd w:val="clear" w:color="auto" w:fill="CFF0FC"/>
          </w:tcPr>
          <w:p>
            <w:pPr>
              <w:spacing w:after="0"/>
              <w:rPr>
                <w:sz w:val="20"/>
                <w:szCs w:val="20"/>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Restricted stock units (“RSUs”), including time-based and performance-based awards, have been granted under the Company’s 2013 Incentive Plan, 2021 Incentive Plan, and as inducements grants granted outside of the Company’s equity-based compensation plans. At vesting, each outstanding RSU will be exchanged for one share of the Company’s Common Stock. RSU awards generally vest subject to the satisfaction of service requirements or the satisfaction of both service requirements and achievement of certain performance targets.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RSUs: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2020</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3,524,025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1,672,350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(899,025)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(465,500)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2021</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3,831,850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During the years ended September 30, 2021, 2020 and 2019, the Company recorded $64.2 million, $33.7 million and $8.4 million of expense related to RSUs, respectively. Such expense is included in stock-based compensation expense in the Company’s Consolidated Statement of Operations and Comprehensive Income (Loss). For RSUs, the expense creates a timing difference, resulting in a deferred tax asset, which is fully reserved by a valuation allowance.</w:t>
      </w:r>
    </w:p>
    <w:p>
      <w:pPr>
        <w:spacing w:after="0" w:line="187" w:lineRule="exact"/>
        <w:rPr>
          <w:sz w:val="20"/>
          <w:szCs w:val="20"/>
          <w:color w:val="auto"/>
        </w:rPr>
      </w:pPr>
    </w:p>
    <w:p>
      <w:pPr>
        <w:jc w:val="both"/>
        <w:ind w:right="380" w:firstLine="510"/>
        <w:spacing w:after="0" w:line="286" w:lineRule="auto"/>
        <w:rPr>
          <w:sz w:val="20"/>
          <w:szCs w:val="20"/>
          <w:color w:val="auto"/>
        </w:rPr>
      </w:pPr>
      <w:r>
        <w:rPr>
          <w:rFonts w:ascii="Arial" w:cs="Arial" w:eastAsia="Arial" w:hAnsi="Arial"/>
          <w:sz w:val="17"/>
          <w:szCs w:val="17"/>
          <w:color w:val="auto"/>
        </w:rPr>
        <w:t>For RSUs, the grant date fair value of the award is based on the Company’s closing stock price at the grant date, with consideration given to the probability of achieving performance conditions for performance-based awards. The grant date fair value of the RSUs granted by the Company for the years ended September 30, 2021, 2020 and 2019 was $127.7 million, $149.4 million and $17.8 million, respectively.</w:t>
      </w:r>
    </w:p>
    <w:p>
      <w:pPr>
        <w:spacing w:after="0" w:line="16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As of September 30, 2021, the pre-tax compensation expense for all unvested RSUs in the amount of $118.0 million will be recognized in the Company’s results of operations over a weighted average period of 2.7 years. Unvested RSUs that we have deemed not probable of vesting as of September 30, 2021, have the potential of generating an additional $35.7 million of pre-tax compensation expense if we deem them probable of vesting in a future reporting period.</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84"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following table summarizes fair value measurements at September 30, 2021 and September 30, 2020 for assets and liabilities measured at fair value on a recurring basis.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September 30, 2021:</w:t>
      </w:r>
    </w:p>
    <w:p>
      <w:pPr>
        <w:spacing w:after="0" w:line="325"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55"/>
        </w:trPr>
        <w:tc>
          <w:tcPr>
            <w:tcW w:w="6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right"/>
              <w:ind w:right="353"/>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184,434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184,434</w:t>
            </w:r>
          </w:p>
        </w:tc>
        <w:tc>
          <w:tcPr>
            <w:tcW w:w="100" w:type="dxa"/>
            <w:vAlign w:val="bottom"/>
            <w:shd w:val="clear" w:color="auto" w:fill="CFF0FC"/>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Marketable securities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126,728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126,728</w:t>
            </w:r>
          </w:p>
        </w:tc>
        <w:tc>
          <w:tcPr>
            <w:tcW w:w="10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 (held to maturity)</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57,430</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57,430</w:t>
            </w:r>
          </w:p>
        </w:tc>
        <w:tc>
          <w:tcPr>
            <w:tcW w:w="100" w:type="dxa"/>
            <w:vAlign w:val="bottom"/>
            <w:shd w:val="clear" w:color="auto" w:fill="CFF0FC"/>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Long-term investments (held to maturity)</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246,643</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246,643</w:t>
            </w:r>
          </w:p>
        </w:tc>
        <w:tc>
          <w:tcPr>
            <w:tcW w:w="100" w:type="dxa"/>
            <w:vAlign w:val="bottom"/>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459"/>
        </w:trPr>
        <w:tc>
          <w:tcPr>
            <w:tcW w:w="4400" w:type="dxa"/>
            <w:vAlign w:val="bottom"/>
            <w:gridSpan w:val="2"/>
          </w:tcPr>
          <w:p>
            <w:pPr>
              <w:spacing w:after="0"/>
              <w:rPr>
                <w:sz w:val="20"/>
                <w:szCs w:val="20"/>
                <w:color w:val="auto"/>
              </w:rPr>
            </w:pPr>
            <w:r>
              <w:rPr>
                <w:rFonts w:ascii="Arial" w:cs="Arial" w:eastAsia="Arial" w:hAnsi="Arial"/>
                <w:sz w:val="18"/>
                <w:szCs w:val="18"/>
                <w:color w:val="auto"/>
              </w:rPr>
              <w:t>September 30, 2020:</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55"/>
        </w:trPr>
        <w:tc>
          <w:tcPr>
            <w:tcW w:w="6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right"/>
              <w:ind w:right="353"/>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143,583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143,583</w:t>
            </w:r>
          </w:p>
        </w:tc>
        <w:tc>
          <w:tcPr>
            <w:tcW w:w="100" w:type="dxa"/>
            <w:vAlign w:val="bottom"/>
            <w:shd w:val="clear" w:color="auto" w:fill="CFF0FC"/>
          </w:tcPr>
          <w:p>
            <w:pPr>
              <w:spacing w:after="0"/>
              <w:rPr>
                <w:sz w:val="19"/>
                <w:szCs w:val="19"/>
                <w:color w:val="auto"/>
              </w:rPr>
            </w:pPr>
          </w:p>
        </w:tc>
      </w:tr>
      <w:tr>
        <w:trPr>
          <w:trHeight w:val="229"/>
        </w:trPr>
        <w:tc>
          <w:tcPr>
            <w:tcW w:w="6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Marketable securities</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85,020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85,020</w:t>
            </w:r>
          </w:p>
        </w:tc>
        <w:tc>
          <w:tcPr>
            <w:tcW w:w="1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 (held to maturity)</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88,480</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88,480</w:t>
            </w:r>
          </w:p>
        </w:tc>
        <w:tc>
          <w:tcPr>
            <w:tcW w:w="100" w:type="dxa"/>
            <w:vAlign w:val="bottom"/>
            <w:shd w:val="clear" w:color="auto" w:fill="CFF0FC"/>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Long-term investments (held to maturity)</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141,982</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141,982</w:t>
            </w:r>
          </w:p>
        </w:tc>
        <w:tc>
          <w:tcPr>
            <w:tcW w:w="100" w:type="dxa"/>
            <w:vAlign w:val="bottom"/>
          </w:tcPr>
          <w:p>
            <w:pPr>
              <w:spacing w:after="0"/>
              <w:rPr>
                <w:sz w:val="19"/>
                <w:szCs w:val="19"/>
                <w:color w:val="auto"/>
              </w:rPr>
            </w:pPr>
          </w:p>
        </w:tc>
      </w:tr>
      <w:tr>
        <w:trPr>
          <w:trHeight w:val="230"/>
        </w:trPr>
        <w:tc>
          <w:tcPr>
            <w:tcW w:w="6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The Company had a liability for contingent consideration related to its acquisition of the Roche RNAi business completed in 2011.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In November 2016, the Company announced the discontinuation of its clinical trial efforts for ARC-520, ARC-AAT and ARC-</w:t>
      </w:r>
    </w:p>
    <w:p>
      <w:pPr>
        <w:spacing w:after="0" w:line="5" w:lineRule="exact"/>
        <w:rPr>
          <w:sz w:val="20"/>
          <w:szCs w:val="20"/>
          <w:color w:val="auto"/>
        </w:rPr>
      </w:pPr>
    </w:p>
    <w:p>
      <w:pPr>
        <w:ind w:right="760" w:firstLine="8"/>
        <w:spacing w:after="0" w:line="260" w:lineRule="auto"/>
        <w:tabs>
          <w:tab w:leader="none" w:pos="4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Given this development, the Company assessed the fair value of its contingent consideration obligation to be $0 at September 30, 2021 and September 30, 2020.</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INCOME TAXES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Company utilizes the guidance issued by the FASB for accounting for income taxes which requires the recognition of deferred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year-end based on enacted tax laws and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94" w:name="page95"/>
    <w:bookmarkEnd w:id="94"/>
    <w:p>
      <w:pPr>
        <w:ind w:right="100"/>
        <w:spacing w:after="0" w:line="263" w:lineRule="auto"/>
        <w:rPr>
          <w:sz w:val="20"/>
          <w:szCs w:val="20"/>
          <w:color w:val="auto"/>
        </w:rPr>
      </w:pPr>
      <w:r>
        <w:rPr>
          <w:rFonts w:ascii="Arial" w:cs="Arial" w:eastAsia="Arial" w:hAnsi="Arial"/>
          <w:sz w:val="18"/>
          <w:szCs w:val="18"/>
          <w:color w:val="auto"/>
        </w:rPr>
        <w:t>statutory tax rates applicable to the periods in which the differences are expected to affect taxable income. Valuation allowances are established, when necessary, to reduce deferred tax assets to the amount expected to be realized. The provision for income taxes represents the tax payable for the period and the change during the period in deferred tax assets and liabilities.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Components of the net deferred tax asset (liability) at September 30, 2021 and 2020 are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4"/>
          </w:tcPr>
          <w:p>
            <w:pPr>
              <w:jc w:val="right"/>
              <w:ind w:right="29"/>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55"/>
        </w:trPr>
        <w:tc>
          <w:tcPr>
            <w:tcW w:w="4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4"/>
          </w:tcPr>
          <w:p>
            <w:pPr>
              <w:jc w:val="right"/>
              <w:ind w:right="29"/>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500" w:type="dxa"/>
            <w:vAlign w:val="bottom"/>
          </w:tcPr>
          <w:p>
            <w:pPr>
              <w:ind w:left="120"/>
              <w:spacing w:after="0"/>
              <w:rPr>
                <w:sz w:val="20"/>
                <w:szCs w:val="20"/>
                <w:color w:val="auto"/>
              </w:rPr>
            </w:pPr>
            <w:r>
              <w:rPr>
                <w:rFonts w:ascii="Arial" w:cs="Arial" w:eastAsia="Arial" w:hAnsi="Arial"/>
                <w:sz w:val="18"/>
                <w:szCs w:val="18"/>
                <w:color w:val="auto"/>
              </w:rPr>
              <w:t>Accrued Compensation</w:t>
            </w:r>
          </w:p>
        </w:tc>
        <w:tc>
          <w:tcPr>
            <w:tcW w:w="19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2,371</w:t>
            </w:r>
          </w:p>
        </w:tc>
        <w:tc>
          <w:tcPr>
            <w:tcW w:w="220" w:type="dxa"/>
            <w:vAlign w:val="bottom"/>
          </w:tcPr>
          <w:p>
            <w:pPr>
              <w:spacing w:after="0"/>
              <w:rPr>
                <w:sz w:val="19"/>
                <w:szCs w:val="19"/>
                <w:color w:val="auto"/>
              </w:rPr>
            </w:pPr>
          </w:p>
        </w:tc>
        <w:tc>
          <w:tcPr>
            <w:tcW w:w="400" w:type="dxa"/>
            <w:vAlign w:val="bottom"/>
            <w:gridSpan w:val="2"/>
          </w:tcPr>
          <w:p>
            <w:pPr>
              <w:jc w:val="right"/>
              <w:ind w:right="269"/>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2,086</w:t>
            </w:r>
          </w:p>
        </w:tc>
        <w:tc>
          <w:tcPr>
            <w:tcW w:w="80" w:type="dxa"/>
            <w:vAlign w:val="bottom"/>
          </w:tcPr>
          <w:p>
            <w:pPr>
              <w:spacing w:after="0"/>
              <w:rPr>
                <w:sz w:val="19"/>
                <w:szCs w:val="19"/>
                <w:color w:val="auto"/>
              </w:rPr>
            </w:pPr>
          </w:p>
        </w:tc>
      </w:tr>
      <w:tr>
        <w:trPr>
          <w:trHeight w:val="230"/>
        </w:trPr>
        <w:tc>
          <w:tcPr>
            <w:tcW w:w="4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 Compensation</w:t>
            </w: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10,937</w:t>
            </w:r>
          </w:p>
        </w:tc>
        <w:tc>
          <w:tcPr>
            <w:tcW w:w="80" w:type="dxa"/>
            <w:vAlign w:val="bottom"/>
            <w:shd w:val="clear" w:color="auto" w:fill="CFF0FC"/>
          </w:tcPr>
          <w:p>
            <w:pPr>
              <w:spacing w:after="0"/>
              <w:rPr>
                <w:sz w:val="19"/>
                <w:szCs w:val="19"/>
                <w:color w:val="auto"/>
              </w:rPr>
            </w:pPr>
          </w:p>
        </w:tc>
      </w:tr>
      <w:tr>
        <w:trPr>
          <w:trHeight w:val="229"/>
        </w:trPr>
        <w:tc>
          <w:tcPr>
            <w:tcW w:w="4500" w:type="dxa"/>
            <w:vAlign w:val="bottom"/>
          </w:tcPr>
          <w:p>
            <w:pPr>
              <w:ind w:left="120"/>
              <w:spacing w:after="0"/>
              <w:rPr>
                <w:sz w:val="20"/>
                <w:szCs w:val="20"/>
                <w:color w:val="auto"/>
              </w:rPr>
            </w:pPr>
            <w:r>
              <w:rPr>
                <w:rFonts w:ascii="Arial" w:cs="Arial" w:eastAsia="Arial" w:hAnsi="Arial"/>
                <w:sz w:val="18"/>
                <w:szCs w:val="18"/>
                <w:color w:val="auto"/>
              </w:rPr>
              <w:t>Capitalized Research &amp; Development</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9"/>
                <w:szCs w:val="19"/>
                <w:color w:val="auto"/>
              </w:rPr>
            </w:pPr>
          </w:p>
        </w:tc>
      </w:tr>
      <w:tr>
        <w:trPr>
          <w:trHeight w:val="229"/>
        </w:trPr>
        <w:tc>
          <w:tcPr>
            <w:tcW w:w="4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California Alternative Minimum Tax</w:t>
            </w: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FF0FC"/>
          </w:tcPr>
          <w:p>
            <w:pPr>
              <w:spacing w:after="0"/>
              <w:rPr>
                <w:sz w:val="19"/>
                <w:szCs w:val="19"/>
                <w:color w:val="auto"/>
              </w:rPr>
            </w:pPr>
          </w:p>
        </w:tc>
      </w:tr>
      <w:tr>
        <w:trPr>
          <w:trHeight w:val="230"/>
        </w:trPr>
        <w:tc>
          <w:tcPr>
            <w:tcW w:w="4500" w:type="dxa"/>
            <w:vAlign w:val="bottom"/>
          </w:tcPr>
          <w:p>
            <w:pPr>
              <w:ind w:left="120"/>
              <w:spacing w:after="0"/>
              <w:rPr>
                <w:sz w:val="20"/>
                <w:szCs w:val="20"/>
                <w:color w:val="auto"/>
              </w:rPr>
            </w:pPr>
            <w:r>
              <w:rPr>
                <w:rFonts w:ascii="Arial" w:cs="Arial" w:eastAsia="Arial" w:hAnsi="Arial"/>
                <w:sz w:val="18"/>
                <w:szCs w:val="18"/>
                <w:color w:val="auto"/>
              </w:rPr>
              <w:t>Fixed Assets</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4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Operating Losses</w:t>
            </w: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185,431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151,007</w:t>
            </w:r>
          </w:p>
        </w:tc>
        <w:tc>
          <w:tcPr>
            <w:tcW w:w="80" w:type="dxa"/>
            <w:vAlign w:val="bottom"/>
            <w:shd w:val="clear" w:color="auto" w:fill="CFF0FC"/>
          </w:tcPr>
          <w:p>
            <w:pPr>
              <w:spacing w:after="0"/>
              <w:rPr>
                <w:sz w:val="19"/>
                <w:szCs w:val="19"/>
                <w:color w:val="auto"/>
              </w:rPr>
            </w:pPr>
          </w:p>
        </w:tc>
      </w:tr>
      <w:tr>
        <w:trPr>
          <w:trHeight w:val="229"/>
        </w:trPr>
        <w:tc>
          <w:tcPr>
            <w:tcW w:w="4500" w:type="dxa"/>
            <w:vAlign w:val="bottom"/>
          </w:tcPr>
          <w:p>
            <w:pPr>
              <w:ind w:left="120"/>
              <w:spacing w:after="0"/>
              <w:rPr>
                <w:sz w:val="20"/>
                <w:szCs w:val="20"/>
                <w:color w:val="auto"/>
              </w:rPr>
            </w:pPr>
            <w:r>
              <w:rPr>
                <w:rFonts w:ascii="Arial" w:cs="Arial" w:eastAsia="Arial" w:hAnsi="Arial"/>
                <w:sz w:val="18"/>
                <w:szCs w:val="18"/>
                <w:color w:val="auto"/>
              </w:rPr>
              <w:t>Intangible Assets</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3,562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2,818</w:t>
            </w:r>
          </w:p>
        </w:tc>
        <w:tc>
          <w:tcPr>
            <w:tcW w:w="80" w:type="dxa"/>
            <w:vAlign w:val="bottom"/>
          </w:tcPr>
          <w:p>
            <w:pPr>
              <w:spacing w:after="0"/>
              <w:rPr>
                <w:sz w:val="19"/>
                <w:szCs w:val="19"/>
                <w:color w:val="auto"/>
              </w:rPr>
            </w:pPr>
          </w:p>
        </w:tc>
      </w:tr>
      <w:tr>
        <w:trPr>
          <w:trHeight w:val="230"/>
        </w:trPr>
        <w:tc>
          <w:tcPr>
            <w:tcW w:w="4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Revenue</w:t>
            </w: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80" w:type="dxa"/>
            <w:vAlign w:val="bottom"/>
            <w:shd w:val="clear" w:color="auto" w:fill="CFF0FC"/>
          </w:tcPr>
          <w:p>
            <w:pPr>
              <w:spacing w:after="0"/>
              <w:rPr>
                <w:sz w:val="19"/>
                <w:szCs w:val="19"/>
                <w:color w:val="auto"/>
              </w:rPr>
            </w:pPr>
          </w:p>
        </w:tc>
      </w:tr>
      <w:tr>
        <w:trPr>
          <w:trHeight w:val="229"/>
        </w:trPr>
        <w:tc>
          <w:tcPr>
            <w:tcW w:w="4500" w:type="dxa"/>
            <w:vAlign w:val="bottom"/>
          </w:tcPr>
          <w:p>
            <w:pPr>
              <w:ind w:left="120"/>
              <w:spacing w:after="0"/>
              <w:rPr>
                <w:sz w:val="20"/>
                <w:szCs w:val="20"/>
                <w:color w:val="auto"/>
              </w:rPr>
            </w:pPr>
            <w:r>
              <w:rPr>
                <w:rFonts w:ascii="Arial" w:cs="Arial" w:eastAsia="Arial" w:hAnsi="Arial"/>
                <w:sz w:val="18"/>
                <w:szCs w:val="18"/>
                <w:color w:val="auto"/>
              </w:rPr>
              <w:t>Right of Use Assets/Lease Liabilities</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19"/>
                <w:szCs w:val="19"/>
                <w:color w:val="auto"/>
              </w:rPr>
            </w:pPr>
          </w:p>
        </w:tc>
      </w:tr>
      <w:tr>
        <w:trPr>
          <w:trHeight w:val="230"/>
        </w:trPr>
        <w:tc>
          <w:tcPr>
            <w:tcW w:w="4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Capital Loss</w:t>
            </w:r>
          </w:p>
        </w:tc>
        <w:tc>
          <w:tcPr>
            <w:tcW w:w="16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216,259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171,080</w:t>
            </w:r>
          </w:p>
        </w:tc>
        <w:tc>
          <w:tcPr>
            <w:tcW w:w="8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(194,255)</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(156,604)</w:t>
            </w: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Assets</w:t>
            </w:r>
          </w:p>
        </w:tc>
        <w:tc>
          <w:tcPr>
            <w:tcW w:w="1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(6,360)</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(2,547)</w:t>
            </w: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State taxes</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(15,644)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(11,929)</w:t>
            </w:r>
          </w:p>
        </w:tc>
      </w:tr>
      <w:tr>
        <w:trPr>
          <w:trHeight w:val="223"/>
        </w:trPr>
        <w:tc>
          <w:tcPr>
            <w:tcW w:w="450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deferred tax liability</w:t>
            </w:r>
          </w:p>
        </w:tc>
        <w:tc>
          <w:tcPr>
            <w:tcW w:w="16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(14,476)</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Net deferred tax assets (liabilities)</w:t>
            </w:r>
          </w:p>
        </w:tc>
        <w:tc>
          <w:tcPr>
            <w:tcW w:w="16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The Company has concluded, in accordance with the applicable accounting standards, that it is more likely than not that the Company may not realize the benefit of all of its deferred tax assets. Accordingly, management has provided a 100% valuation allowance against its deferred tax assets until such time as management believes that its projections of future profits as well as expected future tax rates make the realization of these deferred tax assets more-likely-than-not. Significant judgment is required in the evaluation of deferred tax benefits and differences in future results from our estimates could result in material differences in the realization of these assets. The Company has performed an assessment of positive and negative evidence regarding the realization of the net deferred tax asset in accordance with FASB ASC 740-10, “Accounting for Income Taxes.” This assessment included the evaluation of scheduled reversals of deferred tax liabilities, the availability of carry forwards and estimates of projected future taxable income.</w:t>
      </w:r>
    </w:p>
    <w:p>
      <w:pPr>
        <w:spacing w:after="0" w:line="166"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As of September 30, 2021, the Company had available gross federal net operating loss (“NOL”) carry forwards of approximately $569.0 million and gross state NOL carry forwards of $626.5 million. The NOLs expire at various dates through 2041.</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provisions for income taxes for the years ended September 30, 2021 and 2020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800" w:type="dxa"/>
            <w:vAlign w:val="bottom"/>
            <w:gridSpan w:val="2"/>
            <w:vMerge w:val="restart"/>
          </w:tcPr>
          <w:p>
            <w:pPr>
              <w:jc w:val="right"/>
              <w:ind w:right="7"/>
              <w:spacing w:after="0"/>
              <w:rPr>
                <w:sz w:val="20"/>
                <w:szCs w:val="20"/>
                <w:color w:val="auto"/>
              </w:rPr>
            </w:pPr>
            <w:r>
              <w:rPr>
                <w:rFonts w:ascii="Arial" w:cs="Arial" w:eastAsia="Arial" w:hAnsi="Arial"/>
                <w:sz w:val="14"/>
                <w:szCs w:val="14"/>
                <w:b w:val="1"/>
                <w:bCs w:val="1"/>
                <w:color w:val="auto"/>
              </w:rPr>
              <w:t>2021</w:t>
            </w:r>
          </w:p>
        </w:tc>
        <w:tc>
          <w:tcPr>
            <w:tcW w:w="104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w w:val="98"/>
              </w:rPr>
              <w:t>September 30,</w:t>
            </w:r>
          </w:p>
        </w:tc>
        <w:tc>
          <w:tcPr>
            <w:tcW w:w="8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jc w:val="right"/>
              <w:ind w:right="7"/>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Federal:</w:t>
            </w:r>
          </w:p>
        </w:tc>
        <w:tc>
          <w:tcPr>
            <w:tcW w:w="29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Current</w:t>
            </w:r>
          </w:p>
        </w:tc>
        <w:tc>
          <w:tcPr>
            <w:tcW w:w="2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w:t>
            </w:r>
          </w:p>
        </w:tc>
        <w:tc>
          <w:tcPr>
            <w:tcW w:w="29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ind w:left="1140"/>
              <w:spacing w:after="0"/>
              <w:rPr>
                <w:sz w:val="20"/>
                <w:szCs w:val="20"/>
                <w:color w:val="auto"/>
              </w:rPr>
            </w:pPr>
            <w:r>
              <w:rPr>
                <w:rFonts w:ascii="Arial" w:cs="Arial" w:eastAsia="Arial" w:hAnsi="Arial"/>
                <w:sz w:val="18"/>
                <w:szCs w:val="18"/>
                <w:color w:val="auto"/>
              </w:rPr>
              <w:t>Total Federal</w:t>
            </w:r>
          </w:p>
        </w:tc>
        <w:tc>
          <w:tcPr>
            <w:tcW w:w="29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w:t>
            </w:r>
          </w:p>
        </w:tc>
        <w:tc>
          <w:tcPr>
            <w:tcW w:w="29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00" w:type="dxa"/>
            <w:vAlign w:val="bottom"/>
          </w:tcPr>
          <w:p>
            <w:pPr>
              <w:ind w:left="120"/>
              <w:spacing w:after="0"/>
              <w:rPr>
                <w:sz w:val="20"/>
                <w:szCs w:val="20"/>
                <w:color w:val="auto"/>
              </w:rPr>
            </w:pPr>
            <w:r>
              <w:rPr>
                <w:rFonts w:ascii="Arial" w:cs="Arial" w:eastAsia="Arial" w:hAnsi="Arial"/>
                <w:sz w:val="18"/>
                <w:szCs w:val="18"/>
                <w:color w:val="auto"/>
              </w:rPr>
              <w:t>Current</w:t>
            </w:r>
          </w:p>
        </w:tc>
        <w:tc>
          <w:tcPr>
            <w:tcW w:w="380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w:t>
            </w:r>
          </w:p>
        </w:tc>
        <w:tc>
          <w:tcPr>
            <w:tcW w:w="29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ind w:left="1140"/>
              <w:spacing w:after="0"/>
              <w:rPr>
                <w:sz w:val="20"/>
                <w:szCs w:val="20"/>
                <w:color w:val="auto"/>
              </w:rPr>
            </w:pPr>
            <w:r>
              <w:rPr>
                <w:rFonts w:ascii="Arial" w:cs="Arial" w:eastAsia="Arial" w:hAnsi="Arial"/>
                <w:sz w:val="18"/>
                <w:szCs w:val="18"/>
                <w:color w:val="auto"/>
              </w:rPr>
              <w:t>Total State</w:t>
            </w:r>
          </w:p>
        </w:tc>
        <w:tc>
          <w:tcPr>
            <w:tcW w:w="29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from income taxes</w:t>
            </w:r>
          </w:p>
        </w:tc>
        <w:tc>
          <w:tcPr>
            <w:tcW w:w="29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800" w:type="dxa"/>
            <w:vAlign w:val="bottom"/>
            <w:gridSpan w:val="2"/>
          </w:tcPr>
          <w:p>
            <w:pPr>
              <w:jc w:val="right"/>
              <w:ind w:right="2267"/>
              <w:spacing w:after="0"/>
              <w:rPr>
                <w:sz w:val="20"/>
                <w:szCs w:val="20"/>
                <w:color w:val="auto"/>
              </w:rPr>
            </w:pPr>
            <w:r>
              <w:rPr>
                <w:rFonts w:ascii="Arial" w:cs="Arial" w:eastAsia="Arial" w:hAnsi="Arial"/>
                <w:sz w:val="18"/>
                <w:szCs w:val="18"/>
                <w:color w:val="auto"/>
              </w:rPr>
              <w:t>F-24</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5" w:name="page96"/>
    <w:bookmarkEnd w:id="95"/>
    <w:p>
      <w:pPr>
        <w:ind w:left="520"/>
        <w:spacing w:after="0"/>
        <w:rPr>
          <w:sz w:val="20"/>
          <w:szCs w:val="20"/>
          <w:color w:val="auto"/>
        </w:rPr>
      </w:pPr>
      <w:r>
        <w:rPr>
          <w:rFonts w:ascii="Arial" w:cs="Arial" w:eastAsia="Arial" w:hAnsi="Arial"/>
          <w:sz w:val="16"/>
          <w:szCs w:val="16"/>
          <w:color w:val="auto"/>
        </w:rPr>
        <w:t>The Company’s effective income tax rate differs from the statutory federal income tax rate as follows for the years ended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310"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6040" w:type="dxa"/>
            <w:vAlign w:val="bottom"/>
            <w:vMerge w:val="restart"/>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6040" w:type="dxa"/>
            <w:vAlign w:val="bottom"/>
            <w:tcBorders>
              <w:bottom w:val="single" w:sz="8" w:color="CFF0FC"/>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At U.S. federal statutory rate</w:t>
            </w:r>
          </w:p>
        </w:tc>
        <w:tc>
          <w:tcPr>
            <w:tcW w:w="7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-21.0%</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6820" w:type="dxa"/>
            <w:vAlign w:val="bottom"/>
            <w:gridSpan w:val="2"/>
          </w:tcPr>
          <w:p>
            <w:pPr>
              <w:spacing w:after="0"/>
              <w:rPr>
                <w:sz w:val="20"/>
                <w:szCs w:val="20"/>
                <w:color w:val="auto"/>
              </w:rPr>
            </w:pPr>
            <w:r>
              <w:rPr>
                <w:rFonts w:ascii="Arial" w:cs="Arial" w:eastAsia="Arial" w:hAnsi="Arial"/>
                <w:sz w:val="18"/>
                <w:szCs w:val="18"/>
                <w:color w:val="auto"/>
              </w:rPr>
              <w:t>State taxes, net of federal effect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3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Mark-to-market adjustments</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29.3%</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9"/>
        </w:trPr>
        <w:tc>
          <w:tcPr>
            <w:tcW w:w="6820" w:type="dxa"/>
            <w:vAlign w:val="bottom"/>
            <w:gridSpan w:val="2"/>
          </w:tcPr>
          <w:p>
            <w:pPr>
              <w:spacing w:after="0"/>
              <w:rPr>
                <w:sz w:val="20"/>
                <w:szCs w:val="20"/>
                <w:color w:val="auto"/>
              </w:rPr>
            </w:pPr>
            <w:r>
              <w:rPr>
                <w:rFonts w:ascii="Arial" w:cs="Arial" w:eastAsia="Arial" w:hAnsi="Arial"/>
                <w:sz w:val="18"/>
                <w:szCs w:val="18"/>
                <w:color w:val="auto"/>
              </w:rPr>
              <w:t>Other</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True-up on deferred taxes</w:t>
            </w: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Tax rate change</w:t>
            </w:r>
          </w:p>
        </w:tc>
        <w:tc>
          <w:tcPr>
            <w:tcW w:w="7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0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0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52"/>
        <w:spacing w:after="0" w:line="254" w:lineRule="auto"/>
        <w:rPr>
          <w:sz w:val="20"/>
          <w:szCs w:val="20"/>
          <w:color w:val="auto"/>
        </w:rPr>
      </w:pPr>
      <w:r>
        <w:rPr>
          <w:rFonts w:ascii="Arial" w:cs="Arial" w:eastAsia="Arial" w:hAnsi="Arial"/>
          <w:sz w:val="18"/>
          <w:szCs w:val="18"/>
          <w:color w:val="auto"/>
        </w:rPr>
        <w:t>The Company has adopted guidance issued by the FASB that clarifies the accounting for uncertainty in income taxes recognized in an enterprise’s financial statements and prescribes a recognition threshold of more likely than not and a measurement process for financial statement recognition and measurement of a tax position taken or expected to be taken in a tax return. In making this assessment, a company must determine whether it is more likely than not that a tax position will be sustained upon examination, based solely on the technical merits of the position and must assume that the tax position will be examined by taxing authorities. The Company’s policy is to include interest and penalties related to unrecognized tax benefits in income tax expense. The Company has not recognized any unrecognized tax benefits and does not have any interest or penalties related to uncertain tax positions as of September 30, 2021 and 2020.</w:t>
      </w:r>
    </w:p>
    <w:p>
      <w:pPr>
        <w:spacing w:after="0" w:line="222"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The Company files income tax returns with the Internal Revenue Service (“IRS”), the state of California and certain other taxing jurisdictions. The Company is subject to income tax examinations by the IRS and by state tax authorities until the net operating losses are settled.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i w:val="1"/>
          <w:iCs w:val="1"/>
          <w:color w:val="auto"/>
        </w:rPr>
        <w:t>EMPLOYEE BENEFIT PLANS</w:t>
      </w:r>
    </w:p>
    <w:p>
      <w:pPr>
        <w:spacing w:after="0" w:line="12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In January 2005, the Company adopted a defined contribution 401(k) retirement savings plan covering substantially all of its employees. The Plan is administered under the “safe harbor” provision of ERISA. Under the terms of the plan, an eligible employee may elect to contribute a portion of their salary on a pre-tax basis, subject to federal statutory limitations. The plan allows for a discretionary match in an amount up to 100% of each participant’s first 3% of compensation contributed plus 50% of each participant’s next 2% of compensation contributed.</w:t>
      </w:r>
    </w:p>
    <w:p>
      <w:pPr>
        <w:spacing w:after="0" w:line="171"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For the years ended September 30, 2021, 2020, and 2019, the Company recorded expenses under this plan of $1.3 million, $0.9 million and $0.5 million, respectively.</w:t>
      </w:r>
    </w:p>
    <w:p>
      <w:pPr>
        <w:spacing w:after="0" w:line="170"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In addition to the employee benefit plans described above, the Company provides certain employee benefit plans, including those which provide health and life insurance benefits to employees.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b w:val="1"/>
          <w:bCs w:val="1"/>
          <w:i w:val="1"/>
          <w:i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Diego Lease Agreement with ARE-SD Region No. 72 LLC</w:t>
      </w:r>
    </w:p>
    <w:p>
      <w:pPr>
        <w:spacing w:after="0" w:line="225" w:lineRule="exact"/>
        <w:rPr>
          <w:sz w:val="20"/>
          <w:szCs w:val="20"/>
          <w:color w:val="auto"/>
        </w:rPr>
      </w:pPr>
    </w:p>
    <w:p>
      <w:pPr>
        <w:ind w:right="120" w:firstLine="340"/>
        <w:spacing w:after="0" w:line="257" w:lineRule="auto"/>
        <w:rPr>
          <w:sz w:val="20"/>
          <w:szCs w:val="20"/>
          <w:color w:val="auto"/>
        </w:rPr>
      </w:pPr>
      <w:r>
        <w:rPr>
          <w:rFonts w:ascii="Arial" w:cs="Arial" w:eastAsia="Arial" w:hAnsi="Arial"/>
          <w:sz w:val="18"/>
          <w:szCs w:val="18"/>
          <w:color w:val="auto"/>
        </w:rPr>
        <w:t>On November 19, 2021, the Company entered into a new lease for a San Diego, California research facility. The 15-year lease is for approximately 144,000 square feet of office and research and development laboratory space to be constructed in San Diego, California. This lease will replace the Company’s current research facility sublease for property located in San Diego, California. The increased capacity of this new facility compared to the Company’s current research facility in San Diego will accommodate increased personnel for the Company’s expanding pipeline of current and future drug candidates.</w:t>
      </w:r>
    </w:p>
    <w:p>
      <w:pPr>
        <w:spacing w:after="0" w:line="188" w:lineRule="exact"/>
        <w:rPr>
          <w:sz w:val="20"/>
          <w:szCs w:val="20"/>
          <w:color w:val="auto"/>
        </w:rPr>
      </w:pPr>
    </w:p>
    <w:p>
      <w:pPr>
        <w:ind w:right="40" w:firstLine="340"/>
        <w:spacing w:after="0" w:line="255" w:lineRule="auto"/>
        <w:rPr>
          <w:sz w:val="20"/>
          <w:szCs w:val="20"/>
          <w:color w:val="auto"/>
        </w:rPr>
      </w:pPr>
      <w:r>
        <w:rPr>
          <w:rFonts w:ascii="Arial" w:cs="Arial" w:eastAsia="Arial" w:hAnsi="Arial"/>
          <w:sz w:val="18"/>
          <w:szCs w:val="18"/>
          <w:color w:val="auto"/>
        </w:rPr>
        <w:t>The estimated rent commencement date for the lease is in May 2023 after construction and leasehold improvements have been completed. The lease payments, which begin on the rent commencement date, will be approximately $119.0 million over the initial 15-year term. The Company also estimates payments for operating expenses to be approximately $3.0 million for the first year of the lease, and these payments will continue throughout the initial 15-year term. The Company expects to pay approximately $31.0 million for leasehold improvements, net of tenant improvement allowances. Pursuant to the lease, within twelve months of the expiration of the initial 15-year term, the Company has the option to extend the lease for up to one additional ten-year term, with certain annual increases in base rent.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t>Exclusive License Agreement with Glaxosmithkline Intellectual Property (No. 3) Limited</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November 22, 2021, the Company entered into an Exclusive License Agreement (the “GSK License Agreement”) with Glaxosmithkline Intellectual Property (No. 3) Limited (“GSK”). Under the GSK License Agreement, GSK has received an exclusive license for ARO-HSD, the Company’s investigational RNAi therapeutic being developed as a treatment for patients with alcohol-related and nonalcohol related liver diseases, such as nonalcoholic steatohepatitis (NASH). The exclusive license is worldwide with the exception of greater China, for which the Company will retain rights to develop and commercialize. Beyond the Company’s Phase 1/2 study of (ARO-HSD), which the Company is responsible for completing, GSK is wholly responsible for clinical development and commercialization of ARO-HSD in its territory. Under the terms of the agreement, Arrowhead will receive an upfront payment of $120 million and is eligible for additional payments of $30 million at the start of Phase 2 and $100 million upon achieving a successful Phase 2 trial readout and the first patient dosed in a Phase 3 trial. Furthermore, should the Phase 3 trial read out positively, and the potential new medicine receives regulatory approval in major markets, the deal provides for commercial milestone payments to Arrowhead of up to $190 million at first commercial sale, and up to $590 million in sales-related milestone payments. Arrowhead is further eligible to receive tiered royalties on net product sales in a range of mid-teens to twenty percent. The transactions contemplated under the GSK Agreement are subject to customary closing conditions, including clearance by the relevant competition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34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21.1</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6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Subsidiary</w:t>
            </w:r>
          </w:p>
        </w:tc>
        <w:tc>
          <w:tcPr>
            <w:tcW w:w="56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Jurisdiction</w:t>
            </w:r>
          </w:p>
        </w:tc>
      </w:tr>
      <w:tr>
        <w:trPr>
          <w:trHeight w:val="210"/>
        </w:trPr>
        <w:tc>
          <w:tcPr>
            <w:tcW w:w="56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Arrowhead Madison Inc.</w:t>
            </w:r>
          </w:p>
        </w:tc>
        <w:tc>
          <w:tcPr>
            <w:tcW w:w="56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Delaware</w:t>
            </w:r>
          </w:p>
        </w:tc>
      </w:tr>
      <w:tr>
        <w:trPr>
          <w:trHeight w:val="209"/>
        </w:trPr>
        <w:tc>
          <w:tcPr>
            <w:tcW w:w="56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Arrowhead Australia Pty Ltd</w:t>
            </w:r>
          </w:p>
        </w:tc>
        <w:tc>
          <w:tcPr>
            <w:tcW w:w="56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hereby consent to the incorporation by reference in the Registration Statements on Forms S-1 (Nos. 333-164039 and 333-161344), Forms S-3 (Nos. 333-235324, 333-228598, 333-214315, 333-214311, 333-213484, 333-202737, 333-191922, 333-188718, 333-178532, 333-178073, 333-178072, 333-144109, 333-137329, 333-132310, 333-124065, and 333-113065), and Forms S-8 (Nos. 333-256255, 333-238616, 333-230621, 333-223836, 333-210117, 333-202741, 333-198920, 333-194596, 333-190970, 333-180692, 333-170252, 333-136225, 333-124066, and 333-120072) of Arrowhead Pharmaceuticals, Inc. of our report dated November 22, 2021, with respect to the consolidated balance sheets of Arrowhead Pharmaceuticals, Inc. and Subsidiaries as of September 30, 2021 and September 30, 2020, and the related consolidated statements of operations and comprehensive income (loss), stockholders’ equity and cash flows for each of the years in the three-year period ended September 30, 2021, and the effectiveness of internal control over financial reporting as of September 30, 2021, which reports appear in the September 30, 2021 annual report on Form 10-K of Arrowhead Pharmaceuticals, Inc.</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November 22, 2021</w:t>
      </w:r>
    </w:p>
    <w:p>
      <w:pPr>
        <w:sectPr>
          <w:pgSz w:w="11900" w:h="16838" w:orient="portrait"/>
          <w:cols w:equalWidth="0" w:num="1">
            <w:col w:w="11240"/>
          </w:cols>
          <w:pgMar w:left="320" w:top="823"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117" w:lineRule="exact"/>
        <w:rPr>
          <w:sz w:val="20"/>
          <w:szCs w:val="20"/>
          <w:color w:val="auto"/>
        </w:rPr>
      </w:pPr>
    </w:p>
    <w:p>
      <w:pPr>
        <w:ind w:left="700" w:hanging="18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Pharmaceuticals,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420" w:firstLine="484"/>
        <w:spacing w:after="0" w:line="263" w:lineRule="auto"/>
        <w:tabs>
          <w:tab w:leader="none" w:pos="125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60" w:firstLine="484"/>
        <w:spacing w:after="0" w:line="263" w:lineRule="auto"/>
        <w:tabs>
          <w:tab w:leader="none" w:pos="126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00" w:firstLine="484"/>
        <w:spacing w:after="0" w:line="342" w:lineRule="auto"/>
        <w:tabs>
          <w:tab w:leader="none" w:pos="1251"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60" w:firstLine="484"/>
        <w:spacing w:after="0" w:line="263" w:lineRule="auto"/>
        <w:tabs>
          <w:tab w:leader="none" w:pos="126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40" w:firstLine="518"/>
        <w:spacing w:after="0" w:line="308" w:lineRule="auto"/>
        <w:tabs>
          <w:tab w:leader="none" w:pos="69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20" w:firstLine="484"/>
        <w:spacing w:after="0" w:line="308" w:lineRule="auto"/>
        <w:tabs>
          <w:tab w:leader="none" w:pos="1241"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00" w:firstLine="484"/>
        <w:spacing w:after="0" w:line="277" w:lineRule="auto"/>
        <w:tabs>
          <w:tab w:leader="none" w:pos="12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22, 2021</w:t>
      </w:r>
    </w:p>
    <w:p>
      <w:pPr>
        <w:spacing w:after="0" w:line="239"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Christopher Anzalone</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117" w:lineRule="exact"/>
        <w:rPr>
          <w:sz w:val="20"/>
          <w:szCs w:val="20"/>
          <w:color w:val="auto"/>
        </w:rPr>
      </w:pPr>
    </w:p>
    <w:p>
      <w:pPr>
        <w:ind w:left="700" w:hanging="18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Pharmaceuticals,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420" w:firstLine="484"/>
        <w:spacing w:after="0" w:line="263" w:lineRule="auto"/>
        <w:tabs>
          <w:tab w:leader="none" w:pos="125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60" w:firstLine="484"/>
        <w:spacing w:after="0" w:line="263" w:lineRule="auto"/>
        <w:tabs>
          <w:tab w:leader="none" w:pos="126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00" w:firstLine="484"/>
        <w:spacing w:after="0" w:line="342" w:lineRule="auto"/>
        <w:tabs>
          <w:tab w:leader="none" w:pos="1251"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60" w:firstLine="484"/>
        <w:spacing w:after="0" w:line="263" w:lineRule="auto"/>
        <w:tabs>
          <w:tab w:leader="none" w:pos="126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40" w:firstLine="518"/>
        <w:spacing w:after="0" w:line="308" w:lineRule="auto"/>
        <w:tabs>
          <w:tab w:leader="none" w:pos="69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520" w:firstLine="484"/>
        <w:spacing w:after="0" w:line="308" w:lineRule="auto"/>
        <w:tabs>
          <w:tab w:leader="none" w:pos="1241"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00" w:firstLine="484"/>
        <w:spacing w:after="0" w:line="277" w:lineRule="auto"/>
        <w:tabs>
          <w:tab w:leader="none" w:pos="125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22, 2021</w:t>
      </w:r>
    </w:p>
    <w:p>
      <w:pPr>
        <w:spacing w:after="0" w:line="23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Kenneth A. Myszkowski,</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211"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I, Christopher Anzalone, Chief Executive Officer of Arrowhead Pharmaceuticals, Inc. (the “Company”), certify, pursuant to Rule 13(a)-14(b) or Rule 15(d)-14(b) of the Securities Exchange Act of 1934 and 18 U.S.C. Section 1350, that (i) the Annual Report on Form 10-K of the Company for the year ended September 30, 2021,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22, 2021</w:t>
      </w:r>
    </w:p>
    <w:p>
      <w:pPr>
        <w:spacing w:after="0" w:line="23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Christopher Anzalone</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21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I, Kenneth A. Myszkowski, Chief Financial Officer of Arrowhead Pharmaceuticals, Inc. (the “Company”), certify, pursuant to Rule 13(a)-14(b) or Rule 15(d)-14(b) of the Securities Exchange Act of 1934 and 18 U.S.C. Section 1350, that (i) the Annual Report on Form 10-K of the Company for the year ended September 30, 2021,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22, 2021</w:t>
      </w:r>
    </w:p>
    <w:p>
      <w:pPr>
        <w:spacing w:after="0" w:line="23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Kenneth A. Myszkowski</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endash "/>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3"/>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52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24" Type="http://schemas.openxmlformats.org/officeDocument/2006/relationships/image" Target="media/image81.png"/><Relationship Id="rId135" Type="http://schemas.openxmlformats.org/officeDocument/2006/relationships/image" Target="media/image82.png"/><Relationship Id="rId136" Type="http://schemas.openxmlformats.org/officeDocument/2006/relationships/image" Target="media/image83.png"/><Relationship Id="rId137" Type="http://schemas.openxmlformats.org/officeDocument/2006/relationships/image" Target="media/image84.png"/><Relationship Id="rId138" Type="http://schemas.openxmlformats.org/officeDocument/2006/relationships/image" Target="media/image85.png"/><Relationship Id="rId139" Type="http://schemas.openxmlformats.org/officeDocument/2006/relationships/image" Target="media/image86.png"/><Relationship Id="rId140" Type="http://schemas.openxmlformats.org/officeDocument/2006/relationships/image" Target="media/image87.png"/><Relationship Id="rId141" Type="http://schemas.openxmlformats.org/officeDocument/2006/relationships/image" Target="media/image88.png"/><Relationship Id="rId142" Type="http://schemas.openxmlformats.org/officeDocument/2006/relationships/image" Target="media/image89.png"/><Relationship Id="rId143" Type="http://schemas.openxmlformats.org/officeDocument/2006/relationships/image" Target="media/image90.png"/><Relationship Id="rId144" Type="http://schemas.openxmlformats.org/officeDocument/2006/relationships/image" Target="media/image91.png"/><Relationship Id="rId145" Type="http://schemas.openxmlformats.org/officeDocument/2006/relationships/image" Target="media/image92.png"/><Relationship Id="rId146" Type="http://schemas.openxmlformats.org/officeDocument/2006/relationships/image" Target="media/image93.png"/><Relationship Id="rId147" Type="http://schemas.openxmlformats.org/officeDocument/2006/relationships/image" Target="media/image94.png"/><Relationship Id="rId148" Type="http://schemas.openxmlformats.org/officeDocument/2006/relationships/image" Target="media/image95.png"/><Relationship Id="rId149" Type="http://schemas.openxmlformats.org/officeDocument/2006/relationships/image" Target="media/image96.png"/><Relationship Id="rId150" Type="http://schemas.openxmlformats.org/officeDocument/2006/relationships/image" Target="media/image97.png"/><Relationship Id="rId151" Type="http://schemas.openxmlformats.org/officeDocument/2006/relationships/image" Target="media/image98.png"/><Relationship Id="rId152" Type="http://schemas.openxmlformats.org/officeDocument/2006/relationships/image" Target="media/image99.png"/><Relationship Id="rId153" Type="http://schemas.openxmlformats.org/officeDocument/2006/relationships/image" Target="media/image100.png"/><Relationship Id="rId154" Type="http://schemas.openxmlformats.org/officeDocument/2006/relationships/image" Target="media/image101.png"/><Relationship Id="rId155"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62" Type="http://schemas.openxmlformats.org/officeDocument/2006/relationships/image" Target="media/image109.png"/><Relationship Id="rId163" Type="http://schemas.openxmlformats.org/officeDocument/2006/relationships/image" Target="media/image110.png"/><Relationship Id="rId164" Type="http://schemas.openxmlformats.org/officeDocument/2006/relationships/image" Target="media/image111.png"/><Relationship Id="rId165" Type="http://schemas.openxmlformats.org/officeDocument/2006/relationships/image" Target="media/image112.png"/><Relationship Id="rId166" Type="http://schemas.openxmlformats.org/officeDocument/2006/relationships/image" Target="media/image113.png"/><Relationship Id="rId167" Type="http://schemas.openxmlformats.org/officeDocument/2006/relationships/image" Target="media/image114.png"/><Relationship Id="rId168" Type="http://schemas.openxmlformats.org/officeDocument/2006/relationships/image" Target="media/image115.png"/><Relationship Id="rId86" Type="http://schemas.openxmlformats.org/officeDocument/2006/relationships/hyperlink" Target="http://www.sec.gov/Archives/edgar/data/879407/000156459020036812/arwr-ex11_467.htm" TargetMode="External"/><Relationship Id="rId87" Type="http://schemas.openxmlformats.org/officeDocument/2006/relationships/hyperlink" Target="http://www.sec.gov/Archives/edgar/data/879407/000119312511347334/d265091dex21.htm" TargetMode="External"/><Relationship Id="rId88" Type="http://schemas.openxmlformats.org/officeDocument/2006/relationships/hyperlink" Target="http://www.sec.gov/Archives/edgar/data/879407/000156459015003902/arwr-ex21_20150331298.htm" TargetMode="External"/><Relationship Id="rId89" Type="http://schemas.openxmlformats.org/officeDocument/2006/relationships/hyperlink" Target="http://www.sec.gov/Archives/edgar/data/879407/000119312516532364/d175317dex33.htm" TargetMode="External"/><Relationship Id="rId90" Type="http://schemas.openxmlformats.org/officeDocument/2006/relationships/hyperlink" Target="http://www.sec.gov/Archives/edgar/data/879407/000119312516532364/d175317dex34.htm" TargetMode="External"/><Relationship Id="rId91" Type="http://schemas.openxmlformats.org/officeDocument/2006/relationships/hyperlink" Target="http://www.sec.gov/Archives/edgar/data/879407/000119312516532364/d175317dex41.htm" TargetMode="External"/><Relationship Id="rId92" Type="http://schemas.openxmlformats.org/officeDocument/2006/relationships/hyperlink" Target="http://www.sec.gov/Archives/edgar/data/0000879407/000119312519304271/d807419ds3asr.htm" TargetMode="External"/><Relationship Id="rId93" Type="http://schemas.openxmlformats.org/officeDocument/2006/relationships/hyperlink" Target="http://www.sec.gov/Archives/edgar/data/879407/000119312517092797/d319463dex41.htm" TargetMode="External"/><Relationship Id="rId94" Type="http://schemas.openxmlformats.org/officeDocument/2006/relationships/hyperlink" Target="http://www.sec.gov/Archives/edgar/data/879407/000156459019044376/arwr-ex44_92.htm" TargetMode="External"/><Relationship Id="rId95" Type="http://schemas.openxmlformats.org/officeDocument/2006/relationships/hyperlink" Target="http://www.sec.gov/Archives/edgar/data/879407/000095012319000828/arwr-ex104_153.htm" TargetMode="External"/><Relationship Id="rId96" Type="http://schemas.openxmlformats.org/officeDocument/2006/relationships/hyperlink" Target="http://www.sec.gov/Archives/edgar/data/879407/000119312512009893/d275001ddef14a.htm" TargetMode="External"/><Relationship Id="rId97" Type="http://schemas.openxmlformats.org/officeDocument/2006/relationships/hyperlink" Target="http://www.sec.gov/Archives/edgar/data/879407/000119312513481209/d647635ddef14a.htm" TargetMode="External"/><Relationship Id="rId98" Type="http://schemas.openxmlformats.org/officeDocument/2006/relationships/hyperlink" Target="http://www.sec.gov/Archives/edgar/data/879407/000119312514048097/d675317dex101.htm" TargetMode="External"/><Relationship Id="rId99" Type="http://schemas.openxmlformats.org/officeDocument/2006/relationships/hyperlink" Target="http://www.sec.gov/Archives/edgar/data/879407/000119312514048097/d675317dex102.htm" TargetMode="External"/><Relationship Id="rId100" Type="http://schemas.openxmlformats.org/officeDocument/2006/relationships/hyperlink" Target="http://www.sec.gov/Archives/edgar/data/0000879407/000119312521019640/d76219ddef14a.htm" TargetMode="External"/><Relationship Id="rId101" Type="http://schemas.openxmlformats.org/officeDocument/2006/relationships/hyperlink" Target="http://www.sec.gov/Archives/edgar/data/0000879407/000156459021041593/arwr-ex101_33.htm" TargetMode="External"/><Relationship Id="rId102" Type="http://schemas.openxmlformats.org/officeDocument/2006/relationships/hyperlink" Target="http://www.sec.gov/Archives/edgar/data/0000879407/000156459021041593/arwr-ex102_32.htm" TargetMode="External"/><Relationship Id="rId103" Type="http://schemas.openxmlformats.org/officeDocument/2006/relationships/hyperlink" Target="http://www.sec.gov/Archives/edgar/data/0000879407/000156459021041593/arwr-ex103_31.htm" TargetMode="External"/><Relationship Id="rId106" Type="http://schemas.openxmlformats.org/officeDocument/2006/relationships/hyperlink" Target="http://www.sec.gov/Archives/edgar/data/879407/000119312506253375/dex1011.htm" TargetMode="External"/><Relationship Id="rId107" Type="http://schemas.openxmlformats.org/officeDocument/2006/relationships/hyperlink" Target="http://www.sec.gov/Archives/edgar/data/879407/000119312508133616/dex101.htm" TargetMode="External"/><Relationship Id="rId108" Type="http://schemas.openxmlformats.org/officeDocument/2006/relationships/hyperlink" Target="http://www.sec.gov/Archives/edgar/data/879407/000119312509258134/dex108.htm" TargetMode="External"/><Relationship Id="rId109" Type="http://schemas.openxmlformats.org/officeDocument/2006/relationships/hyperlink" Target="http://www.sec.gov/Archives/edgar/data/879407/000119312511347334/d265091dex1033.htm" TargetMode="External"/><Relationship Id="rId110" Type="http://schemas.openxmlformats.org/officeDocument/2006/relationships/hyperlink" Target="http://www.sec.gov/Archives/edgar/data/879407/000119312511347334/d265091dex1036.htm" TargetMode="External"/><Relationship Id="rId111" Type="http://schemas.openxmlformats.org/officeDocument/2006/relationships/hyperlink" Target="http://www.sec.gov/Archives/edgar/data/879407/000156459014003557/arwr-ex10_20140630353.htm" TargetMode="External"/><Relationship Id="rId112" Type="http://schemas.openxmlformats.org/officeDocument/2006/relationships/hyperlink" Target="http://www.sec.gov/Archives/edgar/data/879407/000156459016030217/arwr-ex1018_310.htm" TargetMode="External"/><Relationship Id="rId113" Type="http://schemas.openxmlformats.org/officeDocument/2006/relationships/hyperlink" Target="http://www.sec.gov/Archives/edgar/data/879407/000156459016030217/arwr-ex1019_309.htm" TargetMode="External"/><Relationship Id="rId114" Type="http://schemas.openxmlformats.org/officeDocument/2006/relationships/hyperlink" Target="http://www.sec.gov/Archives/edgar/data/879407/000119312516776646/d272157dex101.htm" TargetMode="External"/><Relationship Id="rId115" Type="http://schemas.openxmlformats.org/officeDocument/2006/relationships/hyperlink" Target="http://www.sec.gov/Archives/edgar/data/879407/000095012319000828/arwr-ex101_156.htm" TargetMode="External"/><Relationship Id="rId116" Type="http://schemas.openxmlformats.org/officeDocument/2006/relationships/hyperlink" Target="http://www.sec.gov/Archives/edgar/data/879407/000095012319000828/arwr-ex102_155.htm" TargetMode="External"/><Relationship Id="rId117" Type="http://schemas.openxmlformats.org/officeDocument/2006/relationships/hyperlink" Target="http://www.sec.gov/Archives/edgar/data/879407/000095012319000828/arwr-ex103_154.htm" TargetMode="External"/><Relationship Id="rId118" Type="http://schemas.openxmlformats.org/officeDocument/2006/relationships/hyperlink" Target="http://www.sec.gov/Archives/edgar/data/0000879407/000156459019044376/arwr-ex1019_310.htm" TargetMode="External"/><Relationship Id="rId119" Type="http://schemas.openxmlformats.org/officeDocument/2006/relationships/hyperlink" Target="http://www.sec.gov/Archives/edgar/data/879407/000156459019044376/arwr-ex1020_311.htm" TargetMode="External"/><Relationship Id="rId120" Type="http://schemas.openxmlformats.org/officeDocument/2006/relationships/hyperlink" Target="http://www.sec.gov/Archives/edgar/data/879407/000156459019044376/arwr-ex1021_309.htm" TargetMode="External"/><Relationship Id="rId121" Type="http://schemas.openxmlformats.org/officeDocument/2006/relationships/hyperlink" Target="http://www.sec.gov/Archives/edgar/data/879407/000156459019028760/arwr-ex101_67.htm" TargetMode="External"/><Relationship Id="rId122" Type="http://schemas.openxmlformats.org/officeDocument/2006/relationships/hyperlink" Target="http://www.sec.gov/Archives/edgar/data/0000879407/000156459021004319/arwr-ex102_50.htm" TargetMode="External"/><Relationship Id="rId123" Type="http://schemas.openxmlformats.org/officeDocument/2006/relationships/hyperlink" Target="http://www.sec.gov/Archives/edgar/data/879407/000156459016012515/arwr-ex101_83.htm" TargetMode="External"/><Relationship Id="rId125" Type="http://schemas.openxmlformats.org/officeDocument/2006/relationships/hyperlink" Target="http://www.sec.gov/Archives/edgar/data/0000879407/000156459020054893/arwr-ex1023_125.htm" TargetMode="External"/><Relationship Id="rId126" Type="http://schemas.openxmlformats.org/officeDocument/2006/relationships/hyperlink" Target="http://www.sec.gov/Archives/edgar/data/0000879407/000156459020054893/arwr-ex1024_124.htm" TargetMode="External"/><Relationship Id="rId127" Type="http://schemas.openxmlformats.org/officeDocument/2006/relationships/hyperlink" Target="http://www.sec.gov/Archives/edgar/data/0000879407/000156459020054893/arwr-ex1025_123.htm" TargetMode="External"/><Relationship Id="rId128" Type="http://schemas.openxmlformats.org/officeDocument/2006/relationships/hyperlink" Target="http://www.sec.gov/Archives/edgar/data/0000879407/000156459020054893/arwr-ex1026_121.htm" TargetMode="External"/><Relationship Id="rId129" Type="http://schemas.openxmlformats.org/officeDocument/2006/relationships/hyperlink" Target="http://www.sec.gov/Archives/edgar/data/0000879407/000156459020054893/arwr-ex1027_122.htm" TargetMode="External"/><Relationship Id="rId130" Type="http://schemas.openxmlformats.org/officeDocument/2006/relationships/hyperlink" Target="http://www.sec.gov/Archives/edgar/data/0000879407/000156459021004319/arwr-ex103_51.htm" TargetMode="External"/><Relationship Id="rId131" Type="http://schemas.openxmlformats.org/officeDocument/2006/relationships/hyperlink" Target="http://www.sec.gov/Archives/edgar/data/0000879407/000156459021004319/arwr-ex104_52.htm" TargetMode="External"/><Relationship Id="rId132" Type="http://schemas.openxmlformats.org/officeDocument/2006/relationships/hyperlink" Target="http://www.sec.gov/Archives/edgar/data/879407/000156459020022860/arwr-ex101_202.htm" TargetMode="External"/><Relationship Id="rId133" Type="http://schemas.openxmlformats.org/officeDocument/2006/relationships/hyperlink" Target="http://www.sec.gov/Archives/edgar/data/0000879407/000156459021041593/arwr-ex104_195.htm" TargetMode="External"/><Relationship Id="rId134" Type="http://schemas.openxmlformats.org/officeDocument/2006/relationships/hyperlink" Target="http://www.sec.gov/Archives/edgar/data/0000879407/000156459021004319/arwr-ex101_86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2021-11-22T15:42:30Z</dcterms:created>
  <dcterms:modified xsi:type="dcterms:W3CDTF">2021-11-22T15:42:30Z</dcterms:modified>
</cp:coreProperties>
</file>