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176530</wp:posOffset>
            </wp:positionV>
            <wp:extent cx="71424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192405</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126365</wp:posOffset>
            </wp:positionV>
            <wp:extent cx="1431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140335</wp:posOffset>
            </wp:positionV>
            <wp:extent cx="1431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36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8" w:lineRule="exact"/>
        <w:rPr>
          <w:sz w:val="24"/>
          <w:szCs w:val="24"/>
          <w:color w:val="auto"/>
        </w:rPr>
      </w:pPr>
    </w:p>
    <w:p>
      <w:pPr>
        <w:ind w:left="500" w:hanging="500"/>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-121920</wp:posOffset>
            </wp:positionV>
            <wp:extent cx="96520" cy="97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520" cy="977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2020</w:t>
      </w:r>
    </w:p>
    <w:p>
      <w:pPr>
        <w:spacing w:after="0" w:line="159" w:lineRule="exact"/>
        <w:rPr>
          <w:sz w:val="24"/>
          <w:szCs w:val="24"/>
          <w:color w:val="auto"/>
        </w:rPr>
      </w:pPr>
    </w:p>
    <w:p>
      <w:pPr>
        <w:ind w:left="500" w:hanging="500"/>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-107950</wp:posOffset>
            </wp:positionV>
            <wp:extent cx="96520" cy="97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520" cy="97790"/>
                    </a:xfrm>
                    <a:prstGeom prst="rect">
                      <a:avLst/>
                    </a:prstGeom>
                    <a:noFill/>
                  </pic:spPr>
                </pic:pic>
              </a:graphicData>
            </a:graphic>
          </wp:anchor>
        </w:drawing>
      </w:r>
    </w:p>
    <w:p>
      <w:pPr>
        <w:spacing w:after="0" w:line="160" w:lineRule="exact"/>
        <w:rPr>
          <w:sz w:val="24"/>
          <w:szCs w:val="24"/>
          <w:color w:val="auto"/>
        </w:rPr>
      </w:pPr>
    </w:p>
    <w:tbl>
      <w:tblPr>
        <w:tblLayout w:type="fixed"/>
        <w:tblInd w:w="2140" w:type="dxa"/>
        <w:tblCellMar>
          <w:top w:w="0" w:type="dxa"/>
          <w:left w:w="0" w:type="dxa"/>
          <w:bottom w:w="0" w:type="dxa"/>
          <w:right w:w="0" w:type="dxa"/>
        </w:tblCellMar>
      </w:tblPr>
      <w:tr>
        <w:trPr>
          <w:trHeight w:val="217"/>
        </w:trPr>
        <w:tc>
          <w:tcPr>
            <w:tcW w:w="1420" w:type="dxa"/>
            <w:vAlign w:val="bottom"/>
          </w:tcPr>
          <w:p>
            <w:pPr>
              <w:spacing w:after="0"/>
              <w:rPr>
                <w:sz w:val="18"/>
                <w:szCs w:val="18"/>
                <w:color w:val="auto"/>
              </w:rPr>
            </w:pPr>
          </w:p>
        </w:tc>
        <w:tc>
          <w:tcPr>
            <w:tcW w:w="5940" w:type="dxa"/>
            <w:vAlign w:val="bottom"/>
            <w:gridSpan w:val="3"/>
          </w:tcPr>
          <w:p>
            <w:pPr>
              <w:jc w:val="center"/>
              <w:ind w:right="1753"/>
              <w:spacing w:after="0"/>
              <w:rPr>
                <w:sz w:val="20"/>
                <w:szCs w:val="20"/>
                <w:color w:val="auto"/>
              </w:rPr>
            </w:pPr>
            <w:r>
              <w:rPr>
                <w:rFonts w:ascii="Arial" w:cs="Arial" w:eastAsia="Arial" w:hAnsi="Arial"/>
                <w:sz w:val="17"/>
                <w:szCs w:val="17"/>
                <w:b w:val="1"/>
                <w:bCs w:val="1"/>
                <w:color w:val="auto"/>
                <w:w w:val="88"/>
              </w:rPr>
              <w:t>Commission file number 001-38042</w:t>
            </w:r>
          </w:p>
        </w:tc>
      </w:tr>
      <w:tr>
        <w:trPr>
          <w:trHeight w:val="201"/>
        </w:trPr>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740" w:type="dxa"/>
            <w:vAlign w:val="bottom"/>
          </w:tcPr>
          <w:p>
            <w:pPr>
              <w:spacing w:after="0"/>
              <w:rPr>
                <w:sz w:val="17"/>
                <w:szCs w:val="17"/>
                <w:color w:val="auto"/>
              </w:rPr>
            </w:pPr>
          </w:p>
        </w:tc>
      </w:tr>
      <w:tr>
        <w:trPr>
          <w:trHeight w:val="364"/>
        </w:trPr>
        <w:tc>
          <w:tcPr>
            <w:tcW w:w="1420" w:type="dxa"/>
            <w:vAlign w:val="bottom"/>
          </w:tcPr>
          <w:p>
            <w:pPr>
              <w:spacing w:after="0"/>
              <w:rPr>
                <w:sz w:val="24"/>
                <w:szCs w:val="24"/>
                <w:color w:val="auto"/>
              </w:rPr>
            </w:pPr>
          </w:p>
        </w:tc>
        <w:tc>
          <w:tcPr>
            <w:tcW w:w="5940" w:type="dxa"/>
            <w:vAlign w:val="bottom"/>
            <w:gridSpan w:val="3"/>
          </w:tcPr>
          <w:p>
            <w:pPr>
              <w:jc w:val="center"/>
              <w:ind w:right="1753"/>
              <w:spacing w:after="0"/>
              <w:rPr>
                <w:sz w:val="20"/>
                <w:szCs w:val="20"/>
                <w:color w:val="auto"/>
              </w:rPr>
            </w:pPr>
            <w:r>
              <w:rPr>
                <w:rFonts w:ascii="Arial" w:cs="Arial" w:eastAsia="Arial" w:hAnsi="Arial"/>
                <w:sz w:val="20"/>
                <w:szCs w:val="20"/>
                <w:b w:val="1"/>
                <w:bCs w:val="1"/>
                <w:color w:val="auto"/>
              </w:rPr>
              <w:t>ARROWHEAD PHARMACEUTICALS, INC.</w:t>
            </w:r>
          </w:p>
        </w:tc>
      </w:tr>
      <w:tr>
        <w:trPr>
          <w:trHeight w:val="217"/>
        </w:trPr>
        <w:tc>
          <w:tcPr>
            <w:tcW w:w="1420" w:type="dxa"/>
            <w:vAlign w:val="bottom"/>
          </w:tcPr>
          <w:p>
            <w:pPr>
              <w:spacing w:after="0"/>
              <w:rPr>
                <w:sz w:val="18"/>
                <w:szCs w:val="18"/>
                <w:color w:val="auto"/>
              </w:rPr>
            </w:pPr>
          </w:p>
        </w:tc>
        <w:tc>
          <w:tcPr>
            <w:tcW w:w="5940" w:type="dxa"/>
            <w:vAlign w:val="bottom"/>
            <w:gridSpan w:val="3"/>
          </w:tcPr>
          <w:p>
            <w:pPr>
              <w:jc w:val="center"/>
              <w:ind w:right="1753"/>
              <w:spacing w:after="0"/>
              <w:rPr>
                <w:sz w:val="20"/>
                <w:szCs w:val="20"/>
                <w:color w:val="auto"/>
              </w:rPr>
            </w:pPr>
            <w:r>
              <w:rPr>
                <w:rFonts w:ascii="Arial" w:cs="Arial" w:eastAsia="Arial" w:hAnsi="Arial"/>
                <w:sz w:val="17"/>
                <w:szCs w:val="17"/>
                <w:b w:val="1"/>
                <w:bCs w:val="1"/>
                <w:color w:val="auto"/>
                <w:w w:val="87"/>
              </w:rPr>
              <w:t>(Exact name of registrant as specified in its charter)</w:t>
            </w:r>
          </w:p>
        </w:tc>
      </w:tr>
      <w:tr>
        <w:trPr>
          <w:trHeight w:val="201"/>
        </w:trPr>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740" w:type="dxa"/>
            <w:vAlign w:val="bottom"/>
          </w:tcPr>
          <w:p>
            <w:pPr>
              <w:spacing w:after="0"/>
              <w:rPr>
                <w:sz w:val="17"/>
                <w:szCs w:val="17"/>
                <w:color w:val="auto"/>
              </w:rPr>
            </w:pPr>
          </w:p>
        </w:tc>
      </w:tr>
      <w:tr>
        <w:trPr>
          <w:trHeight w:val="373"/>
        </w:trPr>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1"/>
              </w:rPr>
              <w:t>Delaware</w:t>
            </w:r>
          </w:p>
        </w:tc>
        <w:tc>
          <w:tcPr>
            <w:tcW w:w="5940" w:type="dxa"/>
            <w:vAlign w:val="bottom"/>
            <w:gridSpan w:val="3"/>
          </w:tcPr>
          <w:p>
            <w:pPr>
              <w:jc w:val="right"/>
              <w:ind w:right="553"/>
              <w:spacing w:after="0"/>
              <w:rPr>
                <w:sz w:val="20"/>
                <w:szCs w:val="20"/>
                <w:color w:val="auto"/>
              </w:rPr>
            </w:pPr>
            <w:r>
              <w:rPr>
                <w:rFonts w:ascii="Arial" w:cs="Arial" w:eastAsia="Arial" w:hAnsi="Arial"/>
                <w:sz w:val="17"/>
                <w:szCs w:val="17"/>
                <w:b w:val="1"/>
                <w:bCs w:val="1"/>
                <w:color w:val="auto"/>
              </w:rPr>
              <w:t>46-0408024</w:t>
            </w:r>
          </w:p>
        </w:tc>
      </w:tr>
      <w:tr>
        <w:trPr>
          <w:trHeight w:val="173"/>
        </w:trPr>
        <w:tc>
          <w:tcPr>
            <w:tcW w:w="1420" w:type="dxa"/>
            <w:vAlign w:val="bottom"/>
          </w:tcPr>
          <w:p>
            <w:pPr>
              <w:jc w:val="center"/>
              <w:ind w:right="5"/>
              <w:spacing w:after="0"/>
              <w:rPr>
                <w:sz w:val="20"/>
                <w:szCs w:val="20"/>
                <w:color w:val="auto"/>
              </w:rPr>
            </w:pPr>
            <w:r>
              <w:rPr>
                <w:rFonts w:ascii="Arial" w:cs="Arial" w:eastAsia="Arial" w:hAnsi="Arial"/>
                <w:sz w:val="13"/>
                <w:szCs w:val="13"/>
                <w:b w:val="1"/>
                <w:bCs w:val="1"/>
                <w:color w:val="auto"/>
                <w:w w:val="93"/>
              </w:rPr>
              <w:t>(State of incorporation)</w:t>
            </w:r>
          </w:p>
        </w:tc>
        <w:tc>
          <w:tcPr>
            <w:tcW w:w="9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740" w:type="dxa"/>
            <w:vAlign w:val="bottom"/>
          </w:tcPr>
          <w:p>
            <w:pPr>
              <w:jc w:val="center"/>
              <w:ind w:left="633"/>
              <w:spacing w:after="0"/>
              <w:rPr>
                <w:sz w:val="20"/>
                <w:szCs w:val="20"/>
                <w:color w:val="auto"/>
              </w:rPr>
            </w:pPr>
            <w:r>
              <w:rPr>
                <w:rFonts w:ascii="Arial" w:cs="Arial" w:eastAsia="Arial" w:hAnsi="Arial"/>
                <w:sz w:val="13"/>
                <w:szCs w:val="13"/>
                <w:b w:val="1"/>
                <w:bCs w:val="1"/>
                <w:color w:val="auto"/>
                <w:w w:val="95"/>
              </w:rPr>
              <w:t>(I.R.S. Employer Identification No.)</w:t>
            </w:r>
          </w:p>
        </w:tc>
      </w:tr>
      <w:tr>
        <w:trPr>
          <w:trHeight w:val="407"/>
        </w:trPr>
        <w:tc>
          <w:tcPr>
            <w:tcW w:w="1420" w:type="dxa"/>
            <w:vAlign w:val="bottom"/>
          </w:tcPr>
          <w:p>
            <w:pPr>
              <w:spacing w:after="0"/>
              <w:rPr>
                <w:sz w:val="24"/>
                <w:szCs w:val="24"/>
                <w:color w:val="auto"/>
              </w:rPr>
            </w:pPr>
          </w:p>
        </w:tc>
        <w:tc>
          <w:tcPr>
            <w:tcW w:w="5940" w:type="dxa"/>
            <w:vAlign w:val="bottom"/>
            <w:gridSpan w:val="3"/>
          </w:tcPr>
          <w:p>
            <w:pPr>
              <w:jc w:val="center"/>
              <w:ind w:right="1733"/>
              <w:spacing w:after="0"/>
              <w:rPr>
                <w:sz w:val="20"/>
                <w:szCs w:val="20"/>
                <w:color w:val="auto"/>
              </w:rPr>
            </w:pPr>
            <w:r>
              <w:rPr>
                <w:rFonts w:ascii="Arial" w:cs="Arial" w:eastAsia="Arial" w:hAnsi="Arial"/>
                <w:sz w:val="17"/>
                <w:szCs w:val="17"/>
                <w:b w:val="1"/>
                <w:bCs w:val="1"/>
                <w:color w:val="auto"/>
                <w:w w:val="88"/>
              </w:rPr>
              <w:t>177 E. Colorado Blvd, Suite 700</w:t>
            </w:r>
          </w:p>
        </w:tc>
      </w:tr>
      <w:tr>
        <w:trPr>
          <w:trHeight w:val="200"/>
        </w:trPr>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0" w:type="dxa"/>
            <w:vAlign w:val="bottom"/>
            <w:gridSpan w:val="2"/>
          </w:tcPr>
          <w:p>
            <w:pPr>
              <w:jc w:val="center"/>
              <w:ind w:right="2673"/>
              <w:spacing w:after="0"/>
              <w:rPr>
                <w:sz w:val="20"/>
                <w:szCs w:val="20"/>
                <w:color w:val="auto"/>
              </w:rPr>
            </w:pPr>
            <w:r>
              <w:rPr>
                <w:rFonts w:ascii="Arial" w:cs="Arial" w:eastAsia="Arial" w:hAnsi="Arial"/>
                <w:sz w:val="17"/>
                <w:szCs w:val="17"/>
                <w:b w:val="1"/>
                <w:bCs w:val="1"/>
                <w:color w:val="auto"/>
                <w:w w:val="88"/>
              </w:rPr>
              <w:t>Pasadena, California 91105</w:t>
            </w:r>
          </w:p>
        </w:tc>
      </w:tr>
      <w:tr>
        <w:trPr>
          <w:trHeight w:val="197"/>
        </w:trPr>
        <w:tc>
          <w:tcPr>
            <w:tcW w:w="1420" w:type="dxa"/>
            <w:vAlign w:val="bottom"/>
          </w:tcPr>
          <w:p>
            <w:pPr>
              <w:spacing w:after="0"/>
              <w:rPr>
                <w:sz w:val="17"/>
                <w:szCs w:val="17"/>
                <w:color w:val="auto"/>
              </w:rPr>
            </w:pPr>
          </w:p>
        </w:tc>
        <w:tc>
          <w:tcPr>
            <w:tcW w:w="3200" w:type="dxa"/>
            <w:vAlign w:val="bottom"/>
            <w:gridSpan w:val="2"/>
          </w:tcPr>
          <w:p>
            <w:pPr>
              <w:jc w:val="center"/>
              <w:ind w:left="837"/>
              <w:spacing w:after="0"/>
              <w:rPr>
                <w:sz w:val="20"/>
                <w:szCs w:val="20"/>
                <w:color w:val="auto"/>
              </w:rPr>
            </w:pPr>
            <w:r>
              <w:rPr>
                <w:rFonts w:ascii="Arial" w:cs="Arial" w:eastAsia="Arial" w:hAnsi="Arial"/>
                <w:sz w:val="17"/>
                <w:szCs w:val="17"/>
                <w:b w:val="1"/>
                <w:bCs w:val="1"/>
                <w:color w:val="auto"/>
                <w:w w:val="89"/>
              </w:rPr>
              <w:t>(626) 304-3400</w:t>
            </w:r>
          </w:p>
        </w:tc>
        <w:tc>
          <w:tcPr>
            <w:tcW w:w="2740" w:type="dxa"/>
            <w:vAlign w:val="bottom"/>
          </w:tcPr>
          <w:p>
            <w:pPr>
              <w:spacing w:after="0"/>
              <w:rPr>
                <w:sz w:val="17"/>
                <w:szCs w:val="17"/>
                <w:color w:val="auto"/>
              </w:rPr>
            </w:pPr>
          </w:p>
        </w:tc>
      </w:tr>
      <w:tr>
        <w:trPr>
          <w:trHeight w:val="173"/>
        </w:trPr>
        <w:tc>
          <w:tcPr>
            <w:tcW w:w="1420" w:type="dxa"/>
            <w:vAlign w:val="bottom"/>
          </w:tcPr>
          <w:p>
            <w:pPr>
              <w:spacing w:after="0"/>
              <w:rPr>
                <w:sz w:val="15"/>
                <w:szCs w:val="15"/>
                <w:color w:val="auto"/>
              </w:rPr>
            </w:pPr>
          </w:p>
        </w:tc>
        <w:tc>
          <w:tcPr>
            <w:tcW w:w="5940" w:type="dxa"/>
            <w:vAlign w:val="bottom"/>
            <w:gridSpan w:val="3"/>
          </w:tcPr>
          <w:p>
            <w:pPr>
              <w:jc w:val="center"/>
              <w:ind w:right="1753"/>
              <w:spacing w:after="0"/>
              <w:rPr>
                <w:sz w:val="20"/>
                <w:szCs w:val="20"/>
                <w:color w:val="auto"/>
              </w:rPr>
            </w:pPr>
            <w:r>
              <w:rPr>
                <w:rFonts w:ascii="Arial" w:cs="Arial" w:eastAsia="Arial" w:hAnsi="Arial"/>
                <w:sz w:val="13"/>
                <w:szCs w:val="13"/>
                <w:b w:val="1"/>
                <w:bCs w:val="1"/>
                <w:color w:val="auto"/>
                <w:w w:val="91"/>
              </w:rPr>
              <w:t>(Address and telephone number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117475</wp:posOffset>
            </wp:positionV>
            <wp:extent cx="1431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66" w:lineRule="exact"/>
        <w:rPr>
          <w:sz w:val="24"/>
          <w:szCs w:val="24"/>
          <w:color w:val="auto"/>
        </w:rPr>
      </w:pPr>
    </w:p>
    <w:p>
      <w:pPr>
        <w:ind w:right="6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1" w:lineRule="exact"/>
        <w:rPr>
          <w:sz w:val="24"/>
          <w:szCs w:val="24"/>
          <w:color w:val="auto"/>
        </w:rPr>
      </w:pPr>
    </w:p>
    <w:p>
      <w:pPr>
        <w:ind w:right="80"/>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4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6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rPr>
              <w:t>☒</w:t>
            </w:r>
          </w:p>
        </w:tc>
        <w:tc>
          <w:tcPr>
            <w:tcW w:w="3760" w:type="dxa"/>
            <w:vAlign w:val="bottom"/>
          </w:tcPr>
          <w:p>
            <w:pPr>
              <w:ind w:left="320"/>
              <w:spacing w:after="0"/>
              <w:rPr>
                <w:sz w:val="20"/>
                <w:szCs w:val="20"/>
                <w:color w:val="auto"/>
              </w:rPr>
            </w:pPr>
            <w:r>
              <w:rPr>
                <w:rFonts w:ascii="Arial" w:cs="Arial" w:eastAsia="Arial" w:hAnsi="Arial"/>
                <w:sz w:val="17"/>
                <w:szCs w:val="17"/>
                <w:color w:val="auto"/>
              </w:rPr>
              <w:t>Accelerated Filer</w:t>
            </w:r>
          </w:p>
        </w:tc>
        <w:tc>
          <w:tcPr>
            <w:tcW w:w="168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3"/>
        </w:trPr>
        <w:tc>
          <w:tcPr>
            <w:tcW w:w="3400" w:type="dxa"/>
            <w:vAlign w:val="bottom"/>
          </w:tcPr>
          <w:p>
            <w:pPr>
              <w:spacing w:after="0"/>
              <w:rPr>
                <w:sz w:val="20"/>
                <w:szCs w:val="20"/>
                <w:color w:val="auto"/>
              </w:rPr>
            </w:pPr>
            <w:r>
              <w:rPr>
                <w:rFonts w:ascii="Arial" w:cs="Arial" w:eastAsia="Arial" w:hAnsi="Arial"/>
                <w:sz w:val="17"/>
                <w:szCs w:val="17"/>
                <w:color w:val="auto"/>
              </w:rPr>
              <w:t>Non-Accelerated Filer</w:t>
            </w:r>
          </w:p>
        </w:tc>
        <w:tc>
          <w:tcPr>
            <w:tcW w:w="196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rPr>
              <w:t>☐</w:t>
            </w:r>
          </w:p>
        </w:tc>
        <w:tc>
          <w:tcPr>
            <w:tcW w:w="3760" w:type="dxa"/>
            <w:vAlign w:val="bottom"/>
          </w:tcPr>
          <w:p>
            <w:pPr>
              <w:ind w:left="320"/>
              <w:spacing w:after="0"/>
              <w:rPr>
                <w:sz w:val="20"/>
                <w:szCs w:val="20"/>
                <w:color w:val="auto"/>
              </w:rPr>
            </w:pPr>
            <w:r>
              <w:rPr>
                <w:rFonts w:ascii="Arial" w:cs="Arial" w:eastAsia="Arial" w:hAnsi="Arial"/>
                <w:sz w:val="17"/>
                <w:szCs w:val="17"/>
                <w:color w:val="auto"/>
              </w:rPr>
              <w:t>Smaller Reporting Company</w:t>
            </w:r>
          </w:p>
        </w:tc>
        <w:tc>
          <w:tcPr>
            <w:tcW w:w="168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34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6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rPr>
              <w:t>☐</w:t>
            </w:r>
          </w:p>
        </w:tc>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07" w:lineRule="exact"/>
        <w:rPr>
          <w:sz w:val="24"/>
          <w:szCs w:val="24"/>
          <w:color w:val="auto"/>
        </w:rPr>
      </w:pPr>
    </w:p>
    <w:p>
      <w:pPr>
        <w:ind w:right="26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72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1"/>
              </w:rPr>
              <w:t>Securities registered pursuant to Section 12(b) of the Act:</w:t>
            </w:r>
          </w:p>
        </w:tc>
        <w:tc>
          <w:tcPr>
            <w:tcW w:w="31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323"/>
        </w:trPr>
        <w:tc>
          <w:tcPr>
            <w:tcW w:w="4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3"/>
                <w:szCs w:val="13"/>
                <w:b w:val="1"/>
                <w:bCs w:val="1"/>
                <w:color w:val="auto"/>
                <w:w w:val="89"/>
              </w:rPr>
              <w:t>Title of each class</w:t>
            </w:r>
          </w:p>
        </w:tc>
        <w:tc>
          <w:tcPr>
            <w:tcW w:w="360" w:type="dxa"/>
            <w:vAlign w:val="bottom"/>
          </w:tcPr>
          <w:p>
            <w:pPr>
              <w:spacing w:after="0"/>
              <w:rPr>
                <w:sz w:val="24"/>
                <w:szCs w:val="24"/>
                <w:color w:val="auto"/>
              </w:rPr>
            </w:pPr>
          </w:p>
        </w:tc>
        <w:tc>
          <w:tcPr>
            <w:tcW w:w="336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92"/>
              </w:rPr>
              <w:t>Trading Symbol(s)</w:t>
            </w:r>
          </w:p>
        </w:tc>
        <w:tc>
          <w:tcPr>
            <w:tcW w:w="3120" w:type="dxa"/>
            <w:vAlign w:val="bottom"/>
          </w:tcPr>
          <w:p>
            <w:pPr>
              <w:jc w:val="center"/>
              <w:ind w:right="208"/>
              <w:spacing w:after="0"/>
              <w:rPr>
                <w:sz w:val="20"/>
                <w:szCs w:val="20"/>
                <w:color w:val="auto"/>
              </w:rPr>
            </w:pPr>
            <w:r>
              <w:rPr>
                <w:rFonts w:ascii="Arial" w:cs="Arial" w:eastAsia="Arial" w:hAnsi="Arial"/>
                <w:sz w:val="13"/>
                <w:szCs w:val="13"/>
                <w:b w:val="1"/>
                <w:bCs w:val="1"/>
                <w:color w:val="auto"/>
                <w:w w:val="90"/>
              </w:rPr>
              <w:t>Name of each exchange on which registered</w:t>
            </w:r>
          </w:p>
        </w:tc>
        <w:tc>
          <w:tcPr>
            <w:tcW w:w="460" w:type="dxa"/>
            <w:vAlign w:val="bottom"/>
          </w:tcPr>
          <w:p>
            <w:pPr>
              <w:spacing w:after="0"/>
              <w:rPr>
                <w:sz w:val="24"/>
                <w:szCs w:val="24"/>
                <w:color w:val="auto"/>
              </w:rPr>
            </w:pPr>
          </w:p>
        </w:tc>
      </w:tr>
      <w:tr>
        <w:trPr>
          <w:trHeight w:val="165"/>
        </w:trPr>
        <w:tc>
          <w:tcPr>
            <w:tcW w:w="460" w:type="dxa"/>
            <w:vAlign w:val="bottom"/>
          </w:tcPr>
          <w:p>
            <w:pPr>
              <w:spacing w:after="0"/>
              <w:rPr>
                <w:sz w:val="14"/>
                <w:szCs w:val="14"/>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Common Stock, Par Value $0.001 per share</w:t>
            </w:r>
          </w:p>
        </w:tc>
        <w:tc>
          <w:tcPr>
            <w:tcW w:w="360" w:type="dxa"/>
            <w:vAlign w:val="bottom"/>
          </w:tcPr>
          <w:p>
            <w:pPr>
              <w:spacing w:after="0"/>
              <w:rPr>
                <w:sz w:val="14"/>
                <w:szCs w:val="14"/>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ARWR</w:t>
            </w:r>
          </w:p>
        </w:tc>
        <w:tc>
          <w:tcPr>
            <w:tcW w:w="4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tcPr>
          <w:p>
            <w:pPr>
              <w:jc w:val="center"/>
              <w:ind w:right="188"/>
              <w:spacing w:after="0"/>
              <w:rPr>
                <w:sz w:val="20"/>
                <w:szCs w:val="20"/>
                <w:color w:val="auto"/>
              </w:rPr>
            </w:pPr>
            <w:r>
              <w:rPr>
                <w:rFonts w:ascii="Arial" w:cs="Arial" w:eastAsia="Arial" w:hAnsi="Arial"/>
                <w:sz w:val="13"/>
                <w:szCs w:val="13"/>
                <w:b w:val="1"/>
                <w:bCs w:val="1"/>
                <w:color w:val="auto"/>
                <w:w w:val="94"/>
              </w:rPr>
              <w:t>The Nasdaq Global Select Market</w:t>
            </w:r>
          </w:p>
        </w:tc>
        <w:tc>
          <w:tcPr>
            <w:tcW w:w="460" w:type="dxa"/>
            <w:vAlign w:val="bottom"/>
          </w:tcPr>
          <w:p>
            <w:pPr>
              <w:spacing w:after="0"/>
              <w:rPr>
                <w:sz w:val="14"/>
                <w:szCs w:val="14"/>
                <w:color w:val="auto"/>
              </w:rPr>
            </w:pPr>
          </w:p>
        </w:tc>
      </w:tr>
      <w:tr>
        <w:trPr>
          <w:trHeight w:val="421"/>
        </w:trPr>
        <w:tc>
          <w:tcPr>
            <w:tcW w:w="7660" w:type="dxa"/>
            <w:vAlign w:val="bottom"/>
            <w:gridSpan w:val="6"/>
          </w:tcPr>
          <w:p>
            <w:pPr>
              <w:spacing w:after="0"/>
              <w:rPr>
                <w:sz w:val="20"/>
                <w:szCs w:val="20"/>
                <w:color w:val="auto"/>
              </w:rPr>
            </w:pPr>
            <w:r>
              <w:rPr>
                <w:rFonts w:ascii="Arial" w:cs="Arial" w:eastAsia="Arial" w:hAnsi="Arial"/>
                <w:sz w:val="17"/>
                <w:szCs w:val="17"/>
                <w:color w:val="auto"/>
                <w:w w:val="89"/>
              </w:rPr>
              <w:t>Indicate by check mark whether the registrant is a shell company (as defined in Rule 12b-2 of the Exchange Act).</w:t>
            </w:r>
          </w:p>
        </w:tc>
        <w:tc>
          <w:tcPr>
            <w:tcW w:w="3120" w:type="dxa"/>
            <w:vAlign w:val="bottom"/>
          </w:tcPr>
          <w:p>
            <w:pPr>
              <w:ind w:left="8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tc>
        <w:tc>
          <w:tcPr>
            <w:tcW w:w="460" w:type="dxa"/>
            <w:vAlign w:val="bottom"/>
          </w:tcPr>
          <w:p>
            <w:pPr>
              <w:spacing w:after="0"/>
              <w:rPr>
                <w:sz w:val="24"/>
                <w:szCs w:val="24"/>
                <w:color w:val="auto"/>
              </w:rPr>
            </w:pPr>
          </w:p>
        </w:tc>
      </w:tr>
      <w:tr>
        <w:trPr>
          <w:trHeight w:val="283"/>
        </w:trPr>
        <w:tc>
          <w:tcPr>
            <w:tcW w:w="7660" w:type="dxa"/>
            <w:vAlign w:val="bottom"/>
            <w:gridSpan w:val="6"/>
          </w:tcPr>
          <w:p>
            <w:pPr>
              <w:spacing w:after="0"/>
              <w:rPr>
                <w:sz w:val="20"/>
                <w:szCs w:val="20"/>
                <w:color w:val="auto"/>
              </w:rPr>
            </w:pPr>
            <w:r>
              <w:rPr>
                <w:rFonts w:ascii="Arial" w:cs="Arial" w:eastAsia="Arial" w:hAnsi="Arial"/>
                <w:sz w:val="17"/>
                <w:szCs w:val="17"/>
                <w:color w:val="auto"/>
                <w:w w:val="96"/>
              </w:rPr>
              <w:t>The number of shares of the registrant’s common stock outstanding as of July 27, 2020 was 102,291,803.</w:t>
            </w:r>
          </w:p>
        </w:tc>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8"/>
        </w:trPr>
        <w:tc>
          <w:tcPr>
            <w:tcW w:w="46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08"/>
        </w:trPr>
        <w:tc>
          <w:tcPr>
            <w:tcW w:w="4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7134225</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825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10500" w:type="dxa"/>
            <w:vAlign w:val="bottom"/>
            <w:vMerge w:val="restart"/>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 FINANCIAL INFORMATION</w:t>
              </w:r>
            </w:hyperlink>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Page(s)</w:t>
            </w:r>
          </w:p>
        </w:tc>
        <w:tc>
          <w:tcPr>
            <w:tcW w:w="0" w:type="dxa"/>
            <w:vAlign w:val="bottom"/>
          </w:tcPr>
          <w:p>
            <w:pPr>
              <w:spacing w:after="0"/>
              <w:rPr>
                <w:sz w:val="1"/>
                <w:szCs w:val="1"/>
                <w:color w:val="auto"/>
              </w:rPr>
            </w:pPr>
          </w:p>
        </w:tc>
      </w:tr>
      <w:tr>
        <w:trPr>
          <w:trHeight w:val="164"/>
        </w:trPr>
        <w:tc>
          <w:tcPr>
            <w:tcW w:w="1050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10500" w:type="dxa"/>
            <w:vAlign w:val="bottom"/>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ITEM 1. FINANCIAL STATEMENTS (unaudited)</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01"/>
        </w:trPr>
        <w:tc>
          <w:tcPr>
            <w:tcW w:w="10500" w:type="dxa"/>
            <w:vAlign w:val="bottom"/>
          </w:tcPr>
          <w:p>
            <w:pPr>
              <w:ind w:left="400"/>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Consolidated Balance Sheets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01"/>
        </w:trPr>
        <w:tc>
          <w:tcPr>
            <w:tcW w:w="10500" w:type="dxa"/>
            <w:vAlign w:val="bottom"/>
          </w:tcPr>
          <w:p>
            <w:pPr>
              <w:ind w:left="4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Consolidated Statements of Operations and Comprehensive Income (Loss</w:t>
              </w:r>
            </w:hyperlink>
            <w:r>
              <w:rPr>
                <w:rFonts w:ascii="Arial" w:cs="Arial" w:eastAsia="Arial" w:hAnsi="Arial"/>
                <w:sz w:val="16"/>
                <w:szCs w:val="16"/>
                <w:u w:val="single" w:color="auto"/>
                <w:color w:val="000000"/>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01"/>
        </w:trPr>
        <w:tc>
          <w:tcPr>
            <w:tcW w:w="10500" w:type="dxa"/>
            <w:vAlign w:val="bottom"/>
          </w:tcPr>
          <w:p>
            <w:pPr>
              <w:ind w:left="400"/>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Consolidated Statement of Stockholders’ Equity</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01"/>
        </w:trPr>
        <w:tc>
          <w:tcPr>
            <w:tcW w:w="10500" w:type="dxa"/>
            <w:vAlign w:val="bottom"/>
          </w:tcPr>
          <w:p>
            <w:pPr>
              <w:ind w:left="40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Cash Flows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01"/>
        </w:trPr>
        <w:tc>
          <w:tcPr>
            <w:tcW w:w="10500" w:type="dxa"/>
            <w:vAlign w:val="bottom"/>
          </w:tcPr>
          <w:p>
            <w:pPr>
              <w:ind w:left="40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ITEM 2. 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ITEM 4. CONTROLS AND PROCEDURES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b w:val="1"/>
                <w:bCs w:val="1"/>
                <w:u w:val="single" w:color="auto"/>
                <w:color w:val="0000EE"/>
              </w:rPr>
            </w:pPr>
            <w:hyperlink w:anchor="page27">
              <w:r>
                <w:rPr>
                  <w:rFonts w:ascii="Arial" w:cs="Arial" w:eastAsia="Arial" w:hAnsi="Arial"/>
                  <w:sz w:val="16"/>
                  <w:szCs w:val="16"/>
                  <w:b w:val="1"/>
                  <w:bCs w:val="1"/>
                  <w:u w:val="single" w:color="auto"/>
                  <w:color w:val="0000EE"/>
                </w:rPr>
                <w:t>PART II — OTHER INFORMATION</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1. LEGAL PROCEEDINGS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ITEM 1A. RISK FACTORS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3. DEFAULTS UPON SENIOR SECURITIES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4. MINE SAFETY DISCLOSURES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ITEM 5. OTHER INFORMATION</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ITEM 6. EXHIBITS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01"/>
        </w:trPr>
        <w:tc>
          <w:tcPr>
            <w:tcW w:w="10500" w:type="dxa"/>
            <w:vAlign w:val="bottom"/>
          </w:tcPr>
          <w:p>
            <w:pPr>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923"/>
        </w:trPr>
        <w:tc>
          <w:tcPr>
            <w:tcW w:w="10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825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40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640" w:type="dxa"/>
            <w:vAlign w:val="bottom"/>
          </w:tcPr>
          <w:p>
            <w:pPr>
              <w:spacing w:after="0"/>
              <w:rPr>
                <w:sz w:val="18"/>
                <w:szCs w:val="18"/>
                <w:color w:val="auto"/>
              </w:rPr>
            </w:pPr>
          </w:p>
        </w:tc>
        <w:tc>
          <w:tcPr>
            <w:tcW w:w="7080" w:type="dxa"/>
            <w:vAlign w:val="bottom"/>
          </w:tcPr>
          <w:p>
            <w:pPr>
              <w:jc w:val="center"/>
              <w:ind w:left="2797"/>
              <w:spacing w:after="0"/>
              <w:rPr>
                <w:sz w:val="20"/>
                <w:szCs w:val="20"/>
                <w:color w:val="auto"/>
              </w:rPr>
            </w:pPr>
            <w:r>
              <w:rPr>
                <w:rFonts w:ascii="Arial" w:cs="Arial" w:eastAsia="Arial" w:hAnsi="Arial"/>
                <w:sz w:val="17"/>
                <w:szCs w:val="17"/>
                <w:b w:val="1"/>
                <w:bCs w:val="1"/>
                <w:color w:val="auto"/>
              </w:rPr>
              <w:t>PART I. FINANCIAL INFORMATION</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64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080" w:type="dxa"/>
            <w:vAlign w:val="bottom"/>
          </w:tcPr>
          <w:p>
            <w:pPr>
              <w:ind w:left="520"/>
              <w:spacing w:after="0"/>
              <w:rPr>
                <w:sz w:val="20"/>
                <w:szCs w:val="20"/>
                <w:color w:val="auto"/>
              </w:rPr>
            </w:pPr>
            <w:r>
              <w:rPr>
                <w:rFonts w:ascii="Arial" w:cs="Arial" w:eastAsia="Arial" w:hAnsi="Arial"/>
                <w:sz w:val="17"/>
                <w:szCs w:val="17"/>
                <w:b w:val="1"/>
                <w:bCs w:val="1"/>
                <w:color w:val="auto"/>
              </w:rPr>
              <w:t>FINANCIAL STATEMENTS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40" w:type="dxa"/>
            <w:vAlign w:val="bottom"/>
          </w:tcPr>
          <w:p>
            <w:pPr>
              <w:spacing w:after="0"/>
              <w:rPr>
                <w:sz w:val="24"/>
                <w:szCs w:val="24"/>
                <w:color w:val="auto"/>
              </w:rPr>
            </w:pPr>
          </w:p>
        </w:tc>
        <w:tc>
          <w:tcPr>
            <w:tcW w:w="7080" w:type="dxa"/>
            <w:vAlign w:val="bottom"/>
          </w:tcPr>
          <w:p>
            <w:pPr>
              <w:jc w:val="center"/>
              <w:ind w:left="2797"/>
              <w:spacing w:after="0"/>
              <w:rPr>
                <w:sz w:val="20"/>
                <w:szCs w:val="20"/>
                <w:color w:val="auto"/>
              </w:rPr>
            </w:pPr>
            <w:r>
              <w:rPr>
                <w:rFonts w:ascii="Arial" w:cs="Arial" w:eastAsia="Arial" w:hAnsi="Arial"/>
                <w:sz w:val="17"/>
                <w:szCs w:val="17"/>
                <w:b w:val="1"/>
                <w:bCs w:val="1"/>
                <w:color w:val="auto"/>
                <w:w w:val="89"/>
              </w:rPr>
              <w:t>Arrowhead Pharmaceuticals, Inc.</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7080" w:type="dxa"/>
            <w:vAlign w:val="bottom"/>
          </w:tcPr>
          <w:p>
            <w:pPr>
              <w:jc w:val="center"/>
              <w:ind w:left="2797"/>
              <w:spacing w:after="0"/>
              <w:rPr>
                <w:sz w:val="20"/>
                <w:szCs w:val="20"/>
                <w:color w:val="auto"/>
              </w:rPr>
            </w:pPr>
            <w:r>
              <w:rPr>
                <w:rFonts w:ascii="Arial" w:cs="Arial" w:eastAsia="Arial" w:hAnsi="Arial"/>
                <w:sz w:val="17"/>
                <w:szCs w:val="17"/>
                <w:b w:val="1"/>
                <w:bCs w:val="1"/>
                <w:color w:val="auto"/>
                <w:w w:val="85"/>
              </w:rPr>
              <w:t>Consolidated Balance Sheets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6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(unaudited)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7"/>
              </w:rPr>
              <w:t>September 30, 2019</w:t>
            </w: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June 30, 2020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40" w:type="dxa"/>
            <w:vAlign w:val="bottom"/>
            <w:tcBorders>
              <w:top w:val="single" w:sz="8" w:color="CFF0FC"/>
            </w:tcBorders>
            <w:shd w:val="clear" w:color="auto" w:fill="CFF0FC"/>
          </w:tcPr>
          <w:p>
            <w:pPr>
              <w:spacing w:after="0"/>
              <w:rPr>
                <w:sz w:val="17"/>
                <w:szCs w:val="17"/>
                <w:color w:val="auto"/>
              </w:rPr>
            </w:pPr>
          </w:p>
        </w:tc>
        <w:tc>
          <w:tcPr>
            <w:tcW w:w="7080" w:type="dxa"/>
            <w:vAlign w:val="bottom"/>
            <w:tcBorders>
              <w:top w:val="single" w:sz="8" w:color="CFF0FC"/>
            </w:tcBorders>
            <w:shd w:val="clear" w:color="auto" w:fill="CFF0FC"/>
          </w:tcPr>
          <w:p>
            <w:pPr>
              <w:ind w:left="290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1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219,322,617</w:t>
            </w:r>
          </w:p>
        </w:tc>
        <w:tc>
          <w:tcPr>
            <w:tcW w:w="2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221,804,128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Accounts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21,692,564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661,361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Prepaid expenses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4,096,473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3,317,999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Other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2,411,937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2,563,435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Short term investments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67,709,263</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36,899,894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315,232,854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265,246,817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30,389,707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23,214,899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12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15,788,258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17,063,580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Long term investments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177,529,881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44,175,993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120"/>
              <w:spacing w:after="0"/>
              <w:rPr>
                <w:sz w:val="20"/>
                <w:szCs w:val="20"/>
                <w:color w:val="auto"/>
              </w:rPr>
            </w:pPr>
            <w:r>
              <w:rPr>
                <w:rFonts w:ascii="Arial" w:cs="Arial" w:eastAsia="Arial" w:hAnsi="Arial"/>
                <w:sz w:val="17"/>
                <w:szCs w:val="17"/>
                <w:color w:val="auto"/>
              </w:rPr>
              <w:t>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16,522,013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265,359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144,148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40" w:type="dxa"/>
            <w:vAlign w:val="bottom"/>
            <w:tcBorders>
              <w:bottom w:val="single" w:sz="8" w:color="CFF0FC"/>
            </w:tcBorders>
          </w:tcPr>
          <w:p>
            <w:pPr>
              <w:spacing w:after="0"/>
              <w:rPr>
                <w:sz w:val="21"/>
                <w:szCs w:val="21"/>
                <w:color w:val="auto"/>
              </w:rPr>
            </w:pPr>
          </w:p>
        </w:tc>
        <w:tc>
          <w:tcPr>
            <w:tcW w:w="7080" w:type="dxa"/>
            <w:vAlign w:val="bottom"/>
            <w:tcBorders>
              <w:bottom w:val="single" w:sz="8" w:color="CFF0FC"/>
            </w:tcBorders>
          </w:tcPr>
          <w:p>
            <w:pPr>
              <w:ind w:left="280"/>
              <w:spacing w:after="0"/>
              <w:rPr>
                <w:sz w:val="20"/>
                <w:szCs w:val="20"/>
                <w:color w:val="auto"/>
              </w:rPr>
            </w:pPr>
            <w:r>
              <w:rPr>
                <w:rFonts w:ascii="Arial" w:cs="Arial" w:eastAsia="Arial" w:hAnsi="Arial"/>
                <w:sz w:val="17"/>
                <w:szCs w:val="17"/>
                <w:b w:val="1"/>
                <w:bCs w:val="1"/>
                <w:color w:val="auto"/>
              </w:rPr>
              <w:t>TOTAL ASSETS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555,728,072</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349,845,437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40" w:type="dxa"/>
            <w:vAlign w:val="bottom"/>
            <w:shd w:val="clear" w:color="auto" w:fill="CFF0FC"/>
          </w:tcPr>
          <w:p>
            <w:pPr>
              <w:spacing w:after="0"/>
              <w:rPr>
                <w:sz w:val="16"/>
                <w:szCs w:val="16"/>
                <w:color w:val="auto"/>
              </w:rPr>
            </w:pPr>
          </w:p>
        </w:tc>
        <w:tc>
          <w:tcPr>
            <w:tcW w:w="7080" w:type="dxa"/>
            <w:vAlign w:val="bottom"/>
            <w:shd w:val="clear" w:color="auto" w:fill="CFF0FC"/>
          </w:tcPr>
          <w:p>
            <w:pPr>
              <w:ind w:left="1400"/>
              <w:spacing w:after="0" w:line="190" w:lineRule="exact"/>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12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4,073,869</w:t>
            </w:r>
          </w:p>
        </w:tc>
        <w:tc>
          <w:tcPr>
            <w:tcW w:w="2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7,649,921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9,414,696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6,504,729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Accrued payroll and benefits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1,991,001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4,955,887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Lease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1,011,951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Deferred rent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173,952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26,274,362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77,769,629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Other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17,262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7080" w:type="dxa"/>
            <w:vAlign w:val="bottom"/>
          </w:tcPr>
          <w:p>
            <w:pPr>
              <w:ind w:left="40"/>
              <w:spacing w:after="0"/>
              <w:rPr>
                <w:sz w:val="20"/>
                <w:szCs w:val="20"/>
                <w:color w:val="auto"/>
              </w:rPr>
            </w:pPr>
            <w:r>
              <w:rPr>
                <w:rFonts w:ascii="Arial" w:cs="Arial" w:eastAsia="Arial" w:hAnsi="Arial"/>
                <w:sz w:val="17"/>
                <w:szCs w:val="17"/>
                <w:color w:val="auto"/>
              </w:rPr>
              <w:t>TOTAL CURRENT LIABILITIES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42,783,141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97,070,679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LONG-TERM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Lease liabilities, net of current portion</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20,359,726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Deferred rent, net of current portion</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3,703,364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gridSpan w:val="2"/>
          </w:tcPr>
          <w:p>
            <w:pPr>
              <w:ind w:left="460"/>
              <w:spacing w:after="0"/>
              <w:rPr>
                <w:sz w:val="20"/>
                <w:szCs w:val="20"/>
                <w:color w:val="auto"/>
              </w:rPr>
            </w:pPr>
            <w:r>
              <w:rPr>
                <w:rFonts w:ascii="Arial" w:cs="Arial" w:eastAsia="Arial" w:hAnsi="Arial"/>
                <w:sz w:val="17"/>
                <w:szCs w:val="17"/>
                <w:color w:val="auto"/>
              </w:rPr>
              <w:t>Deferred revenue, net of current portion</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5,035,142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0" w:type="dxa"/>
            <w:vAlign w:val="bottom"/>
            <w:shd w:val="clear" w:color="auto" w:fill="CFF0FC"/>
          </w:tcPr>
          <w:p>
            <w:pPr>
              <w:spacing w:after="0"/>
              <w:rPr>
                <w:sz w:val="17"/>
                <w:szCs w:val="17"/>
                <w:color w:val="auto"/>
              </w:rPr>
            </w:pPr>
          </w:p>
        </w:tc>
        <w:tc>
          <w:tcPr>
            <w:tcW w:w="7080" w:type="dxa"/>
            <w:vAlign w:val="bottom"/>
            <w:shd w:val="clear" w:color="auto" w:fill="CFF0FC"/>
          </w:tcPr>
          <w:p>
            <w:pPr>
              <w:ind w:left="40"/>
              <w:spacing w:after="0"/>
              <w:rPr>
                <w:sz w:val="20"/>
                <w:szCs w:val="20"/>
                <w:color w:val="auto"/>
              </w:rPr>
            </w:pPr>
            <w:r>
              <w:rPr>
                <w:rFonts w:ascii="Arial" w:cs="Arial" w:eastAsia="Arial" w:hAnsi="Arial"/>
                <w:sz w:val="17"/>
                <w:szCs w:val="17"/>
                <w:color w:val="auto"/>
              </w:rPr>
              <w:t>TOTAL LONG-TERM LIABILITIES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20,359,726</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8,738,506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120"/>
              <w:spacing w:after="0"/>
              <w:rPr>
                <w:sz w:val="20"/>
                <w:szCs w:val="20"/>
                <w:color w:val="auto"/>
              </w:rPr>
            </w:pPr>
            <w:r>
              <w:rPr>
                <w:rFonts w:ascii="Arial" w:cs="Arial" w:eastAsia="Arial" w:hAnsi="Arial"/>
                <w:sz w:val="17"/>
                <w:szCs w:val="17"/>
                <w:color w:val="auto"/>
              </w:rPr>
              <w:t>Commitments and contingencies (Note 7)</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220"/>
              <w:spacing w:after="0"/>
              <w:rPr>
                <w:sz w:val="20"/>
                <w:szCs w:val="20"/>
                <w:color w:val="auto"/>
              </w:rPr>
            </w:pPr>
            <w:r>
              <w:rPr>
                <w:rFonts w:ascii="Arial" w:cs="Arial" w:eastAsia="Arial" w:hAnsi="Arial"/>
                <w:sz w:val="17"/>
                <w:szCs w:val="17"/>
                <w:color w:val="auto"/>
              </w:rPr>
              <w:t>Arrowhead Pharmaceuticals, Inc. 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w w:val="93"/>
              </w:rPr>
              <w:t>Common stock, $0.001 par value; 145,000,000 shares authorized; 102,250,872 and 95,506,271 shares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issued and outstanding as of June 30, 2020 and September 30, 2019, respectively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194,620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187,876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948,532,470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664,086,155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(175,219)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(391,624)</w:t>
            </w:r>
          </w:p>
        </w:tc>
        <w:tc>
          <w:tcPr>
            <w:tcW w:w="0" w:type="dxa"/>
            <w:vAlign w:val="bottom"/>
          </w:tcPr>
          <w:p>
            <w:pPr>
              <w:spacing w:after="0"/>
              <w:rPr>
                <w:sz w:val="1"/>
                <w:szCs w:val="1"/>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(455,411,478)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(419,290,967)</w:t>
            </w:r>
          </w:p>
        </w:tc>
        <w:tc>
          <w:tcPr>
            <w:tcW w:w="0" w:type="dxa"/>
            <w:vAlign w:val="bottom"/>
          </w:tcPr>
          <w:p>
            <w:pPr>
              <w:spacing w:after="0"/>
              <w:rPr>
                <w:sz w:val="1"/>
                <w:szCs w:val="1"/>
                <w:color w:val="auto"/>
              </w:rPr>
            </w:pPr>
          </w:p>
        </w:tc>
      </w:tr>
      <w:tr>
        <w:trPr>
          <w:trHeight w:val="206"/>
        </w:trPr>
        <w:tc>
          <w:tcPr>
            <w:tcW w:w="7720" w:type="dxa"/>
            <w:vAlign w:val="bottom"/>
            <w:tcBorders>
              <w:top w:val="single" w:sz="8" w:color="CFF0FC"/>
            </w:tcBorders>
            <w:gridSpan w:val="2"/>
            <w:shd w:val="clear" w:color="auto" w:fill="CFF0FC"/>
          </w:tcPr>
          <w:p>
            <w:pPr>
              <w:ind w:left="580"/>
              <w:spacing w:after="0"/>
              <w:rPr>
                <w:sz w:val="20"/>
                <w:szCs w:val="20"/>
                <w:color w:val="auto"/>
              </w:rPr>
            </w:pPr>
            <w:r>
              <w:rPr>
                <w:rFonts w:ascii="Arial" w:cs="Arial" w:eastAsia="Arial" w:hAnsi="Arial"/>
                <w:sz w:val="17"/>
                <w:szCs w:val="17"/>
                <w:color w:val="auto"/>
              </w:rPr>
              <w:t>Total Arrowhead Pharmaceuticals, Inc. stockholders' equity</w:t>
            </w: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493,140,393</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244,591,440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gridSpan w:val="2"/>
          </w:tcPr>
          <w:p>
            <w:pPr>
              <w:ind w:left="220"/>
              <w:spacing w:after="0"/>
              <w:rPr>
                <w:sz w:val="20"/>
                <w:szCs w:val="20"/>
                <w:color w:val="auto"/>
              </w:rPr>
            </w:pPr>
            <w:r>
              <w:rPr>
                <w:rFonts w:ascii="Arial" w:cs="Arial" w:eastAsia="Arial" w:hAnsi="Arial"/>
                <w:sz w:val="17"/>
                <w:szCs w:val="17"/>
                <w:color w:val="auto"/>
              </w:rPr>
              <w:t>Noncontrolling interest</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7"/>
                <w:szCs w:val="17"/>
                <w:color w:val="auto"/>
              </w:rPr>
              <w:t>(555,188)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7"/>
                <w:szCs w:val="17"/>
                <w:color w:val="auto"/>
              </w:rPr>
              <w:t>(555,188)</w:t>
            </w:r>
          </w:p>
        </w:tc>
        <w:tc>
          <w:tcPr>
            <w:tcW w:w="0" w:type="dxa"/>
            <w:vAlign w:val="bottom"/>
          </w:tcPr>
          <w:p>
            <w:pPr>
              <w:spacing w:after="0"/>
              <w:rPr>
                <w:sz w:val="1"/>
                <w:szCs w:val="1"/>
                <w:color w:val="auto"/>
              </w:rPr>
            </w:pPr>
          </w:p>
        </w:tc>
      </w:tr>
      <w:tr>
        <w:trPr>
          <w:trHeight w:val="206"/>
        </w:trPr>
        <w:tc>
          <w:tcPr>
            <w:tcW w:w="640" w:type="dxa"/>
            <w:vAlign w:val="bottom"/>
            <w:tcBorders>
              <w:top w:val="single" w:sz="8" w:color="CFF0FC"/>
            </w:tcBorders>
            <w:shd w:val="clear" w:color="auto" w:fill="CFF0FC"/>
          </w:tcPr>
          <w:p>
            <w:pPr>
              <w:spacing w:after="0"/>
              <w:rPr>
                <w:sz w:val="17"/>
                <w:szCs w:val="17"/>
                <w:color w:val="auto"/>
              </w:rPr>
            </w:pPr>
          </w:p>
        </w:tc>
        <w:tc>
          <w:tcPr>
            <w:tcW w:w="70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492,585,205</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244,036,252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7080" w:type="dxa"/>
            <w:vAlign w:val="bottom"/>
          </w:tcPr>
          <w:p>
            <w:pPr>
              <w:ind w:left="280"/>
              <w:spacing w:after="0"/>
              <w:rPr>
                <w:sz w:val="20"/>
                <w:szCs w:val="20"/>
                <w:color w:val="auto"/>
              </w:rPr>
            </w:pPr>
            <w:r>
              <w:rPr>
                <w:rFonts w:ascii="Arial" w:cs="Arial" w:eastAsia="Arial" w:hAnsi="Arial"/>
                <w:sz w:val="17"/>
                <w:szCs w:val="17"/>
                <w:b w:val="1"/>
                <w:bCs w:val="1"/>
                <w:color w:val="auto"/>
              </w:rPr>
              <w:t>TOTAL LIABILITIES AND STOCKHOLDERS’ EQUITY</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555,728,072</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349,845,437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Arrowhead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58"/>
        </w:trPr>
        <w:tc>
          <w:tcPr>
            <w:tcW w:w="492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REVENUE</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27,375,778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42,696,636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80,359,211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125,502,807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120"/>
              <w:spacing w:after="0"/>
              <w:rPr>
                <w:sz w:val="20"/>
                <w:szCs w:val="20"/>
                <w:color w:val="auto"/>
              </w:rPr>
            </w:pPr>
            <w:r>
              <w:rPr>
                <w:rFonts w:ascii="Arial" w:cs="Arial" w:eastAsia="Arial" w:hAnsi="Arial"/>
                <w:sz w:val="17"/>
                <w:szCs w:val="17"/>
                <w:b w:val="1"/>
                <w:bCs w:val="1"/>
                <w:color w:val="auto"/>
              </w:rPr>
              <w:t>OPERATING EXPENSES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Research and development</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32,573,134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19,291,710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85,390,086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57,662,381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General and administrative expenses</w:t>
            </w:r>
          </w:p>
        </w:tc>
        <w:tc>
          <w:tcPr>
            <w:tcW w:w="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10,748,506</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4,809,177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38,008,836</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16,287,841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20" w:type="dxa"/>
            <w:vAlign w:val="bottom"/>
            <w:shd w:val="clear" w:color="auto" w:fill="CFF0FC"/>
          </w:tcPr>
          <w:p>
            <w:pPr>
              <w:ind w:left="580"/>
              <w:spacing w:after="0"/>
              <w:rPr>
                <w:sz w:val="20"/>
                <w:szCs w:val="20"/>
                <w:color w:val="auto"/>
              </w:rPr>
            </w:pPr>
            <w:r>
              <w:rPr>
                <w:rFonts w:ascii="Arial" w:cs="Arial" w:eastAsia="Arial" w:hAnsi="Arial"/>
                <w:sz w:val="17"/>
                <w:szCs w:val="17"/>
                <w:color w:val="auto"/>
              </w:rPr>
              <w:t>TOTAL OPERATING EXPENSES</w:t>
            </w:r>
          </w:p>
        </w:tc>
        <w:tc>
          <w:tcPr>
            <w:tcW w:w="4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43,321,640</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24,100,887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123,398,922</w:t>
            </w:r>
          </w:p>
        </w:tc>
        <w:tc>
          <w:tcPr>
            <w:tcW w:w="2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73,950,222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120"/>
              <w:spacing w:after="0"/>
              <w:rPr>
                <w:sz w:val="20"/>
                <w:szCs w:val="20"/>
                <w:color w:val="auto"/>
              </w:rPr>
            </w:pPr>
            <w:r>
              <w:rPr>
                <w:rFonts w:ascii="Arial" w:cs="Arial" w:eastAsia="Arial" w:hAnsi="Arial"/>
                <w:sz w:val="17"/>
                <w:szCs w:val="17"/>
                <w:color w:val="auto"/>
              </w:rPr>
              <w:t>OPERATING INCOME (LOSS)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(15,945,862)</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18,595,749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(43,039,711)</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51,552,585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120"/>
              <w:spacing w:after="0"/>
              <w:rPr>
                <w:sz w:val="20"/>
                <w:szCs w:val="20"/>
                <w:color w:val="auto"/>
              </w:rPr>
            </w:pPr>
            <w:r>
              <w:rPr>
                <w:rFonts w:ascii="Arial" w:cs="Arial" w:eastAsia="Arial" w:hAnsi="Arial"/>
                <w:sz w:val="17"/>
                <w:szCs w:val="17"/>
                <w:b w:val="1"/>
                <w:bCs w:val="1"/>
                <w:color w:val="auto"/>
              </w:rPr>
              <w:t>OTHER INCOME (EXPENSE)</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Interest income (expense), net</w:t>
            </w:r>
          </w:p>
        </w:tc>
        <w:tc>
          <w:tcPr>
            <w:tcW w:w="4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2,334,649</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1,739,959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6,919,200</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4,717,359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20" w:type="dxa"/>
            <w:vAlign w:val="bottom"/>
            <w:shd w:val="clear" w:color="auto" w:fill="CFF0FC"/>
          </w:tcPr>
          <w:p>
            <w:pPr>
              <w:ind w:left="580"/>
              <w:spacing w:after="0"/>
              <w:rPr>
                <w:sz w:val="20"/>
                <w:szCs w:val="20"/>
                <w:color w:val="auto"/>
              </w:rPr>
            </w:pPr>
            <w:r>
              <w:rPr>
                <w:rFonts w:ascii="Arial" w:cs="Arial" w:eastAsia="Arial" w:hAnsi="Arial"/>
                <w:sz w:val="17"/>
                <w:szCs w:val="17"/>
                <w:color w:val="auto"/>
              </w:rPr>
              <w:t>TOTAL OTHER INCOME (EXPENSE)</w:t>
            </w:r>
          </w:p>
        </w:tc>
        <w:tc>
          <w:tcPr>
            <w:tcW w:w="46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2,334,649</w:t>
            </w:r>
          </w:p>
        </w:tc>
        <w:tc>
          <w:tcPr>
            <w:tcW w:w="2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1,739,959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6,919,200</w:t>
            </w:r>
          </w:p>
        </w:tc>
        <w:tc>
          <w:tcPr>
            <w:tcW w:w="2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4,717,359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120"/>
              <w:spacing w:after="0"/>
              <w:rPr>
                <w:sz w:val="20"/>
                <w:szCs w:val="20"/>
                <w:color w:val="auto"/>
              </w:rPr>
            </w:pPr>
            <w:r>
              <w:rPr>
                <w:rFonts w:ascii="Arial" w:cs="Arial" w:eastAsia="Arial" w:hAnsi="Arial"/>
                <w:sz w:val="17"/>
                <w:szCs w:val="17"/>
                <w:color w:val="auto"/>
              </w:rPr>
              <w:t>INCOME (LOSS) BEFORE INCOME TAXES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(13,611,213)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20,335,708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(36,120,511)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56,269,944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460"/>
              <w:spacing w:after="0"/>
              <w:rPr>
                <w:sz w:val="20"/>
                <w:szCs w:val="20"/>
                <w:color w:val="auto"/>
              </w:rPr>
            </w:pPr>
            <w:r>
              <w:rPr>
                <w:rFonts w:ascii="Arial" w:cs="Arial" w:eastAsia="Arial" w:hAnsi="Arial"/>
                <w:sz w:val="17"/>
                <w:szCs w:val="17"/>
                <w:color w:val="auto"/>
              </w:rPr>
              <w:t>Provision for income taxes</w:t>
            </w:r>
          </w:p>
        </w:tc>
        <w:tc>
          <w:tcPr>
            <w:tcW w:w="4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120"/>
              <w:spacing w:after="0"/>
              <w:rPr>
                <w:sz w:val="20"/>
                <w:szCs w:val="20"/>
                <w:color w:val="auto"/>
              </w:rPr>
            </w:pPr>
            <w:r>
              <w:rPr>
                <w:rFonts w:ascii="Arial" w:cs="Arial" w:eastAsia="Arial" w:hAnsi="Arial"/>
                <w:sz w:val="17"/>
                <w:szCs w:val="17"/>
                <w:color w:val="auto"/>
              </w:rPr>
              <w:t>NET INCOME (LOSS)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(13,611,213)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20,335,708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(36,120,511)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56,269,944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NET INCOME (LOSS) PER SHARE - BASIC</w:t>
            </w:r>
          </w:p>
        </w:tc>
        <w:tc>
          <w:tcPr>
            <w:tcW w:w="700" w:type="dxa"/>
            <w:vAlign w:val="bottom"/>
            <w:gridSpan w:val="2"/>
            <w:shd w:val="clear" w:color="auto" w:fill="CFF0FC"/>
          </w:tcPr>
          <w:p>
            <w:pPr>
              <w:jc w:val="right"/>
              <w:ind w:right="87"/>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(0.13)</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(0.36)</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ind w:left="120"/>
              <w:spacing w:after="0"/>
              <w:rPr>
                <w:sz w:val="20"/>
                <w:szCs w:val="20"/>
                <w:color w:val="auto"/>
              </w:rPr>
            </w:pPr>
            <w:r>
              <w:rPr>
                <w:rFonts w:ascii="Arial" w:cs="Arial" w:eastAsia="Arial" w:hAnsi="Arial"/>
                <w:sz w:val="17"/>
                <w:szCs w:val="17"/>
                <w:color w:val="auto"/>
              </w:rPr>
              <w:t>NET INCOME (LOSS) PER SHARE - DILUTED</w:t>
            </w:r>
          </w:p>
        </w:tc>
        <w:tc>
          <w:tcPr>
            <w:tcW w:w="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700" w:type="dxa"/>
            <w:vAlign w:val="bottom"/>
            <w:gridSpan w:val="2"/>
          </w:tcPr>
          <w:p>
            <w:pPr>
              <w:jc w:val="right"/>
              <w:ind w:right="87"/>
              <w:spacing w:after="0" w:line="190"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(0.13)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0" w:lineRule="exact"/>
              <w:rPr>
                <w:sz w:val="20"/>
                <w:szCs w:val="20"/>
                <w:color w:val="auto"/>
              </w:rPr>
            </w:pPr>
            <w:r>
              <w:rPr>
                <w:rFonts w:ascii="Arial" w:cs="Arial" w:eastAsia="Arial" w:hAnsi="Arial"/>
                <w:sz w:val="17"/>
                <w:szCs w:val="17"/>
                <w:color w:val="auto"/>
              </w:rPr>
              <w:t>0.21</w:t>
            </w:r>
          </w:p>
        </w:tc>
        <w:tc>
          <w:tcPr>
            <w:tcW w:w="140" w:type="dxa"/>
            <w:vAlign w:val="bottom"/>
          </w:tcPr>
          <w:p>
            <w:pPr>
              <w:spacing w:after="0"/>
              <w:rPr>
                <w:sz w:val="20"/>
                <w:szCs w:val="20"/>
                <w:color w:val="auto"/>
              </w:rPr>
            </w:pPr>
          </w:p>
        </w:tc>
        <w:tc>
          <w:tcPr>
            <w:tcW w:w="340" w:type="dxa"/>
            <w:vAlign w:val="bottom"/>
            <w:gridSpan w:val="2"/>
          </w:tcPr>
          <w:p>
            <w:pPr>
              <w:jc w:val="right"/>
              <w:ind w:right="87"/>
              <w:spacing w:after="0" w:line="190"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line="190" w:lineRule="exact"/>
              <w:rPr>
                <w:sz w:val="20"/>
                <w:szCs w:val="20"/>
                <w:color w:val="auto"/>
              </w:rPr>
            </w:pPr>
            <w:r>
              <w:rPr>
                <w:rFonts w:ascii="Arial" w:cs="Arial" w:eastAsia="Arial" w:hAnsi="Arial"/>
                <w:sz w:val="17"/>
                <w:szCs w:val="17"/>
                <w:color w:val="auto"/>
              </w:rPr>
              <w:t>(0.36)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90" w:lineRule="exact"/>
              <w:rPr>
                <w:sz w:val="20"/>
                <w:szCs w:val="20"/>
                <w:color w:val="auto"/>
              </w:rPr>
            </w:pPr>
            <w:r>
              <w:rPr>
                <w:rFonts w:ascii="Arial" w:cs="Arial" w:eastAsia="Arial" w:hAnsi="Arial"/>
                <w:sz w:val="17"/>
                <w:szCs w:val="17"/>
                <w:color w:val="auto"/>
              </w:rPr>
              <w:t>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20" w:type="dxa"/>
            <w:vAlign w:val="bottom"/>
            <w:tcBorders>
              <w:top w:val="single" w:sz="8" w:color="CFF0FC"/>
              <w:bottom w:val="single" w:sz="8" w:color="CFF0FC"/>
            </w:tcBorders>
            <w:shd w:val="clear" w:color="auto" w:fill="CFF0FC"/>
          </w:tcPr>
          <w:p>
            <w:pPr>
              <w:ind w:left="120"/>
              <w:spacing w:after="0" w:line="190" w:lineRule="exact"/>
              <w:rPr>
                <w:sz w:val="20"/>
                <w:szCs w:val="20"/>
                <w:color w:val="auto"/>
              </w:rPr>
            </w:pPr>
            <w:r>
              <w:rPr>
                <w:rFonts w:ascii="Arial" w:cs="Arial" w:eastAsia="Arial" w:hAnsi="Arial"/>
                <w:sz w:val="17"/>
                <w:szCs w:val="17"/>
                <w:color w:val="auto"/>
              </w:rPr>
              <w:t>Weighted average shares outstanding - basic</w:t>
            </w:r>
          </w:p>
        </w:tc>
        <w:tc>
          <w:tcPr>
            <w:tcW w:w="46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7"/>
                <w:szCs w:val="17"/>
                <w:color w:val="auto"/>
              </w:rPr>
              <w:t>101,843,436</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7"/>
                <w:szCs w:val="17"/>
                <w:color w:val="auto"/>
              </w:rPr>
              <w:t>94,935,471</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7"/>
                <w:szCs w:val="17"/>
                <w:color w:val="auto"/>
              </w:rPr>
              <w:t>100,184,216</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spacing w:after="0"/>
              <w:rPr>
                <w:sz w:val="16"/>
                <w:szCs w:val="16"/>
                <w:color w:val="auto"/>
              </w:rPr>
            </w:pPr>
          </w:p>
        </w:tc>
        <w:tc>
          <w:tcPr>
            <w:tcW w:w="1020" w:type="dxa"/>
            <w:vAlign w:val="bottom"/>
            <w:tcBorders>
              <w:top w:val="single" w:sz="8" w:color="auto"/>
              <w:bottom w:val="single" w:sz="8" w:color="auto"/>
            </w:tcBorders>
            <w:shd w:val="clear" w:color="auto" w:fill="CFF0FC"/>
          </w:tcPr>
          <w:p>
            <w:pPr>
              <w:jc w:val="right"/>
              <w:spacing w:after="0" w:line="190" w:lineRule="exact"/>
              <w:rPr>
                <w:sz w:val="20"/>
                <w:szCs w:val="20"/>
                <w:color w:val="auto"/>
              </w:rPr>
            </w:pPr>
            <w:r>
              <w:rPr>
                <w:rFonts w:ascii="Arial" w:cs="Arial" w:eastAsia="Arial" w:hAnsi="Arial"/>
                <w:sz w:val="17"/>
                <w:szCs w:val="17"/>
                <w:color w:val="auto"/>
              </w:rPr>
              <w:t>93,364,102</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Arial" w:cs="Arial" w:eastAsia="Arial" w:hAnsi="Arial"/>
                <w:sz w:val="17"/>
                <w:szCs w:val="17"/>
                <w:color w:val="auto"/>
              </w:rPr>
              <w:t>Weighted average shares outstanding - diluted</w:t>
            </w: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FF0FC"/>
            </w:tcBorders>
            <w:vMerge w:val="continue"/>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101,843,436</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98,884,744</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100,184,216</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97,814,019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20" w:type="dxa"/>
            <w:vAlign w:val="bottom"/>
            <w:shd w:val="clear" w:color="auto" w:fill="CFF0FC"/>
          </w:tcPr>
          <w:p>
            <w:pPr>
              <w:ind w:left="120"/>
              <w:spacing w:after="0" w:line="190" w:lineRule="exact"/>
              <w:rPr>
                <w:sz w:val="20"/>
                <w:szCs w:val="20"/>
                <w:color w:val="auto"/>
              </w:rPr>
            </w:pPr>
            <w:r>
              <w:rPr>
                <w:rFonts w:ascii="Arial" w:cs="Arial" w:eastAsia="Arial" w:hAnsi="Arial"/>
                <w:sz w:val="17"/>
                <w:szCs w:val="17"/>
                <w:color w:val="auto"/>
              </w:rPr>
              <w:t>OTHER COMPREHENSIVE INCOME (LOSS), NET OF TAX:</w:t>
            </w: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ind w:left="46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453,895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(31,172)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216,405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(81,514)</w:t>
            </w:r>
          </w:p>
        </w:tc>
        <w:tc>
          <w:tcPr>
            <w:tcW w:w="0" w:type="dxa"/>
            <w:vAlign w:val="bottom"/>
          </w:tcPr>
          <w:p>
            <w:pPr>
              <w:spacing w:after="0"/>
              <w:rPr>
                <w:sz w:val="1"/>
                <w:szCs w:val="1"/>
                <w:color w:val="auto"/>
              </w:rPr>
            </w:pPr>
          </w:p>
        </w:tc>
      </w:tr>
      <w:tr>
        <w:trPr>
          <w:trHeight w:val="206"/>
        </w:trPr>
        <w:tc>
          <w:tcPr>
            <w:tcW w:w="49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COMPREHENSIVE INCOME (LOSS)</w:t>
            </w: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(13,157,318)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20,304,536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(35,904,106)</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56,188,430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Arrowhead Pharmaceuticals, Inc.</w:t>
      </w:r>
    </w:p>
    <w:p>
      <w:pPr>
        <w:jc w:val="center"/>
        <w:spacing w:after="0" w:line="217" w:lineRule="auto"/>
        <w:rPr>
          <w:sz w:val="20"/>
          <w:szCs w:val="20"/>
          <w:color w:val="auto"/>
        </w:rPr>
      </w:pPr>
      <w:r>
        <w:rPr>
          <w:rFonts w:ascii="Arial" w:cs="Arial" w:eastAsia="Arial" w:hAnsi="Arial"/>
          <w:sz w:val="12"/>
          <w:szCs w:val="12"/>
          <w:b w:val="1"/>
          <w:bCs w:val="1"/>
          <w:color w:val="auto"/>
        </w:rPr>
        <w:t>Consolidated Statement of Stockholders’ Equity</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960" w:type="dxa"/>
            <w:vAlign w:val="bottom"/>
            <w:gridSpan w:val="3"/>
          </w:tcPr>
          <w:p>
            <w:pPr>
              <w:jc w:val="center"/>
              <w:ind w:right="120"/>
              <w:spacing w:after="0" w:line="125" w:lineRule="exact"/>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040" w:type="dxa"/>
            <w:vAlign w:val="bottom"/>
            <w:gridSpan w:val="3"/>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Non-controlling</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4"/>
        </w:trPr>
        <w:tc>
          <w:tcPr>
            <w:tcW w:w="400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1"/>
              </w:rPr>
              <w:t>Common Stock</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 ($)</w:t>
            </w:r>
          </w:p>
        </w:tc>
        <w:tc>
          <w:tcPr>
            <w:tcW w:w="22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Paid-In 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0"/>
              </w:rPr>
              <w:t>Interest</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Totals</w:t>
            </w:r>
          </w:p>
        </w:tc>
        <w:tc>
          <w:tcPr>
            <w:tcW w:w="100" w:type="dxa"/>
            <w:vAlign w:val="bottom"/>
            <w:tcBorders>
              <w:bottom w:val="single" w:sz="8" w:color="CFF0FC"/>
            </w:tcBorders>
          </w:tcPr>
          <w:p>
            <w:pPr>
              <w:spacing w:after="0"/>
              <w:rPr>
                <w:sz w:val="11"/>
                <w:szCs w:val="11"/>
                <w:color w:val="auto"/>
              </w:rPr>
            </w:pPr>
          </w:p>
        </w:tc>
      </w:tr>
      <w:tr>
        <w:trPr>
          <w:trHeight w:val="130"/>
        </w:trPr>
        <w:tc>
          <w:tcPr>
            <w:tcW w:w="4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March 31, 2019</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94,665,718</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187,035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652,411,876</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(71,906)</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(451,331,580)</w:t>
            </w:r>
          </w:p>
        </w:tc>
        <w:tc>
          <w:tcPr>
            <w:tcW w:w="2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200,640,237</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1,957,993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1,957,993</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541,919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2,766,732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2,767,274</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Foreign currency translation adjustments</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(31,172)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(31,172)</w:t>
            </w: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Net income (loss) for the three months ended June 30, 2019</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20,335,708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20,335,708</w:t>
            </w:r>
          </w:p>
        </w:tc>
        <w:tc>
          <w:tcPr>
            <w:tcW w:w="100" w:type="dxa"/>
            <w:vAlign w:val="bottom"/>
            <w:shd w:val="clear" w:color="auto" w:fill="CFF0FC"/>
          </w:tcPr>
          <w:p>
            <w:pPr>
              <w:spacing w:after="0"/>
              <w:rPr>
                <w:sz w:val="11"/>
                <w:szCs w:val="11"/>
                <w:color w:val="auto"/>
              </w:rPr>
            </w:pPr>
          </w:p>
        </w:tc>
      </w:tr>
      <w:tr>
        <w:trPr>
          <w:trHeight w:val="130"/>
        </w:trPr>
        <w:tc>
          <w:tcPr>
            <w:tcW w:w="400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95,207,637</w:t>
            </w:r>
          </w:p>
        </w:tc>
        <w:tc>
          <w:tcPr>
            <w:tcW w:w="220" w:type="dxa"/>
            <w:vAlign w:val="bottom"/>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187,577</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657,136,601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(103,078)</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(430,995,872)</w:t>
            </w:r>
          </w:p>
        </w:tc>
        <w:tc>
          <w:tcPr>
            <w:tcW w:w="24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225,670,040</w:t>
            </w:r>
          </w:p>
        </w:tc>
        <w:tc>
          <w:tcPr>
            <w:tcW w:w="100" w:type="dxa"/>
            <w:vAlign w:val="bottom"/>
          </w:tcPr>
          <w:p>
            <w:pPr>
              <w:spacing w:after="0"/>
              <w:rPr>
                <w:sz w:val="11"/>
                <w:szCs w:val="1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960" w:type="dxa"/>
            <w:vAlign w:val="bottom"/>
            <w:gridSpan w:val="3"/>
          </w:tcPr>
          <w:p>
            <w:pPr>
              <w:jc w:val="center"/>
              <w:ind w:right="120"/>
              <w:spacing w:after="0" w:line="125" w:lineRule="exact"/>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040" w:type="dxa"/>
            <w:vAlign w:val="bottom"/>
            <w:gridSpan w:val="3"/>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Non-controlling</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4"/>
        </w:trPr>
        <w:tc>
          <w:tcPr>
            <w:tcW w:w="400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1"/>
              </w:rPr>
              <w:t>Common Stock</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 ($)</w:t>
            </w:r>
          </w:p>
        </w:tc>
        <w:tc>
          <w:tcPr>
            <w:tcW w:w="22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Paid-In 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0"/>
              </w:rPr>
              <w:t>Interest</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Totals</w:t>
            </w:r>
          </w:p>
        </w:tc>
        <w:tc>
          <w:tcPr>
            <w:tcW w:w="100" w:type="dxa"/>
            <w:vAlign w:val="bottom"/>
            <w:tcBorders>
              <w:bottom w:val="single" w:sz="8" w:color="CFF0FC"/>
            </w:tcBorders>
          </w:tcPr>
          <w:p>
            <w:pPr>
              <w:spacing w:after="0"/>
              <w:rPr>
                <w:sz w:val="11"/>
                <w:szCs w:val="11"/>
                <w:color w:val="auto"/>
              </w:rPr>
            </w:pPr>
          </w:p>
        </w:tc>
      </w:tr>
      <w:tr>
        <w:trPr>
          <w:trHeight w:val="130"/>
        </w:trPr>
        <w:tc>
          <w:tcPr>
            <w:tcW w:w="4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March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101,748,107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194,117</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936,353,920</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(629,114)</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(441,800,265)</w:t>
            </w:r>
          </w:p>
        </w:tc>
        <w:tc>
          <w:tcPr>
            <w:tcW w:w="2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493,563,470</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10,046,208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10,046,208</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302,765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2,132,542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2,132,845</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Common stock - restricted stock units vesting</w:t>
            </w:r>
          </w:p>
        </w:tc>
        <w:tc>
          <w:tcPr>
            <w:tcW w:w="820" w:type="dxa"/>
            <w:vAlign w:val="bottom"/>
          </w:tcPr>
          <w:p>
            <w:pPr>
              <w:jc w:val="right"/>
              <w:spacing w:after="0"/>
              <w:rPr>
                <w:sz w:val="20"/>
                <w:szCs w:val="20"/>
                <w:color w:val="auto"/>
              </w:rPr>
            </w:pPr>
            <w:r>
              <w:rPr>
                <w:rFonts w:ascii="Arial" w:cs="Arial" w:eastAsia="Arial" w:hAnsi="Arial"/>
                <w:sz w:val="11"/>
                <w:szCs w:val="11"/>
                <w:color w:val="auto"/>
              </w:rPr>
              <w:t>200,000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Foreign currency translation adjustments</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453,895</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453,895</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Net income (loss) for the three months ended June 30, 2020</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(13,611,213)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(13,611,213)</w:t>
            </w:r>
          </w:p>
        </w:tc>
      </w:tr>
      <w:tr>
        <w:trPr>
          <w:trHeight w:val="20"/>
        </w:trPr>
        <w:tc>
          <w:tcPr>
            <w:tcW w:w="4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30"/>
        </w:trPr>
        <w:tc>
          <w:tcPr>
            <w:tcW w:w="4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June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102,250,872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194,620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948,532,470</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(175,219)</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(455,411,478)</w:t>
            </w:r>
          </w:p>
        </w:tc>
        <w:tc>
          <w:tcPr>
            <w:tcW w:w="2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492,585,205</w:t>
            </w:r>
          </w:p>
        </w:tc>
        <w:tc>
          <w:tcPr>
            <w:tcW w:w="100" w:type="dxa"/>
            <w:vAlign w:val="bottom"/>
            <w:shd w:val="clear" w:color="auto" w:fill="CFF0FC"/>
          </w:tcPr>
          <w:p>
            <w:pPr>
              <w:spacing w:after="0"/>
              <w:rPr>
                <w:sz w:val="11"/>
                <w:szCs w:val="1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382"/>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960" w:type="dxa"/>
            <w:vAlign w:val="bottom"/>
            <w:gridSpan w:val="3"/>
          </w:tcPr>
          <w:p>
            <w:pPr>
              <w:jc w:val="center"/>
              <w:ind w:right="120"/>
              <w:spacing w:after="0" w:line="125" w:lineRule="exact"/>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040" w:type="dxa"/>
            <w:vAlign w:val="bottom"/>
            <w:gridSpan w:val="3"/>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Non-controlling</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4"/>
        </w:trPr>
        <w:tc>
          <w:tcPr>
            <w:tcW w:w="400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1"/>
              </w:rPr>
              <w:t>Common Stock</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 ($)</w:t>
            </w:r>
          </w:p>
        </w:tc>
        <w:tc>
          <w:tcPr>
            <w:tcW w:w="22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Paid-In 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0"/>
              </w:rPr>
              <w:t>Interest</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Totals</w:t>
            </w:r>
          </w:p>
        </w:tc>
        <w:tc>
          <w:tcPr>
            <w:tcW w:w="100" w:type="dxa"/>
            <w:vAlign w:val="bottom"/>
            <w:tcBorders>
              <w:bottom w:val="single" w:sz="8" w:color="CFF0FC"/>
            </w:tcBorders>
          </w:tcPr>
          <w:p>
            <w:pPr>
              <w:spacing w:after="0"/>
              <w:rPr>
                <w:sz w:val="11"/>
                <w:szCs w:val="11"/>
                <w:color w:val="auto"/>
              </w:rPr>
            </w:pPr>
          </w:p>
        </w:tc>
      </w:tr>
      <w:tr>
        <w:trPr>
          <w:trHeight w:val="130"/>
        </w:trPr>
        <w:tc>
          <w:tcPr>
            <w:tcW w:w="4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September 30, 2018</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88,505,302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180,875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582,902,694</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(21,564)</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(487,265,816)</w:t>
            </w:r>
          </w:p>
        </w:tc>
        <w:tc>
          <w:tcPr>
            <w:tcW w:w="2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95,241,001</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7,276,875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7,276,875</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1,244,161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6,440,761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6,442,005</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Common stock - restricted stock units vesting</w:t>
            </w:r>
          </w:p>
        </w:tc>
        <w:tc>
          <w:tcPr>
            <w:tcW w:w="820" w:type="dxa"/>
            <w:vAlign w:val="bottom"/>
          </w:tcPr>
          <w:p>
            <w:pPr>
              <w:jc w:val="right"/>
              <w:spacing w:after="0"/>
              <w:rPr>
                <w:sz w:val="20"/>
                <w:szCs w:val="20"/>
                <w:color w:val="auto"/>
              </w:rPr>
            </w:pPr>
            <w:r>
              <w:rPr>
                <w:rFonts w:ascii="Arial" w:cs="Arial" w:eastAsia="Arial" w:hAnsi="Arial"/>
                <w:sz w:val="11"/>
                <w:szCs w:val="11"/>
                <w:color w:val="auto"/>
              </w:rPr>
              <w:t>2,197,305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2,197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(2,197)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Common stock - issued for cash</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3,260,869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3,261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60,518,468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60,521,729</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Foreign currency translation adjustments</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(81,514)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(81,514)</w:t>
            </w: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Net income (loss) for the nine months ended June 30, 2019</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56,269,944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56,269,944</w:t>
            </w:r>
          </w:p>
        </w:tc>
        <w:tc>
          <w:tcPr>
            <w:tcW w:w="100" w:type="dxa"/>
            <w:vAlign w:val="bottom"/>
            <w:shd w:val="clear" w:color="auto" w:fill="CFF0FC"/>
          </w:tcPr>
          <w:p>
            <w:pPr>
              <w:spacing w:after="0"/>
              <w:rPr>
                <w:sz w:val="11"/>
                <w:szCs w:val="11"/>
                <w:color w:val="auto"/>
              </w:rPr>
            </w:pPr>
          </w:p>
        </w:tc>
      </w:tr>
      <w:tr>
        <w:trPr>
          <w:trHeight w:val="130"/>
        </w:trPr>
        <w:tc>
          <w:tcPr>
            <w:tcW w:w="4000" w:type="dxa"/>
            <w:vAlign w:val="bottom"/>
          </w:tcPr>
          <w:p>
            <w:pPr>
              <w:spacing w:after="0"/>
              <w:rPr>
                <w:sz w:val="20"/>
                <w:szCs w:val="20"/>
                <w:color w:val="auto"/>
              </w:rPr>
            </w:pPr>
            <w:r>
              <w:rPr>
                <w:rFonts w:ascii="Arial" w:cs="Arial" w:eastAsia="Arial" w:hAnsi="Arial"/>
                <w:sz w:val="11"/>
                <w:szCs w:val="11"/>
                <w:b w:val="1"/>
                <w:bCs w:val="1"/>
                <w:color w:val="auto"/>
              </w:rPr>
              <w:t>Balance at June 30, 2019</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95,207,637</w:t>
            </w:r>
          </w:p>
        </w:tc>
        <w:tc>
          <w:tcPr>
            <w:tcW w:w="220" w:type="dxa"/>
            <w:vAlign w:val="bottom"/>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187,577</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657,136,601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(103,078)</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(430,995,872)</w:t>
            </w:r>
          </w:p>
        </w:tc>
        <w:tc>
          <w:tcPr>
            <w:tcW w:w="24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225,670,040</w:t>
            </w:r>
          </w:p>
        </w:tc>
        <w:tc>
          <w:tcPr>
            <w:tcW w:w="100" w:type="dxa"/>
            <w:vAlign w:val="bottom"/>
          </w:tcPr>
          <w:p>
            <w:pPr>
              <w:spacing w:after="0"/>
              <w:rPr>
                <w:sz w:val="11"/>
                <w:szCs w:val="1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2"/>
        </w:trPr>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4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960" w:type="dxa"/>
            <w:vAlign w:val="bottom"/>
            <w:gridSpan w:val="3"/>
          </w:tcPr>
          <w:p>
            <w:pPr>
              <w:jc w:val="center"/>
              <w:ind w:right="120"/>
              <w:spacing w:after="0" w:line="125" w:lineRule="exact"/>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25" w:lineRule="exact"/>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0"/>
                <w:szCs w:val="10"/>
                <w:color w:val="auto"/>
              </w:rPr>
            </w:pPr>
          </w:p>
        </w:tc>
        <w:tc>
          <w:tcPr>
            <w:tcW w:w="1040" w:type="dxa"/>
            <w:vAlign w:val="bottom"/>
            <w:gridSpan w:val="3"/>
          </w:tcPr>
          <w:p>
            <w:pPr>
              <w:jc w:val="center"/>
              <w:ind w:right="220"/>
              <w:spacing w:after="0" w:line="125" w:lineRule="exact"/>
              <w:rPr>
                <w:sz w:val="20"/>
                <w:szCs w:val="20"/>
                <w:color w:val="auto"/>
              </w:rPr>
            </w:pPr>
            <w:r>
              <w:rPr>
                <w:rFonts w:ascii="Arial" w:cs="Arial" w:eastAsia="Arial" w:hAnsi="Arial"/>
                <w:sz w:val="11"/>
                <w:szCs w:val="11"/>
                <w:b w:val="1"/>
                <w:bCs w:val="1"/>
                <w:color w:val="auto"/>
                <w:w w:val="90"/>
              </w:rPr>
              <w:t>Non-controlling</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4"/>
        </w:trPr>
        <w:tc>
          <w:tcPr>
            <w:tcW w:w="400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1"/>
              </w:rPr>
              <w:t>Common Stock</w:t>
            </w:r>
          </w:p>
        </w:tc>
        <w:tc>
          <w:tcPr>
            <w:tcW w:w="2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 ($)</w:t>
            </w:r>
          </w:p>
        </w:tc>
        <w:tc>
          <w:tcPr>
            <w:tcW w:w="220" w:type="dxa"/>
            <w:vAlign w:val="bottom"/>
            <w:tcBorders>
              <w:bottom w:val="single" w:sz="8" w:color="CFF0FC"/>
            </w:tcBorders>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Paid-In Capital</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0"/>
              </w:rPr>
              <w:t>Interest</w:t>
            </w:r>
          </w:p>
        </w:tc>
        <w:tc>
          <w:tcPr>
            <w:tcW w:w="2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Totals</w:t>
            </w:r>
          </w:p>
        </w:tc>
        <w:tc>
          <w:tcPr>
            <w:tcW w:w="100" w:type="dxa"/>
            <w:vAlign w:val="bottom"/>
            <w:tcBorders>
              <w:bottom w:val="single" w:sz="8" w:color="CFF0FC"/>
            </w:tcBorders>
          </w:tcPr>
          <w:p>
            <w:pPr>
              <w:spacing w:after="0"/>
              <w:rPr>
                <w:sz w:val="11"/>
                <w:szCs w:val="11"/>
                <w:color w:val="auto"/>
              </w:rPr>
            </w:pPr>
          </w:p>
        </w:tc>
      </w:tr>
      <w:tr>
        <w:trPr>
          <w:trHeight w:val="130"/>
        </w:trPr>
        <w:tc>
          <w:tcPr>
            <w:tcW w:w="40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September 30, 2019</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95,506,271</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187,876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664,086,155</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1"/>
                <w:szCs w:val="11"/>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(391,624)</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b w:val="1"/>
                <w:bCs w:val="1"/>
                <w:color w:val="auto"/>
              </w:rPr>
              <w:t>(419,290,967)</w:t>
            </w:r>
          </w:p>
        </w:tc>
        <w:tc>
          <w:tcPr>
            <w:tcW w:w="240" w:type="dxa"/>
            <w:vAlign w:val="bottom"/>
            <w:gridSpan w:val="2"/>
            <w:shd w:val="clear" w:color="auto" w:fill="CFF0FC"/>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244,036,252</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27,509,663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27,509,663</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989,197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989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6,463,433</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6,464,422</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Common stock - restricted stock units vesting</w:t>
            </w:r>
          </w:p>
        </w:tc>
        <w:tc>
          <w:tcPr>
            <w:tcW w:w="820" w:type="dxa"/>
            <w:vAlign w:val="bottom"/>
          </w:tcPr>
          <w:p>
            <w:pPr>
              <w:jc w:val="right"/>
              <w:spacing w:after="0"/>
              <w:rPr>
                <w:sz w:val="20"/>
                <w:szCs w:val="20"/>
                <w:color w:val="auto"/>
              </w:rPr>
            </w:pPr>
            <w:r>
              <w:rPr>
                <w:rFonts w:ascii="Arial" w:cs="Arial" w:eastAsia="Arial" w:hAnsi="Arial"/>
                <w:sz w:val="11"/>
                <w:szCs w:val="11"/>
                <w:color w:val="auto"/>
              </w:rPr>
              <w:t>1,155,404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(1,155)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Common stock - issued for cash</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4,600,000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4,600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250,474,374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250,478,974</w:t>
            </w:r>
          </w:p>
        </w:tc>
        <w:tc>
          <w:tcPr>
            <w:tcW w:w="100" w:type="dxa"/>
            <w:vAlign w:val="bottom"/>
            <w:shd w:val="clear" w:color="auto" w:fill="CFF0FC"/>
          </w:tcPr>
          <w:p>
            <w:pPr>
              <w:spacing w:after="0"/>
              <w:rPr>
                <w:sz w:val="11"/>
                <w:szCs w:val="11"/>
                <w:color w:val="auto"/>
              </w:rPr>
            </w:pPr>
          </w:p>
        </w:tc>
      </w:tr>
      <w:tr>
        <w:trPr>
          <w:trHeight w:val="138"/>
        </w:trPr>
        <w:tc>
          <w:tcPr>
            <w:tcW w:w="4000" w:type="dxa"/>
            <w:vAlign w:val="bottom"/>
          </w:tcPr>
          <w:p>
            <w:pPr>
              <w:ind w:left="120"/>
              <w:spacing w:after="0"/>
              <w:rPr>
                <w:sz w:val="20"/>
                <w:szCs w:val="20"/>
                <w:color w:val="auto"/>
              </w:rPr>
            </w:pPr>
            <w:r>
              <w:rPr>
                <w:rFonts w:ascii="Arial" w:cs="Arial" w:eastAsia="Arial" w:hAnsi="Arial"/>
                <w:sz w:val="11"/>
                <w:szCs w:val="11"/>
                <w:color w:val="auto"/>
              </w:rPr>
              <w:t>Foreign currency translation adjustments</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216,405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216,405</w:t>
            </w:r>
          </w:p>
        </w:tc>
        <w:tc>
          <w:tcPr>
            <w:tcW w:w="100" w:type="dxa"/>
            <w:vAlign w:val="bottom"/>
          </w:tcPr>
          <w:p>
            <w:pPr>
              <w:spacing w:after="0"/>
              <w:rPr>
                <w:sz w:val="11"/>
                <w:szCs w:val="11"/>
                <w:color w:val="auto"/>
              </w:rPr>
            </w:pPr>
          </w:p>
        </w:tc>
      </w:tr>
      <w:tr>
        <w:trPr>
          <w:trHeight w:val="138"/>
        </w:trPr>
        <w:tc>
          <w:tcPr>
            <w:tcW w:w="4000" w:type="dxa"/>
            <w:vAlign w:val="bottom"/>
            <w:shd w:val="clear" w:color="auto" w:fill="CFF0FC"/>
          </w:tcPr>
          <w:p>
            <w:pPr>
              <w:ind w:left="120"/>
              <w:spacing w:after="0"/>
              <w:rPr>
                <w:sz w:val="20"/>
                <w:szCs w:val="20"/>
                <w:color w:val="auto"/>
              </w:rPr>
            </w:pPr>
            <w:r>
              <w:rPr>
                <w:rFonts w:ascii="Arial" w:cs="Arial" w:eastAsia="Arial" w:hAnsi="Arial"/>
                <w:sz w:val="11"/>
                <w:szCs w:val="11"/>
                <w:color w:val="auto"/>
              </w:rPr>
              <w:t>Net income (loss) for the nine months ended June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(36,120,511)</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(36,120,511)</w:t>
            </w:r>
          </w:p>
        </w:tc>
      </w:tr>
      <w:tr>
        <w:trPr>
          <w:trHeight w:val="20"/>
        </w:trPr>
        <w:tc>
          <w:tcPr>
            <w:tcW w:w="4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0"/>
        </w:trPr>
        <w:tc>
          <w:tcPr>
            <w:tcW w:w="400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rPr>
              <w:t>102,250,872</w:t>
            </w:r>
          </w:p>
        </w:tc>
        <w:tc>
          <w:tcPr>
            <w:tcW w:w="220" w:type="dxa"/>
            <w:vAlign w:val="bottom"/>
          </w:tcPr>
          <w:p>
            <w:pPr>
              <w:spacing w:after="0"/>
              <w:rPr>
                <w:sz w:val="11"/>
                <w:szCs w:val="11"/>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194,620</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948,532,470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(175,219)</w:t>
            </w:r>
          </w:p>
        </w:tc>
        <w:tc>
          <w:tcPr>
            <w:tcW w:w="1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(455,411,478)</w:t>
            </w:r>
          </w:p>
        </w:tc>
        <w:tc>
          <w:tcPr>
            <w:tcW w:w="24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(555,188)</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492,585,205</w:t>
            </w:r>
          </w:p>
        </w:tc>
        <w:tc>
          <w:tcPr>
            <w:tcW w:w="100" w:type="dxa"/>
            <w:vAlign w:val="bottom"/>
          </w:tcPr>
          <w:p>
            <w:pPr>
              <w:spacing w:after="0"/>
              <w:rPr>
                <w:sz w:val="11"/>
                <w:szCs w:val="11"/>
                <w:color w:val="auto"/>
              </w:rPr>
            </w:pPr>
          </w:p>
        </w:tc>
      </w:tr>
      <w:tr>
        <w:trPr>
          <w:trHeight w:val="20"/>
        </w:trPr>
        <w:tc>
          <w:tcPr>
            <w:tcW w:w="4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Arrowhead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6"/>
          </w:tcPr>
          <w:p>
            <w:pPr>
              <w:jc w:val="right"/>
              <w:ind w:right="980"/>
              <w:spacing w:after="0"/>
              <w:rPr>
                <w:sz w:val="20"/>
                <w:szCs w:val="20"/>
                <w:color w:val="auto"/>
              </w:rPr>
            </w:pPr>
            <w:r>
              <w:rPr>
                <w:rFonts w:ascii="Arial" w:cs="Arial" w:eastAsia="Arial" w:hAnsi="Arial"/>
                <w:sz w:val="13"/>
                <w:szCs w:val="13"/>
                <w:b w:val="1"/>
                <w:bCs w:val="1"/>
                <w:color w:val="auto"/>
              </w:rPr>
              <w:t>Nine Months Ended June 30,</w:t>
            </w:r>
          </w:p>
        </w:tc>
        <w:tc>
          <w:tcPr>
            <w:tcW w:w="0" w:type="dxa"/>
            <w:vAlign w:val="bottom"/>
          </w:tcPr>
          <w:p>
            <w:pPr>
              <w:spacing w:after="0"/>
              <w:rPr>
                <w:sz w:val="1"/>
                <w:szCs w:val="1"/>
                <w:color w:val="auto"/>
              </w:rPr>
            </w:pPr>
          </w:p>
        </w:tc>
      </w:tr>
      <w:tr>
        <w:trPr>
          <w:trHeight w:val="173"/>
        </w:trPr>
        <w:tc>
          <w:tcPr>
            <w:tcW w:w="6380" w:type="dxa"/>
            <w:vAlign w:val="bottom"/>
            <w:tcBorders>
              <w:bottom w:val="single" w:sz="8" w:color="CFF0FC"/>
            </w:tcBorders>
          </w:tcPr>
          <w:p>
            <w:pPr>
              <w:spacing w:after="0"/>
              <w:rPr>
                <w:sz w:val="15"/>
                <w:szCs w:val="15"/>
                <w:color w:val="auto"/>
              </w:rPr>
            </w:pPr>
          </w:p>
        </w:tc>
        <w:tc>
          <w:tcPr>
            <w:tcW w:w="13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8"/>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3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CASH FLOWS FROM OPERATING ACTIVITIES:</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(36,120,511)</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56,269,944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Stock-based compensation</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27,509,663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7,276,875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4,167,873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3,356,769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Amortization/(accretion) of note premiums</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652,747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682,243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580"/>
              <w:spacing w:after="0"/>
              <w:rPr>
                <w:sz w:val="20"/>
                <w:szCs w:val="20"/>
                <w:color w:val="auto"/>
              </w:rPr>
            </w:pPr>
            <w:r>
              <w:rPr>
                <w:rFonts w:ascii="Arial" w:cs="Arial" w:eastAsia="Arial" w:hAnsi="Arial"/>
                <w:sz w:val="17"/>
                <w:szCs w:val="17"/>
                <w:color w:val="auto"/>
              </w:rPr>
              <w:t>Accounts receivable</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(21,031,203)</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(1,716,736)</w:t>
            </w:r>
          </w:p>
        </w:tc>
        <w:tc>
          <w:tcPr>
            <w:tcW w:w="0" w:type="dxa"/>
            <w:vAlign w:val="bottom"/>
          </w:tcPr>
          <w:p>
            <w:pPr>
              <w:spacing w:after="0"/>
              <w:rPr>
                <w:sz w:val="1"/>
                <w:szCs w:val="1"/>
                <w:color w:val="auto"/>
              </w:rPr>
            </w:pPr>
          </w:p>
        </w:tc>
      </w:tr>
      <w:tr>
        <w:trPr>
          <w:trHeight w:val="213"/>
        </w:trPr>
        <w:tc>
          <w:tcPr>
            <w:tcW w:w="6380" w:type="dxa"/>
            <w:vAlign w:val="bottom"/>
          </w:tcPr>
          <w:p>
            <w:pPr>
              <w:ind w:left="580"/>
              <w:spacing w:after="0"/>
              <w:rPr>
                <w:sz w:val="20"/>
                <w:szCs w:val="20"/>
                <w:color w:val="auto"/>
              </w:rPr>
            </w:pPr>
            <w:r>
              <w:rPr>
                <w:rFonts w:ascii="Arial" w:cs="Arial" w:eastAsia="Arial" w:hAnsi="Arial"/>
                <w:sz w:val="17"/>
                <w:szCs w:val="17"/>
                <w:color w:val="auto"/>
              </w:rPr>
              <w:t>Prepaid expenses and other current assets</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(863,287)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(2,393,230)</w:t>
            </w: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580"/>
              <w:spacing w:after="0"/>
              <w:rPr>
                <w:sz w:val="20"/>
                <w:szCs w:val="20"/>
                <w:color w:val="auto"/>
              </w:rPr>
            </w:pPr>
            <w:r>
              <w:rPr>
                <w:rFonts w:ascii="Arial" w:cs="Arial" w:eastAsia="Arial" w:hAnsi="Arial"/>
                <w:sz w:val="17"/>
                <w:szCs w:val="17"/>
                <w:color w:val="auto"/>
              </w:rPr>
              <w:t>Deferred revenue</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(56,530,409)</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97,940,261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580"/>
              <w:spacing w:after="0"/>
              <w:rPr>
                <w:sz w:val="20"/>
                <w:szCs w:val="20"/>
                <w:color w:val="auto"/>
              </w:rPr>
            </w:pPr>
            <w:r>
              <w:rPr>
                <w:rFonts w:ascii="Arial" w:cs="Arial" w:eastAsia="Arial" w:hAnsi="Arial"/>
                <w:sz w:val="17"/>
                <w:szCs w:val="17"/>
                <w:color w:val="auto"/>
              </w:rPr>
              <w:t>Accounts payable</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(3,576,053)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1,824,146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580"/>
              <w:spacing w:after="0"/>
              <w:rPr>
                <w:sz w:val="20"/>
                <w:szCs w:val="20"/>
                <w:color w:val="auto"/>
              </w:rPr>
            </w:pPr>
            <w:r>
              <w:rPr>
                <w:rFonts w:ascii="Arial" w:cs="Arial" w:eastAsia="Arial" w:hAnsi="Arial"/>
                <w:sz w:val="17"/>
                <w:szCs w:val="17"/>
                <w:color w:val="auto"/>
              </w:rPr>
              <w:t>Accrued expenses</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(54,217)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(3,477,235)</w:t>
            </w:r>
          </w:p>
        </w:tc>
        <w:tc>
          <w:tcPr>
            <w:tcW w:w="0" w:type="dxa"/>
            <w:vAlign w:val="bottom"/>
          </w:tcPr>
          <w:p>
            <w:pPr>
              <w:spacing w:after="0"/>
              <w:rPr>
                <w:sz w:val="1"/>
                <w:szCs w:val="1"/>
                <w:color w:val="auto"/>
              </w:rPr>
            </w:pPr>
          </w:p>
        </w:tc>
      </w:tr>
      <w:tr>
        <w:trPr>
          <w:trHeight w:val="213"/>
        </w:trPr>
        <w:tc>
          <w:tcPr>
            <w:tcW w:w="6380" w:type="dxa"/>
            <w:vAlign w:val="bottom"/>
          </w:tcPr>
          <w:p>
            <w:pPr>
              <w:ind w:left="580"/>
              <w:spacing w:after="0"/>
              <w:rPr>
                <w:sz w:val="20"/>
                <w:szCs w:val="20"/>
                <w:color w:val="auto"/>
              </w:rPr>
            </w:pPr>
            <w:r>
              <w:rPr>
                <w:rFonts w:ascii="Arial" w:cs="Arial" w:eastAsia="Arial" w:hAnsi="Arial"/>
                <w:sz w:val="17"/>
                <w:szCs w:val="17"/>
                <w:color w:val="auto"/>
              </w:rPr>
              <w:t>Other</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1,303,852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(538,020)</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FF0FC"/>
          </w:tcPr>
          <w:p>
            <w:pPr>
              <w:ind w:left="340"/>
              <w:spacing w:after="0"/>
              <w:rPr>
                <w:sz w:val="20"/>
                <w:szCs w:val="20"/>
                <w:color w:val="auto"/>
              </w:rPr>
            </w:pPr>
            <w:r>
              <w:rPr>
                <w:rFonts w:ascii="Arial" w:cs="Arial" w:eastAsia="Arial" w:hAnsi="Arial"/>
                <w:sz w:val="17"/>
                <w:szCs w:val="17"/>
                <w:color w:val="auto"/>
              </w:rPr>
              <w:t>NET CASH PROVIDED BY (USED IN) OPERATING ACTIVITIES</w:t>
            </w:r>
          </w:p>
        </w:tc>
        <w:tc>
          <w:tcPr>
            <w:tcW w:w="1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80" w:type="dxa"/>
            <w:vAlign w:val="bottom"/>
            <w:vMerge w:val="continue"/>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(84,541,545)</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159,225,017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20"/>
              <w:spacing w:after="0"/>
              <w:rPr>
                <w:sz w:val="20"/>
                <w:szCs w:val="20"/>
                <w:color w:val="auto"/>
              </w:rPr>
            </w:pPr>
            <w:r>
              <w:rPr>
                <w:rFonts w:ascii="Arial" w:cs="Arial" w:eastAsia="Arial" w:hAnsi="Arial"/>
                <w:sz w:val="17"/>
                <w:szCs w:val="17"/>
                <w:color w:val="auto"/>
              </w:rPr>
              <w:t>CASH FLOWS FROM INVESTING ACTIVITIES:</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Purchases of property and equipment</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(10,067,360)</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(4,170,285)</w:t>
            </w: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Arial" w:cs="Arial" w:eastAsia="Arial" w:hAnsi="Arial"/>
                <w:sz w:val="17"/>
                <w:szCs w:val="17"/>
                <w:color w:val="auto"/>
              </w:rPr>
              <w:t>Purchases of marketable securities</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(193,964,290)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(90,266,001)</w:t>
            </w: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Proceeds from sale of marketable securities</w:t>
            </w:r>
          </w:p>
        </w:tc>
        <w:tc>
          <w:tcPr>
            <w:tcW w:w="13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29,148,287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29,861,219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80" w:type="dxa"/>
            <w:vAlign w:val="bottom"/>
          </w:tcPr>
          <w:p>
            <w:pPr>
              <w:ind w:left="340"/>
              <w:spacing w:after="0"/>
              <w:rPr>
                <w:sz w:val="20"/>
                <w:szCs w:val="20"/>
                <w:color w:val="auto"/>
              </w:rPr>
            </w:pPr>
            <w:r>
              <w:rPr>
                <w:rFonts w:ascii="Arial" w:cs="Arial" w:eastAsia="Arial" w:hAnsi="Arial"/>
                <w:sz w:val="17"/>
                <w:szCs w:val="17"/>
                <w:color w:val="auto"/>
              </w:rPr>
              <w:t>NET CASH PROVIDED BY (USED IN) INVESTING ACTIVITIES</w:t>
            </w: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(174,883,363)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(64,575,067)</w:t>
            </w: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CASH FLOWS FROM FINANCING ACTIVITIES:</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Arial" w:cs="Arial" w:eastAsia="Arial" w:hAnsi="Arial"/>
                <w:sz w:val="17"/>
                <w:szCs w:val="17"/>
                <w:color w:val="auto"/>
              </w:rPr>
              <w:t>Principal payments on notes payable</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(2,415,150)</w:t>
            </w: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Proceeds from the exercises of stock options</w:t>
            </w:r>
          </w:p>
        </w:tc>
        <w:tc>
          <w:tcPr>
            <w:tcW w:w="1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6,464,423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6,442,005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FF0FC"/>
            </w:tcBorders>
          </w:tcPr>
          <w:p>
            <w:pPr>
              <w:ind w:left="340"/>
              <w:spacing w:after="0"/>
              <w:rPr>
                <w:sz w:val="20"/>
                <w:szCs w:val="20"/>
                <w:color w:val="auto"/>
              </w:rPr>
            </w:pPr>
            <w:r>
              <w:rPr>
                <w:rFonts w:ascii="Arial" w:cs="Arial" w:eastAsia="Arial" w:hAnsi="Arial"/>
                <w:sz w:val="17"/>
                <w:szCs w:val="17"/>
                <w:color w:val="auto"/>
              </w:rPr>
              <w:t>Proceeds from the issuance of common stock</w:t>
            </w:r>
          </w:p>
        </w:tc>
        <w:tc>
          <w:tcPr>
            <w:tcW w:w="13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250,478,974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60,521,729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NET CASH PROVIDED BY (USED IN) FINANCING ACTIVITIES</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256,943,397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64,548,584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Arial" w:cs="Arial" w:eastAsia="Arial" w:hAnsi="Arial"/>
                <w:sz w:val="17"/>
                <w:szCs w:val="17"/>
                <w:color w:val="auto"/>
              </w:rPr>
              <w:t>NET INCREASE (DECREASE) IN CASH</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(2,481,511)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159,198,534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CASH AND CASH EQUIVALENTS AT BEGINNING OF PERIOD</w:t>
            </w:r>
          </w:p>
        </w:tc>
        <w:tc>
          <w:tcPr>
            <w:tcW w:w="13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221,804,128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30,133,213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380" w:type="dxa"/>
            <w:vAlign w:val="bottom"/>
          </w:tcPr>
          <w:p>
            <w:pPr>
              <w:ind w:left="120"/>
              <w:spacing w:after="0"/>
              <w:rPr>
                <w:sz w:val="20"/>
                <w:szCs w:val="20"/>
                <w:color w:val="auto"/>
              </w:rPr>
            </w:pPr>
            <w:r>
              <w:rPr>
                <w:rFonts w:ascii="Arial" w:cs="Arial" w:eastAsia="Arial" w:hAnsi="Arial"/>
                <w:sz w:val="17"/>
                <w:szCs w:val="17"/>
                <w:color w:val="auto"/>
              </w:rPr>
              <w:t>CASH AND CASH EQUIVALENTS AT END OF PERIOD</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219,322,617</w:t>
            </w:r>
          </w:p>
        </w:tc>
        <w:tc>
          <w:tcPr>
            <w:tcW w:w="160" w:type="dxa"/>
            <w:vAlign w:val="bottom"/>
          </w:tcPr>
          <w:p>
            <w:pPr>
              <w:spacing w:after="0"/>
              <w:rPr>
                <w:sz w:val="21"/>
                <w:szCs w:val="21"/>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189,331,747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380" w:type="dxa"/>
            <w:vAlign w:val="bottom"/>
            <w:tcBorders>
              <w:top w:val="single" w:sz="8" w:color="CFF0FC"/>
            </w:tcBorders>
            <w:shd w:val="clear" w:color="auto" w:fill="CFF0FC"/>
          </w:tcPr>
          <w:p>
            <w:pPr>
              <w:ind w:left="120"/>
              <w:spacing w:after="0" w:line="190" w:lineRule="exact"/>
              <w:rPr>
                <w:sz w:val="20"/>
                <w:szCs w:val="20"/>
                <w:color w:val="auto"/>
              </w:rPr>
            </w:pPr>
            <w:r>
              <w:rPr>
                <w:rFonts w:ascii="Arial" w:cs="Arial" w:eastAsia="Arial" w:hAnsi="Arial"/>
                <w:sz w:val="17"/>
                <w:szCs w:val="17"/>
                <w:color w:val="auto"/>
              </w:rPr>
              <w:t>Supplementary disclosures:</w:t>
            </w:r>
          </w:p>
        </w:tc>
        <w:tc>
          <w:tcPr>
            <w:tcW w:w="134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40"/>
              <w:spacing w:after="0"/>
              <w:rPr>
                <w:sz w:val="20"/>
                <w:szCs w:val="20"/>
                <w:color w:val="auto"/>
              </w:rPr>
            </w:pPr>
            <w:r>
              <w:rPr>
                <w:rFonts w:ascii="Arial" w:cs="Arial" w:eastAsia="Arial" w:hAnsi="Arial"/>
                <w:sz w:val="17"/>
                <w:szCs w:val="17"/>
                <w:color w:val="auto"/>
              </w:rPr>
              <w:t>Interest paid</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(27,437)</w:t>
            </w:r>
          </w:p>
        </w:tc>
        <w:tc>
          <w:tcPr>
            <w:tcW w:w="0" w:type="dxa"/>
            <w:vAlign w:val="bottom"/>
          </w:tcPr>
          <w:p>
            <w:pPr>
              <w:spacing w:after="0"/>
              <w:rPr>
                <w:sz w:val="1"/>
                <w:szCs w:val="1"/>
                <w:color w:val="auto"/>
              </w:rPr>
            </w:pPr>
          </w:p>
        </w:tc>
      </w:tr>
      <w:tr>
        <w:trPr>
          <w:trHeight w:val="213"/>
        </w:trPr>
        <w:tc>
          <w:tcPr>
            <w:tcW w:w="63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Income Taxes Paid</w:t>
            </w: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Arrowhead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93" w:lineRule="exact"/>
        <w:rPr>
          <w:sz w:val="20"/>
          <w:szCs w:val="20"/>
          <w:color w:val="auto"/>
        </w:rPr>
      </w:pPr>
    </w:p>
    <w:p>
      <w:pPr>
        <w:ind w:right="340" w:firstLine="511"/>
        <w:spacing w:after="0" w:line="270"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 </w:t>
      </w:r>
      <w:r>
        <w:rPr>
          <w:rFonts w:ascii="Arial" w:cs="Arial" w:eastAsia="Arial" w:hAnsi="Arial"/>
          <w:sz w:val="17"/>
          <w:szCs w:val="17"/>
          <w:b w:val="1"/>
          <w:bCs w:val="1"/>
          <w:i w:val="1"/>
          <w:iCs w:val="1"/>
          <w:color w:val="auto"/>
        </w:rPr>
        <w:t>ORGANIZATION AND SIGNIFICANT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Business and Recent Developments</w:t>
      </w:r>
    </w:p>
    <w:p>
      <w:pPr>
        <w:spacing w:after="0" w:line="105" w:lineRule="exact"/>
        <w:rPr>
          <w:sz w:val="20"/>
          <w:szCs w:val="20"/>
          <w:color w:val="auto"/>
        </w:rPr>
      </w:pPr>
    </w:p>
    <w:p>
      <w:pPr>
        <w:ind w:firstLine="511"/>
        <w:spacing w:after="0" w:line="290" w:lineRule="auto"/>
        <w:rPr>
          <w:sz w:val="20"/>
          <w:szCs w:val="20"/>
          <w:color w:val="auto"/>
        </w:rPr>
      </w:pPr>
      <w:r>
        <w:rPr>
          <w:rFonts w:ascii="Arial" w:cs="Arial" w:eastAsia="Arial" w:hAnsi="Arial"/>
          <w:sz w:val="15"/>
          <w:szCs w:val="15"/>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ARO-HIF2 for renal cell carcinoma, ARO-LUNG2 as a candidate to treat chronic obstructive pulmonary disorder (COPD) and ARO-COV for treatment for</w:t>
      </w:r>
    </w:p>
    <w:p>
      <w:pPr>
        <w:spacing w:after="0" w:line="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current novel coronavirus that causes COVID-19 and other possible future pulmonary-borne pathogens. ARO-JNJ1 is being developed for an undisclosed liver-expressed target under a collaboration agreement with Janssen Pharmaceuticals, Inc. (“Janssen”). ARO-HBV (JNJ-3989) for chronic hepatitis B virus was out-licensed to Janssen in October 2018. ARO-LPA (AMG 890) for cardiovascular disease was out-licensed to Amgen Inc. (“Amgen”) in 2016.</w:t>
      </w:r>
    </w:p>
    <w:p>
      <w:pPr>
        <w:spacing w:after="0" w:line="152" w:lineRule="exact"/>
        <w:rPr>
          <w:sz w:val="20"/>
          <w:szCs w:val="20"/>
          <w:color w:val="auto"/>
        </w:rPr>
      </w:pPr>
    </w:p>
    <w:p>
      <w:pPr>
        <w:jc w:val="both"/>
        <w:ind w:right="480" w:firstLine="511"/>
        <w:spacing w:after="0" w:line="280" w:lineRule="auto"/>
        <w:rPr>
          <w:sz w:val="20"/>
          <w:szCs w:val="20"/>
          <w:color w:val="auto"/>
        </w:rPr>
      </w:pPr>
      <w:r>
        <w:rPr>
          <w:rFonts w:ascii="Arial" w:cs="Arial" w:eastAsia="Arial" w:hAnsi="Arial"/>
          <w:sz w:val="16"/>
          <w:szCs w:val="16"/>
          <w:color w:val="auto"/>
        </w:rPr>
        <w:t>Arrowhead operates a lab facility in Madison, Wisconsin, where the Company’s research and development activities, including the development of RNAi therapeutics, are based. The Company’s principal executive offices are located in Pasadena, California. In March 2020, the Company entered into a sublease for additional research and development facility space in San Diego, California as discussed further in Note 8 below.</w:t>
      </w:r>
    </w:p>
    <w:p>
      <w:pPr>
        <w:spacing w:after="0" w:line="158"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During fiscal year 2020, the Company has continued to develop its pipeline and partnered candidates. The Company has began dosing in an adaptive design phase 2/3 trial, called SEQUOIA, with the potential to serve as a pivotal registration study of ARO-AAT. The Company also began dosing in its ARO-AAT 2002 study, a pilot open-label, multi-dose Phase 2 study to assess changes in novel histological activity scale in response to ARO-AAT over time in patients with alpha-1 antitrypsin deficiency associated liver disease. In addition, the Company also dosed the first patients in AROHSD1001, a Phase 1/2 clinical study of ARO-HSD, the Company’s investigational RNA interference therapeutic being developed as a treatment for patients with alcohol related and nonalcohol related liver diseases, such as nonalcoholic steatohepatitis (NASH). The Company also presented new clinical data on its two cardiometabolic candidates, ARO-APOC3 and ARO-ANG3, in two late-breaking oral presentations at the American Heart Association Scientific Sessions 2019. In addition, the Company filed an investigational new drug (“IND”) application to begin a phase 1b study of ARO-HIF2 and filed a clinical trials application (“CTA”) to begin a phase 1 study of ARO-ENaC.</w:t>
      </w:r>
    </w:p>
    <w:p>
      <w:pPr>
        <w:spacing w:after="0" w:line="159" w:lineRule="exact"/>
        <w:rPr>
          <w:sz w:val="20"/>
          <w:szCs w:val="20"/>
          <w:color w:val="auto"/>
        </w:rPr>
      </w:pPr>
    </w:p>
    <w:p>
      <w:pPr>
        <w:ind w:right="80" w:firstLine="511"/>
        <w:spacing w:after="0" w:line="283" w:lineRule="auto"/>
        <w:rPr>
          <w:sz w:val="20"/>
          <w:szCs w:val="20"/>
          <w:color w:val="auto"/>
        </w:rPr>
      </w:pPr>
      <w:r>
        <w:rPr>
          <w:rFonts w:ascii="Arial" w:cs="Arial" w:eastAsia="Arial" w:hAnsi="Arial"/>
          <w:sz w:val="15"/>
          <w:szCs w:val="15"/>
          <w:color w:val="auto"/>
        </w:rPr>
        <w:t>The Company’s partnered candidates under its collaboration agreements with Janssen and Amgen also continue to progress. Janssen began dosing patients in a phase 2b triple combination study called REEF-1, designed to enroll up to 450 patients with chronic hepatitis B infection, and in connection with the start of this study Arrowhead earned a $25 million milestone payment under the License Agreement (“Janssen License Agreement”). Janssen has also nominated the first of 3 potential candidates under the Research Collaboration and Option Agreement (“Janssen Collaboration Agreement”), ARO-JNJ1, and the Company is currently performing discovery, optimization and preclinical research and development for this candidate. Under the terms of the Janssen agreements taken together, the Company has received $175 million as an upfront payment, $75 million in the form of an equity investment by JJDC in Arrowhead common stock,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The Company’s collaboration agreement with Amgen for AMG 890 (ARO-LPA), (the “Second Collaboration and License Agreement” or “AMG 890 (ARO-LPA) Agreement”), continues to progress. The Company has received $35 million in upfront payments, $21.5 million in the form of an equity investment by Amgen in the Company’s Common Stock, a $10 million milestone payment, and may receive up to $420 million in development, regulatory and sales milestone payments. The Company is eligible to receive up to low double-digit royalties for sales of products under the AMG 890 (ARO-LPA) Agreement. In July 2020, Amgen initiated a Phase 2 clinical study, which will result in a $20 million milestone payment to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7"/>
          <w:szCs w:val="17"/>
          <w:color w:val="auto"/>
        </w:rPr>
        <w:t>The revenue recognition for these collaboration agreements is discussed further in Note 2 below.</w:t>
      </w:r>
    </w:p>
    <w:p>
      <w:pPr>
        <w:spacing w:after="0" w:line="205" w:lineRule="exact"/>
        <w:rPr>
          <w:sz w:val="20"/>
          <w:szCs w:val="20"/>
          <w:color w:val="auto"/>
        </w:rPr>
      </w:pPr>
    </w:p>
    <w:p>
      <w:pPr>
        <w:ind w:firstLine="511"/>
        <w:spacing w:after="0" w:line="285" w:lineRule="auto"/>
        <w:rPr>
          <w:sz w:val="20"/>
          <w:szCs w:val="20"/>
          <w:color w:val="auto"/>
        </w:rPr>
      </w:pPr>
      <w:r>
        <w:rPr>
          <w:rFonts w:ascii="Arial" w:cs="Arial" w:eastAsia="Arial" w:hAnsi="Arial"/>
          <w:sz w:val="15"/>
          <w:szCs w:val="15"/>
          <w:color w:val="auto"/>
        </w:rPr>
        <w:t>The Company is actively monitoring the ongoing COVID-19 pandemic. The financial results for the three and nine months ended June 30, 2020 were not significantly impacted by COVID-19. The Company temporarily paused enrollment in its two ARO-AAT studies, SEQUOIA and the ARO-AAT 2002 study, but resumed the process of screening and enrolling patients during the three months ended June 30, 2020. During the pause in enrollment, patients already enrolled in these studies continued to be dosed per protocol and continued to come in for their follow up visits. Additional delays have occurred in the Company’s earlier stage programs, but we do not expect a material impact to any program’s anticipated timelines. Several of the Company’s other clinical candidates are in the start-up stage (ARO-HSD, ARO-HIF2 and ARO-ENaC), during which significant clinical costs will continue to be incurred.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of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Liquidity</w:t>
      </w:r>
    </w:p>
    <w:p>
      <w:pPr>
        <w:spacing w:after="0" w:line="105" w:lineRule="exact"/>
        <w:rPr>
          <w:sz w:val="20"/>
          <w:szCs w:val="20"/>
          <w:color w:val="auto"/>
        </w:rPr>
      </w:pPr>
    </w:p>
    <w:p>
      <w:pPr>
        <w:ind w:right="280" w:firstLine="511"/>
        <w:spacing w:after="0" w:line="297" w:lineRule="auto"/>
        <w:rPr>
          <w:sz w:val="20"/>
          <w:szCs w:val="20"/>
          <w:color w:val="auto"/>
        </w:rPr>
      </w:pPr>
      <w:r>
        <w:rPr>
          <w:rFonts w:ascii="Arial" w:cs="Arial" w:eastAsia="Arial" w:hAnsi="Arial"/>
          <w:sz w:val="15"/>
          <w:szCs w:val="15"/>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48" w:lineRule="exact"/>
        <w:rPr>
          <w:sz w:val="20"/>
          <w:szCs w:val="20"/>
          <w:color w:val="auto"/>
        </w:rPr>
      </w:pPr>
    </w:p>
    <w:p>
      <w:pPr>
        <w:ind w:right="60" w:firstLine="511"/>
        <w:spacing w:after="0" w:line="297" w:lineRule="auto"/>
        <w:rPr>
          <w:sz w:val="20"/>
          <w:szCs w:val="20"/>
          <w:color w:val="auto"/>
        </w:rPr>
      </w:pPr>
      <w:r>
        <w:rPr>
          <w:rFonts w:ascii="Arial" w:cs="Arial" w:eastAsia="Arial" w:hAnsi="Arial"/>
          <w:sz w:val="15"/>
          <w:szCs w:val="15"/>
          <w:color w:val="auto"/>
        </w:rPr>
        <w:t>At June 30, 2020 the Company had $219.3 million in cash and cash equivalents (including $1.8 million in restricted cash), $67.7 million in short-term investments, and $177.5 million in long-term investments to fund operations. During the nine months ended June 30, 2020, the Company’s cash and investments balance increased by $161.7 million, which was primarily the result of the December 2019 securities offering that generated $250.5 million in net cash proceeds for the Company, as discussed further in Note 6 below. These cash inflows were partially offset by cash outflows primarily related to operating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Significant Accounting Policies</w:t>
      </w:r>
    </w:p>
    <w:p>
      <w:pPr>
        <w:spacing w:after="0" w:line="105" w:lineRule="exact"/>
        <w:rPr>
          <w:sz w:val="20"/>
          <w:szCs w:val="20"/>
          <w:color w:val="auto"/>
        </w:rPr>
      </w:pPr>
    </w:p>
    <w:p>
      <w:pPr>
        <w:ind w:right="200" w:firstLine="511"/>
        <w:spacing w:after="0" w:line="334" w:lineRule="auto"/>
        <w:rPr>
          <w:sz w:val="20"/>
          <w:szCs w:val="20"/>
          <w:color w:val="auto"/>
        </w:rPr>
      </w:pPr>
      <w:r>
        <w:rPr>
          <w:rFonts w:ascii="Arial" w:cs="Arial" w:eastAsia="Arial" w:hAnsi="Arial"/>
          <w:sz w:val="15"/>
          <w:szCs w:val="15"/>
          <w:color w:val="auto"/>
        </w:rPr>
        <w:t>There have been no changes to the significant accounting policies disclosed in the Company’s most recent Annual Report on Form 10-K, except as a result of the Financial Accounting Standards Board’s (“FASB”) Accounting Standards Update (“ASU”) No. 2016-02, Leases (ASC 842), as discussed below.</w:t>
      </w:r>
    </w:p>
    <w:p>
      <w:pPr>
        <w:spacing w:after="0" w:line="121" w:lineRule="exact"/>
        <w:rPr>
          <w:sz w:val="20"/>
          <w:szCs w:val="20"/>
          <w:color w:val="auto"/>
        </w:rPr>
      </w:pPr>
    </w:p>
    <w:p>
      <w:pPr>
        <w:ind w:right="80" w:firstLine="511"/>
        <w:spacing w:after="0" w:line="285" w:lineRule="auto"/>
        <w:rPr>
          <w:sz w:val="20"/>
          <w:szCs w:val="20"/>
          <w:color w:val="auto"/>
        </w:rPr>
      </w:pPr>
      <w:r>
        <w:rPr>
          <w:rFonts w:ascii="Arial" w:cs="Arial" w:eastAsia="Arial" w:hAnsi="Arial"/>
          <w:sz w:val="15"/>
          <w:szCs w:val="15"/>
          <w:color w:val="auto"/>
        </w:rPr>
        <w:t>Leases — 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less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w:t>
      </w:r>
    </w:p>
    <w:p>
      <w:pPr>
        <w:spacing w:after="0" w:line="105" w:lineRule="exact"/>
        <w:rPr>
          <w:sz w:val="20"/>
          <w:szCs w:val="20"/>
          <w:color w:val="auto"/>
        </w:rPr>
      </w:pPr>
    </w:p>
    <w:p>
      <w:pPr>
        <w:ind w:right="40" w:firstLine="511"/>
        <w:spacing w:after="0" w:line="267" w:lineRule="auto"/>
        <w:rPr>
          <w:sz w:val="20"/>
          <w:szCs w:val="20"/>
          <w:color w:val="auto"/>
        </w:rPr>
      </w:pPr>
      <w:r>
        <w:rPr>
          <w:rFonts w:ascii="Arial" w:cs="Arial" w:eastAsia="Arial" w:hAnsi="Arial"/>
          <w:sz w:val="16"/>
          <w:szCs w:val="16"/>
          <w:color w:val="auto"/>
        </w:rPr>
        <w:t>In March 2016, the FASB issued ASU No. 2016-02, Leases (Topic ASC 842). Under ASC 842, lessees are required to recognize a right-of-use asset and a right-of-use lease liability for virtually all leases other than those that meet the definition of a short-term lease. For income statement purposes, a dual model was retained, requiring leases to be classified as either operating or finance. Operating leases will result in straight-line expense while finance leases will result in a front-loaded expense pattern (similar to current capital leases). The Company adopted this standard effective October 1, 2019 and elected the package of three practical expedients that permits an entity to a) not reassess whether expired or existing contracts contain leases, b) not reassess lease classification for existing or expired leases, and c) not consider whether previously capitalized initial direct costs would be appropriate under the new standard. At June 30 2020, the Company has recorded right-of-use assets of $16.5 million and right-of-use liabilities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8" w:name="page9"/>
    <w:bookmarkEnd w:id="8"/>
    <w:p>
      <w:pPr>
        <w:ind w:right="460"/>
        <w:spacing w:after="0" w:line="306" w:lineRule="auto"/>
        <w:rPr>
          <w:sz w:val="20"/>
          <w:szCs w:val="20"/>
          <w:color w:val="auto"/>
        </w:rPr>
      </w:pPr>
      <w:r>
        <w:rPr>
          <w:rFonts w:ascii="Arial" w:cs="Arial" w:eastAsia="Arial" w:hAnsi="Arial"/>
          <w:sz w:val="15"/>
          <w:szCs w:val="15"/>
          <w:color w:val="auto"/>
        </w:rPr>
        <w:t>$21.4 million on its Consolidated Balance Sheets for its research and development facility leases in Madison, Wisconsin and San Diego, California, as well as its corporate headquarters lease in Pasadena, California, as discussed further in Note 8 below. The adoption of this standard did not have a material impact on the Company’s Consolidated Statement of Comprehensive Income (Loss) and the Company’s Consolidated Statement of Cash Flows.</w:t>
      </w:r>
    </w:p>
    <w:p>
      <w:pPr>
        <w:spacing w:after="0" w:line="142" w:lineRule="exact"/>
        <w:rPr>
          <w:sz w:val="20"/>
          <w:szCs w:val="20"/>
          <w:color w:val="auto"/>
        </w:rPr>
      </w:pPr>
    </w:p>
    <w:p>
      <w:pPr>
        <w:ind w:firstLine="511"/>
        <w:spacing w:after="0" w:line="253" w:lineRule="auto"/>
        <w:rPr>
          <w:sz w:val="20"/>
          <w:szCs w:val="20"/>
          <w:color w:val="auto"/>
        </w:rPr>
      </w:pPr>
      <w:r>
        <w:rPr>
          <w:rFonts w:ascii="Arial" w:cs="Arial" w:eastAsia="Arial" w:hAnsi="Arial"/>
          <w:sz w:val="17"/>
          <w:szCs w:val="17"/>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ASU 2018-18 becomes effective for the Company in the first quarter of fiscal 2021 with early adoption permitted. The Company does not expect the adoption of this update to have a material effect on its Consolidated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2. </w:t>
      </w:r>
      <w:r>
        <w:rPr>
          <w:rFonts w:ascii="Arial" w:cs="Arial" w:eastAsia="Arial" w:hAnsi="Arial"/>
          <w:sz w:val="17"/>
          <w:szCs w:val="17"/>
          <w:b w:val="1"/>
          <w:bCs w:val="1"/>
          <w:i w:val="1"/>
          <w:iCs w:val="1"/>
          <w:color w:val="auto"/>
        </w:rPr>
        <w:t>COLLABORATION AND LICENSE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Amgen Inc.</w:t>
      </w:r>
    </w:p>
    <w:p>
      <w:pPr>
        <w:spacing w:after="0" w:line="105"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a $10 million milestone payment, and may receive up to $420 million in development, regulatory and sales milestone payments. The Company is further eligible to receive up to low double-digit royalties for sales of products under the AMG 890 (ARO-LPA) Agreement. In July 2019, Amgen informed the Company that it would not be exercising its option for an exclusive license for ARO-AMG1, and as such, there will be no further milestone or royalty payments under the ARO-AMG1 Agreement.</w:t>
      </w:r>
    </w:p>
    <w:p>
      <w:pPr>
        <w:spacing w:after="0" w:line="170" w:lineRule="exact"/>
        <w:rPr>
          <w:sz w:val="20"/>
          <w:szCs w:val="20"/>
          <w:color w:val="auto"/>
        </w:rPr>
      </w:pPr>
    </w:p>
    <w:p>
      <w:pPr>
        <w:ind w:right="40" w:firstLine="511"/>
        <w:spacing w:after="0" w:line="290" w:lineRule="auto"/>
        <w:rPr>
          <w:sz w:val="20"/>
          <w:szCs w:val="20"/>
          <w:color w:val="auto"/>
        </w:rPr>
      </w:pPr>
      <w:r>
        <w:rPr>
          <w:rFonts w:ascii="Arial" w:cs="Arial" w:eastAsia="Arial" w:hAnsi="Arial"/>
          <w:sz w:val="15"/>
          <w:szCs w:val="15"/>
          <w:color w:val="auto"/>
        </w:rPr>
        <w:t>The Company substantially completed its performance obligations under the AMG 890 (ARO-LPA) Agreement and the ARO-AMG1 Agreement. Future milestones and royalties achieved will be recognized in their entirety when earned. In July 2020, Amgen initiated a Phase 2 clinical study, which will result in a $20 million milestone payment to the Company. During the three months ended June 30, 2020 and 2019, the Company recognized $20.0 million and $0 million of Revenue associated with its agreements with Amgen, respectively. During the nine months ended June 30, 2020 and 2019, the Company recognized $20.0 million and $0.3 million of Revenue associated with its agreements with Amgen, respectively. As of June 30, 2020, there were $20.0 million in contract assets recorded as accounts receivable, and $0 contract liabilities recorded as current deferred revenue on the Company’s Consolidated Balance Sheets.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Janssen Pharmaceuticals, Inc.</w:t>
      </w:r>
    </w:p>
    <w:p>
      <w:pPr>
        <w:spacing w:after="0" w:line="105" w:lineRule="exact"/>
        <w:rPr>
          <w:sz w:val="20"/>
          <w:szCs w:val="20"/>
          <w:color w:val="auto"/>
        </w:rPr>
      </w:pPr>
    </w:p>
    <w:p>
      <w:pPr>
        <w:ind w:right="20" w:firstLine="511"/>
        <w:spacing w:after="0" w:line="263" w:lineRule="auto"/>
        <w:rPr>
          <w:sz w:val="20"/>
          <w:szCs w:val="20"/>
          <w:color w:val="auto"/>
        </w:rPr>
      </w:pPr>
      <w:r>
        <w:rPr>
          <w:rFonts w:ascii="Arial" w:cs="Arial" w:eastAsia="Arial" w:hAnsi="Arial"/>
          <w:sz w:val="16"/>
          <w:szCs w:val="16"/>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research and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 million as an upfront payment, $75 million in the form of an equity investment by JJDC in Arrowhead common stock under the JJDC Stock Purchase Agreement, and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9" w:name="page10"/>
    <w:bookmarkEnd w:id="9"/>
    <w:p>
      <w:pPr>
        <w:ind w:firstLine="511"/>
        <w:spacing w:after="0" w:line="266" w:lineRule="auto"/>
        <w:rPr>
          <w:sz w:val="20"/>
          <w:szCs w:val="20"/>
          <w:color w:val="auto"/>
        </w:rPr>
      </w:pPr>
      <w:r>
        <w:rPr>
          <w:rFonts w:ascii="Arial" w:cs="Arial" w:eastAsia="Arial" w:hAnsi="Arial"/>
          <w:sz w:val="16"/>
          <w:szCs w:val="16"/>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Company determined the transaction price totaled approximately $252.6 million which includes the upfront payment, the premium paid by JJDC for its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equity investment in the Company, the two $25 million milestone payments earned and estimated payments for reimbursable Janssen R&amp;D services to be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performed. The Company has allocated the total $252.6 million initial transaction price to its one distinct performance obligation for the JNJ-3989 (ARO-HBV) license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and the associated Janssen R&amp;D Services. This revenue will be recognized using a proportional performance method (based on actual labor hours versus estimated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total labor hours) beginning in October 2018 and ending as the Company’s efforts in overseeing the ongoing phase 1/2 clinical trial are completed. During the three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months ended June 30, 2020 and 2019, the Company recognized approximately $6.9 million and $42.3 million of Revenue associated with its agreements with Janssen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and JJDC, respectively. During the nine months ended June 30, 2020 and 2019, the Company recognized approximately $57.9 million and $124.8 million of Revenue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its agreements with Janssen and JJDC, respectively. As of June 30, 2020, there were $0 in contract assets recorded as accounts receivable, and $26.3</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million of contract liabilities recorded as current deferred revenue on the Company’s Consolidated Balance Sheets. The $26.3 million of current deferred revenue is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driven by the upfront payment, the premium paid by JJDC for its equity investment in the Company, and the two $25 million milestone payments earned, net of revenue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recognized to date.</w:t>
      </w:r>
    </w:p>
    <w:p>
      <w:pPr>
        <w:spacing w:after="0" w:line="193" w:lineRule="exact"/>
        <w:rPr>
          <w:sz w:val="20"/>
          <w:szCs w:val="20"/>
          <w:color w:val="auto"/>
        </w:rPr>
      </w:pPr>
    </w:p>
    <w:p>
      <w:pPr>
        <w:ind w:right="40" w:firstLine="511"/>
        <w:spacing w:after="0" w:line="297" w:lineRule="auto"/>
        <w:rPr>
          <w:sz w:val="20"/>
          <w:szCs w:val="20"/>
          <w:color w:val="auto"/>
        </w:rPr>
      </w:pPr>
      <w:r>
        <w:rPr>
          <w:rFonts w:ascii="Arial" w:cs="Arial" w:eastAsia="Arial" w:hAnsi="Arial"/>
          <w:sz w:val="15"/>
          <w:szCs w:val="15"/>
          <w:color w:val="auto"/>
        </w:rPr>
        <w:t>Janssen has also selected the first of the three targets under the Janssen Collaboration Agreement, now referred to as ARO-JNJ1, and the Company has begun to conduct its discovery, optimization and preclinical research and development of ARO-JNJ1. All costs and labor hours spent by the Company will be entirely funded by Janssen. During the three months ended June 30, 2020 and 2019, the Company recognized approximately $0.4 million and $0.4 million of Revenue associated with its efforts on the ARO-JNJ1 candidate, respectively. During the nine months ended June 30, 2020 and 2019, the Company recognized $2.4 million and $0.4 million of Revenue associated with these efforts on the ARO-JNJ1 candidate, respectively. As of June 30, 2020, there were $1.7 million of contract assets recorded as accounts receivable, and $0 of contract liabilities recorded as current deferred revenue on the Company’s Consolidated Balance Sheets.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3. </w:t>
      </w:r>
      <w:r>
        <w:rPr>
          <w:rFonts w:ascii="Arial" w:cs="Arial" w:eastAsia="Arial" w:hAnsi="Arial"/>
          <w:sz w:val="17"/>
          <w:szCs w:val="17"/>
          <w:b w:val="1"/>
          <w:bCs w:val="1"/>
          <w:i w:val="1"/>
          <w:iCs w:val="1"/>
          <w:color w:val="auto"/>
        </w:rPr>
        <w:t>PROPERTY AND EQUIPMENT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Company’s major classes of property and equipment:</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September 30,</w:t>
            </w:r>
          </w:p>
        </w:tc>
      </w:tr>
      <w:tr>
        <w:trPr>
          <w:trHeight w:val="158"/>
        </w:trPr>
        <w:tc>
          <w:tcPr>
            <w:tcW w:w="5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05"/>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Computers, office equipment and furniture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661,927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637,577</w:t>
            </w:r>
          </w:p>
        </w:tc>
        <w:tc>
          <w:tcPr>
            <w:tcW w:w="80" w:type="dxa"/>
            <w:vAlign w:val="bottom"/>
            <w:shd w:val="clear" w:color="auto" w:fill="CFF0FC"/>
          </w:tcPr>
          <w:p>
            <w:pPr>
              <w:spacing w:after="0"/>
              <w:rPr>
                <w:sz w:val="17"/>
                <w:szCs w:val="17"/>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7"/>
                <w:szCs w:val="17"/>
                <w:color w:val="auto"/>
              </w:rPr>
              <w:t>Research equipment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19,514,871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12,932,304</w:t>
            </w:r>
          </w:p>
        </w:tc>
        <w:tc>
          <w:tcPr>
            <w:tcW w:w="80" w:type="dxa"/>
            <w:vAlign w:val="bottom"/>
          </w:tcPr>
          <w:p>
            <w:pPr>
              <w:spacing w:after="0"/>
              <w:rPr>
                <w:sz w:val="18"/>
                <w:szCs w:val="18"/>
                <w:color w:val="auto"/>
              </w:rPr>
            </w:pPr>
          </w:p>
        </w:tc>
      </w:tr>
      <w:tr>
        <w:trPr>
          <w:trHeight w:val="21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Software</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293,189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147,254</w:t>
            </w:r>
          </w:p>
        </w:tc>
        <w:tc>
          <w:tcPr>
            <w:tcW w:w="80" w:type="dxa"/>
            <w:vAlign w:val="bottom"/>
            <w:shd w:val="clear" w:color="auto" w:fill="CFF0FC"/>
          </w:tcPr>
          <w:p>
            <w:pPr>
              <w:spacing w:after="0"/>
              <w:rPr>
                <w:sz w:val="18"/>
                <w:szCs w:val="18"/>
                <w:color w:val="auto"/>
              </w:rPr>
            </w:pPr>
          </w:p>
        </w:tc>
      </w:tr>
      <w:tr>
        <w:trPr>
          <w:trHeight w:val="213"/>
        </w:trPr>
        <w:tc>
          <w:tcPr>
            <w:tcW w:w="5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Leasehold improvements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24,883,656</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21,579,415</w:t>
            </w:r>
          </w:p>
        </w:tc>
        <w:tc>
          <w:tcPr>
            <w:tcW w:w="80" w:type="dxa"/>
            <w:vAlign w:val="bottom"/>
            <w:tcBorders>
              <w:bottom w:val="single" w:sz="8" w:color="CFF0FC"/>
            </w:tcBorders>
          </w:tcPr>
          <w:p>
            <w:pPr>
              <w:spacing w:after="0"/>
              <w:rPr>
                <w:sz w:val="18"/>
                <w:szCs w:val="18"/>
                <w:color w:val="auto"/>
              </w:rPr>
            </w:pPr>
          </w:p>
        </w:tc>
      </w:tr>
      <w:tr>
        <w:trPr>
          <w:trHeight w:val="206"/>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Total gross fixed assets</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45,353,643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35,296,550</w:t>
            </w:r>
          </w:p>
        </w:tc>
        <w:tc>
          <w:tcPr>
            <w:tcW w:w="80" w:type="dxa"/>
            <w:vAlign w:val="bottom"/>
            <w:shd w:val="clear" w:color="auto" w:fill="CFF0FC"/>
          </w:tcPr>
          <w:p>
            <w:pPr>
              <w:spacing w:after="0"/>
              <w:rPr>
                <w:sz w:val="17"/>
                <w:szCs w:val="17"/>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(14,963,936)</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(12,081,651)</w:t>
            </w:r>
          </w:p>
        </w:tc>
      </w:tr>
      <w:tr>
        <w:trPr>
          <w:trHeight w:val="205"/>
        </w:trPr>
        <w:tc>
          <w:tcPr>
            <w:tcW w:w="53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30,389,707</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23,214,899</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0" w:firstLine="511"/>
        <w:spacing w:after="0" w:line="256" w:lineRule="auto"/>
        <w:rPr>
          <w:sz w:val="20"/>
          <w:szCs w:val="20"/>
          <w:color w:val="auto"/>
        </w:rPr>
      </w:pPr>
      <w:r>
        <w:rPr>
          <w:rFonts w:ascii="Arial" w:cs="Arial" w:eastAsia="Arial" w:hAnsi="Arial"/>
          <w:sz w:val="17"/>
          <w:szCs w:val="17"/>
          <w:color w:val="auto"/>
        </w:rPr>
        <w:t>Depreciation and amortization expense for property and equipment for the three months ended June 30, 2020 and 2019 was $1,111,293 and $578,342, respectively. Depreciation and amortization expense for property and equipment for the nine months ended June 30, 2020 and 2019 was $2,892,551 and $2,081,447, respectively.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 xml:space="preserve">NOTE 4. </w:t>
      </w:r>
      <w:r>
        <w:rPr>
          <w:rFonts w:ascii="Arial" w:cs="Arial" w:eastAsia="Arial" w:hAnsi="Arial"/>
          <w:sz w:val="17"/>
          <w:szCs w:val="17"/>
          <w:b w:val="1"/>
          <w:bCs w:val="1"/>
          <w:i w:val="1"/>
          <w:iCs w:val="1"/>
          <w:color w:val="auto"/>
        </w:rPr>
        <w:t>INVESTMENTS</w:t>
      </w:r>
    </w:p>
    <w:p>
      <w:pPr>
        <w:spacing w:after="0" w:line="109" w:lineRule="exact"/>
        <w:rPr>
          <w:sz w:val="20"/>
          <w:szCs w:val="20"/>
          <w:color w:val="auto"/>
        </w:rPr>
      </w:pPr>
    </w:p>
    <w:p>
      <w:pPr>
        <w:ind w:firstLine="511"/>
        <w:spacing w:after="0" w:line="273" w:lineRule="auto"/>
        <w:rPr>
          <w:sz w:val="20"/>
          <w:szCs w:val="20"/>
          <w:color w:val="auto"/>
        </w:rPr>
      </w:pPr>
      <w:r>
        <w:rPr>
          <w:rFonts w:ascii="Arial" w:cs="Arial" w:eastAsia="Arial" w:hAnsi="Arial"/>
          <w:sz w:val="16"/>
          <w:szCs w:val="16"/>
          <w:color w:val="auto"/>
        </w:rPr>
        <w:t>The Company invests a portion of its excess cash balances in short-term and long-term debt securities. Investments at June 30, 2020 consisted of corporate bonds with maturities remaining of less than 36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June 30, 2020, all investments were classified as held-to-maturity securities.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Company’s short-term and long-term investments as of June 30, 2020 and September 30, 2019.</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As of June 30, 2020</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5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03"/>
              <w:spacing w:after="0"/>
              <w:rPr>
                <w:sz w:val="20"/>
                <w:szCs w:val="20"/>
                <w:color w:val="auto"/>
              </w:rPr>
            </w:pPr>
            <w:r>
              <w:rPr>
                <w:rFonts w:ascii="Arial" w:cs="Arial" w:eastAsia="Arial" w:hAnsi="Arial"/>
                <w:sz w:val="13"/>
                <w:szCs w:val="13"/>
                <w:b w:val="1"/>
                <w:bCs w:val="1"/>
                <w:color w:val="auto"/>
              </w:rPr>
              <w:t>Amortized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ind w:left="220"/>
              <w:spacing w:after="0" w:line="123"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25"/>
              <w:spacing w:after="0" w:line="123"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ind w:left="80"/>
              <w:spacing w:after="0" w:line="138"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
              <w:spacing w:after="0" w:line="138" w:lineRule="exact"/>
              <w:rPr>
                <w:sz w:val="20"/>
                <w:szCs w:val="20"/>
                <w:color w:val="auto"/>
              </w:rPr>
            </w:pPr>
            <w:r>
              <w:rPr>
                <w:rFonts w:ascii="Arial" w:cs="Arial" w:eastAsia="Arial" w:hAnsi="Arial"/>
                <w:sz w:val="13"/>
                <w:szCs w:val="13"/>
                <w:b w:val="1"/>
                <w:bCs w:val="1"/>
                <w:color w:val="auto"/>
                <w:w w:val="94"/>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41"/>
              <w:spacing w:after="0"/>
              <w:rPr>
                <w:sz w:val="20"/>
                <w:szCs w:val="20"/>
                <w:color w:val="auto"/>
              </w:rPr>
            </w:pPr>
            <w:r>
              <w:rPr>
                <w:rFonts w:ascii="Arial" w:cs="Arial" w:eastAsia="Arial" w:hAnsi="Arial"/>
                <w:sz w:val="13"/>
                <w:szCs w:val="13"/>
                <w:b w:val="1"/>
                <w:bCs w:val="1"/>
                <w:color w:val="auto"/>
              </w:rPr>
              <w:t>Fair Value</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2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Gains</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0"/>
              </w:rPr>
              <w:t>Losses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Commercial notes (due within one year)</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67,709,263</w:t>
            </w:r>
          </w:p>
        </w:tc>
        <w:tc>
          <w:tcPr>
            <w:tcW w:w="38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ind w:left="240"/>
              <w:spacing w:after="0"/>
              <w:rPr>
                <w:sz w:val="20"/>
                <w:szCs w:val="20"/>
                <w:color w:val="auto"/>
              </w:rPr>
            </w:pPr>
            <w:r>
              <w:rPr>
                <w:rFonts w:ascii="Arial" w:cs="Arial" w:eastAsia="Arial" w:hAnsi="Arial"/>
                <w:sz w:val="17"/>
                <w:szCs w:val="17"/>
                <w:color w:val="auto"/>
                <w:w w:val="79"/>
              </w:rPr>
              <w:t>1,188,416</w:t>
            </w:r>
          </w:p>
        </w:tc>
        <w:tc>
          <w:tcPr>
            <w:tcW w:w="36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lef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68,897,679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Commercial notes (due within one through three years)</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20" w:type="dxa"/>
            <w:vAlign w:val="bottom"/>
            <w:vMerge w:val="continue"/>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7"/>
              </w:rPr>
              <w:t>177,529,881</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ind w:left="240"/>
              <w:spacing w:after="0"/>
              <w:rPr>
                <w:sz w:val="20"/>
                <w:szCs w:val="20"/>
                <w:color w:val="auto"/>
              </w:rPr>
            </w:pPr>
            <w:r>
              <w:rPr>
                <w:rFonts w:ascii="Arial" w:cs="Arial" w:eastAsia="Arial" w:hAnsi="Arial"/>
                <w:sz w:val="17"/>
                <w:szCs w:val="17"/>
                <w:color w:val="auto"/>
                <w:w w:val="79"/>
              </w:rPr>
              <w:t>5,845,177</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(14,833)</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3"/>
              </w:rPr>
              <w:t>183,360,225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20" w:type="dxa"/>
            <w:vAlign w:val="bottom"/>
            <w:vMerge w:val="continue"/>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245,239,144</w:t>
            </w:r>
          </w:p>
        </w:tc>
        <w:tc>
          <w:tcPr>
            <w:tcW w:w="38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ind w:left="240"/>
              <w:spacing w:after="0"/>
              <w:rPr>
                <w:sz w:val="20"/>
                <w:szCs w:val="20"/>
                <w:color w:val="auto"/>
              </w:rPr>
            </w:pPr>
            <w:r>
              <w:rPr>
                <w:rFonts w:ascii="Arial" w:cs="Arial" w:eastAsia="Arial" w:hAnsi="Arial"/>
                <w:sz w:val="17"/>
                <w:szCs w:val="17"/>
                <w:color w:val="auto"/>
                <w:w w:val="79"/>
              </w:rPr>
              <w:t>7,033,593</w:t>
            </w:r>
          </w:p>
        </w:tc>
        <w:tc>
          <w:tcPr>
            <w:tcW w:w="360" w:type="dxa"/>
            <w:vAlign w:val="bottom"/>
            <w:tcBorders>
              <w:lef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(14,833)</w:t>
            </w:r>
          </w:p>
        </w:tc>
        <w:tc>
          <w:tcPr>
            <w:tcW w:w="360" w:type="dxa"/>
            <w:vAlign w:val="bottom"/>
            <w:tcBorders>
              <w:lef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252,257,904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auto"/>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auto"/>
            </w:tcBorders>
          </w:tcPr>
          <w:p>
            <w:pPr>
              <w:spacing w:after="0" w:line="20" w:lineRule="exact"/>
              <w:rPr>
                <w:sz w:val="1"/>
                <w:szCs w:val="1"/>
                <w:color w:val="auto"/>
              </w:rPr>
            </w:pPr>
          </w:p>
        </w:tc>
        <w:tc>
          <w:tcPr>
            <w:tcW w:w="980" w:type="dxa"/>
            <w:vAlign w:val="bottom"/>
            <w:tcBorders>
              <w:top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As of September 30, 2019</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163"/>
              <w:spacing w:after="0"/>
              <w:rPr>
                <w:sz w:val="20"/>
                <w:szCs w:val="20"/>
                <w:color w:val="auto"/>
              </w:rPr>
            </w:pPr>
            <w:r>
              <w:rPr>
                <w:rFonts w:ascii="Arial" w:cs="Arial" w:eastAsia="Arial" w:hAnsi="Arial"/>
                <w:sz w:val="13"/>
                <w:szCs w:val="13"/>
                <w:b w:val="1"/>
                <w:bCs w:val="1"/>
                <w:color w:val="auto"/>
              </w:rPr>
              <w:t>Amortized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106"/>
              <w:spacing w:after="0" w:line="123"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105"/>
              <w:spacing w:after="0" w:line="123"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106"/>
              <w:spacing w:after="0" w:line="138" w:lineRule="exact"/>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85"/>
              <w:spacing w:after="0" w:line="138" w:lineRule="exact"/>
              <w:rPr>
                <w:sz w:val="20"/>
                <w:szCs w:val="20"/>
                <w:color w:val="auto"/>
              </w:rPr>
            </w:pPr>
            <w:r>
              <w:rPr>
                <w:rFonts w:ascii="Arial" w:cs="Arial" w:eastAsia="Arial" w:hAnsi="Arial"/>
                <w:sz w:val="13"/>
                <w:szCs w:val="13"/>
                <w:b w:val="1"/>
                <w:bCs w:val="1"/>
                <w:color w:val="auto"/>
                <w:w w:val="94"/>
              </w:rPr>
              <w:t>Unrealized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3"/>
                <w:szCs w:val="13"/>
                <w:b w:val="1"/>
                <w:bCs w:val="1"/>
                <w:color w:val="auto"/>
              </w:rPr>
              <w:t>Fair Value</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2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Cost</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93"/>
              </w:rPr>
              <w:t>Gains</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5"/>
              <w:spacing w:after="0"/>
              <w:rPr>
                <w:sz w:val="20"/>
                <w:szCs w:val="20"/>
                <w:color w:val="auto"/>
              </w:rPr>
            </w:pPr>
            <w:r>
              <w:rPr>
                <w:rFonts w:ascii="Arial" w:cs="Arial" w:eastAsia="Arial" w:hAnsi="Arial"/>
                <w:sz w:val="13"/>
                <w:szCs w:val="13"/>
                <w:b w:val="1"/>
                <w:bCs w:val="1"/>
                <w:color w:val="auto"/>
                <w:w w:val="80"/>
              </w:rPr>
              <w:t>Losses</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Commercial notes (due within one year)</w:t>
            </w: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36,899,894</w:t>
            </w:r>
          </w:p>
        </w:tc>
        <w:tc>
          <w:tcPr>
            <w:tcW w:w="38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222,584</w:t>
            </w:r>
          </w:p>
        </w:tc>
        <w:tc>
          <w:tcPr>
            <w:tcW w:w="3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7"/>
                <w:szCs w:val="17"/>
                <w:color w:val="auto"/>
                <w:w w:val="82"/>
              </w:rPr>
              <w:t>—</w:t>
            </w:r>
          </w:p>
        </w:tc>
        <w:tc>
          <w:tcPr>
            <w:tcW w:w="3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37,122,478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120"/>
              <w:spacing w:after="0"/>
              <w:rPr>
                <w:sz w:val="20"/>
                <w:szCs w:val="20"/>
                <w:color w:val="auto"/>
              </w:rPr>
            </w:pPr>
            <w:r>
              <w:rPr>
                <w:rFonts w:ascii="Arial" w:cs="Arial" w:eastAsia="Arial" w:hAnsi="Arial"/>
                <w:sz w:val="17"/>
                <w:szCs w:val="17"/>
                <w:color w:val="auto"/>
              </w:rPr>
              <w:t>Commercial notes (due within one through three years)</w:t>
            </w:r>
          </w:p>
        </w:tc>
        <w:tc>
          <w:tcPr>
            <w:tcW w:w="1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20" w:type="dxa"/>
            <w:vAlign w:val="bottom"/>
            <w:vMerge w:val="continue"/>
          </w:tcPr>
          <w:p>
            <w:pPr>
              <w:spacing w:after="0"/>
              <w:rPr>
                <w:sz w:val="17"/>
                <w:szCs w:val="17"/>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44,175,993</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875,258</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ind w:left="680"/>
              <w:spacing w:after="0"/>
              <w:rPr>
                <w:sz w:val="20"/>
                <w:szCs w:val="20"/>
                <w:color w:val="auto"/>
              </w:rPr>
            </w:pPr>
            <w:r>
              <w:rPr>
                <w:rFonts w:ascii="Arial" w:cs="Arial" w:eastAsia="Arial" w:hAnsi="Arial"/>
                <w:sz w:val="17"/>
                <w:szCs w:val="17"/>
                <w:color w:val="auto"/>
                <w:w w:val="82"/>
              </w:rPr>
              <w:t>—</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45,051,251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120"/>
              <w:spacing w:after="0"/>
              <w:rPr>
                <w:sz w:val="20"/>
                <w:szCs w:val="20"/>
                <w:color w:val="auto"/>
              </w:rPr>
            </w:pPr>
            <w:r>
              <w:rPr>
                <w:rFonts w:ascii="Arial" w:cs="Arial" w:eastAsia="Arial" w:hAnsi="Arial"/>
                <w:sz w:val="17"/>
                <w:szCs w:val="17"/>
                <w:color w:val="auto"/>
              </w:rPr>
              <w:t>Total</w:t>
            </w:r>
          </w:p>
        </w:tc>
        <w:tc>
          <w:tcPr>
            <w:tcW w:w="1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20" w:type="dxa"/>
            <w:vAlign w:val="bottom"/>
            <w:vMerge w:val="continue"/>
            <w:shd w:val="clear" w:color="auto" w:fill="CFF0FC"/>
          </w:tcPr>
          <w:p>
            <w:pPr>
              <w:spacing w:after="0"/>
              <w:rPr>
                <w:sz w:val="17"/>
                <w:szCs w:val="17"/>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81,075,887</w:t>
            </w:r>
          </w:p>
        </w:tc>
        <w:tc>
          <w:tcPr>
            <w:tcW w:w="38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1,097,842</w:t>
            </w:r>
          </w:p>
        </w:tc>
        <w:tc>
          <w:tcPr>
            <w:tcW w:w="3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7"/>
                <w:szCs w:val="17"/>
                <w:color w:val="auto"/>
                <w:w w:val="82"/>
              </w:rPr>
              <w:t>—</w:t>
            </w:r>
          </w:p>
        </w:tc>
        <w:tc>
          <w:tcPr>
            <w:tcW w:w="360" w:type="dxa"/>
            <w:vAlign w:val="bottom"/>
            <w:tcBorders>
              <w:lef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82,173,729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5. </w:t>
      </w:r>
      <w:r>
        <w:rPr>
          <w:rFonts w:ascii="Arial" w:cs="Arial" w:eastAsia="Arial" w:hAnsi="Arial"/>
          <w:sz w:val="17"/>
          <w:szCs w:val="17"/>
          <w:b w:val="1"/>
          <w:bCs w:val="1"/>
          <w:i w:val="1"/>
          <w:iCs w:val="1"/>
          <w:color w:val="auto"/>
        </w:rPr>
        <w:t>INTANGIBLE ASSETS</w:t>
      </w:r>
    </w:p>
    <w:p>
      <w:pPr>
        <w:spacing w:after="0" w:line="109" w:lineRule="exact"/>
        <w:rPr>
          <w:sz w:val="20"/>
          <w:szCs w:val="20"/>
          <w:color w:val="auto"/>
        </w:rPr>
      </w:pPr>
    </w:p>
    <w:p>
      <w:pPr>
        <w:ind w:right="60" w:firstLine="511"/>
        <w:spacing w:after="0" w:line="267" w:lineRule="auto"/>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$791,495. The patents associated with the Novartis RNAi asset acquisition are being amortized over the estimated life remaining at the time of acquisition, which was 14 years, and the accumulated amortization of the assets is $8,277,460. Amortization expense for the three months ended June 30, 2020 and 2019 was $425,107 and $425,107, respectively. Amortization expense for the nine months ended June 30, 2020 and 2019 was $1,275,322 and $1,275,322, respectively. Amortization expense is expected to be $425,107 for the remainder of fiscal 2020, $1,700,429 in 2021, $1,700,429 in 2022, $1,700,429 in 2023, $1,700,429 in 2024, and $8,561,435 thereafter.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details on the Company’s intangible asset balances:</w:t>
      </w:r>
    </w:p>
    <w:p>
      <w:pPr>
        <w:spacing w:after="0" w:line="223"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Intangible</w:t>
            </w:r>
          </w:p>
        </w:tc>
      </w:tr>
      <w:tr>
        <w:trPr>
          <w:trHeight w:val="138"/>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3"/>
              </w:rPr>
              <w:t>assets</w:t>
            </w:r>
          </w:p>
        </w:tc>
      </w:tr>
      <w:tr>
        <w:trPr>
          <w:trHeight w:val="138"/>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subject to</w:t>
            </w:r>
          </w:p>
        </w:tc>
      </w:tr>
      <w:tr>
        <w:trPr>
          <w:trHeight w:val="158"/>
        </w:trPr>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amortization</w:t>
            </w:r>
          </w:p>
        </w:tc>
      </w:tr>
      <w:tr>
        <w:trPr>
          <w:trHeight w:val="205"/>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September 30,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17,063,580</w:t>
            </w:r>
          </w:p>
        </w:tc>
        <w:tc>
          <w:tcPr>
            <w:tcW w:w="80" w:type="dxa"/>
            <w:vAlign w:val="bottom"/>
            <w:tcBorders>
              <w:top w:val="single" w:sz="8" w:color="CFF0FC"/>
            </w:tcBorders>
            <w:shd w:val="clear" w:color="auto" w:fill="CFF0FC"/>
          </w:tcPr>
          <w:p>
            <w:pPr>
              <w:spacing w:after="0"/>
              <w:rPr>
                <w:sz w:val="17"/>
                <w:szCs w:val="17"/>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7"/>
                <w:szCs w:val="17"/>
                <w:color w:val="auto"/>
              </w:rPr>
              <w:t>Impairment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3"/>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Amortization</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(1,275,322)</w:t>
            </w:r>
          </w:p>
        </w:tc>
      </w:tr>
      <w:tr>
        <w:trPr>
          <w:trHeight w:val="205"/>
        </w:trPr>
        <w:tc>
          <w:tcPr>
            <w:tcW w:w="5500" w:type="dxa"/>
            <w:vAlign w:val="bottom"/>
          </w:tcPr>
          <w:p>
            <w:pPr>
              <w:spacing w:after="0"/>
              <w:rPr>
                <w:sz w:val="20"/>
                <w:szCs w:val="20"/>
                <w:color w:val="auto"/>
              </w:rPr>
            </w:pPr>
            <w:r>
              <w:rPr>
                <w:rFonts w:ascii="Arial" w:cs="Arial" w:eastAsia="Arial" w:hAnsi="Arial"/>
                <w:sz w:val="17"/>
                <w:szCs w:val="17"/>
                <w:color w:val="auto"/>
              </w:rPr>
              <w:t>Balance at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15,788,258</w:t>
            </w:r>
          </w:p>
        </w:tc>
        <w:tc>
          <w:tcPr>
            <w:tcW w:w="8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6. </w:t>
      </w:r>
      <w:r>
        <w:rPr>
          <w:rFonts w:ascii="Arial" w:cs="Arial" w:eastAsia="Arial" w:hAnsi="Arial"/>
          <w:sz w:val="17"/>
          <w:szCs w:val="17"/>
          <w:b w:val="1"/>
          <w:bCs w:val="1"/>
          <w:i w:val="1"/>
          <w:iCs w:val="1"/>
          <w:color w:val="auto"/>
        </w:rPr>
        <w:t>STOCKHOLDERS’ EQUITY</w:t>
      </w:r>
    </w:p>
    <w:p>
      <w:pPr>
        <w:spacing w:after="0" w:line="109" w:lineRule="exact"/>
        <w:rPr>
          <w:sz w:val="20"/>
          <w:szCs w:val="20"/>
          <w:color w:val="auto"/>
        </w:rPr>
      </w:pPr>
    </w:p>
    <w:p>
      <w:pPr>
        <w:jc w:val="both"/>
        <w:ind w:right="60" w:firstLine="511"/>
        <w:spacing w:after="0" w:line="267" w:lineRule="auto"/>
        <w:rPr>
          <w:sz w:val="20"/>
          <w:szCs w:val="20"/>
          <w:color w:val="auto"/>
        </w:rPr>
      </w:pPr>
      <w:r>
        <w:rPr>
          <w:rFonts w:ascii="Arial" w:cs="Arial" w:eastAsia="Arial" w:hAnsi="Arial"/>
          <w:sz w:val="17"/>
          <w:szCs w:val="17"/>
          <w:color w:val="auto"/>
        </w:rPr>
        <w:t>At June 30, 2020, the Company had a total of 150,000,000 shares of capital stock authorized for issuance, consisting of 145,000,000 shares of Common Stock, par value $0.001 per share, and 5,000,000 shares of Preferred Stock, par value $0.001 per share.</w:t>
      </w:r>
    </w:p>
    <w:p>
      <w:pPr>
        <w:spacing w:after="0" w:line="166" w:lineRule="exact"/>
        <w:rPr>
          <w:sz w:val="20"/>
          <w:szCs w:val="20"/>
          <w:color w:val="auto"/>
        </w:rPr>
      </w:pPr>
    </w:p>
    <w:p>
      <w:pPr>
        <w:jc w:val="both"/>
        <w:ind w:right="80" w:firstLine="511"/>
        <w:spacing w:after="0" w:line="256" w:lineRule="auto"/>
        <w:rPr>
          <w:sz w:val="20"/>
          <w:szCs w:val="20"/>
          <w:color w:val="auto"/>
        </w:rPr>
      </w:pPr>
      <w:r>
        <w:rPr>
          <w:rFonts w:ascii="Arial" w:cs="Arial" w:eastAsia="Arial" w:hAnsi="Arial"/>
          <w:sz w:val="17"/>
          <w:szCs w:val="17"/>
          <w:color w:val="auto"/>
        </w:rPr>
        <w:t>At June 30, 2020, 102,250,872 shares of Common Stock were outstanding. At June 30, 2020, 8,252,796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180"/>
          </w:cols>
          <w:pgMar w:left="320" w:top="273" w:right="399" w:bottom="1440" w:gutter="0" w:footer="0" w:header="0"/>
        </w:sectPr>
      </w:pPr>
    </w:p>
    <w:bookmarkStart w:id="11" w:name="page12"/>
    <w:bookmarkEnd w:id="11"/>
    <w:p>
      <w:pPr>
        <w:jc w:val="both"/>
        <w:ind w:right="160" w:firstLine="511"/>
        <w:spacing w:after="0" w:line="256" w:lineRule="auto"/>
        <w:rPr>
          <w:sz w:val="20"/>
          <w:szCs w:val="20"/>
          <w:color w:val="auto"/>
        </w:rPr>
      </w:pPr>
      <w:r>
        <w:rPr>
          <w:rFonts w:ascii="Arial" w:cs="Arial" w:eastAsia="Arial" w:hAnsi="Arial"/>
          <w:sz w:val="17"/>
          <w:szCs w:val="17"/>
          <w:color w:val="auto"/>
        </w:rPr>
        <w:t>In December 2019, the Company sold 4,600,000 shares of its Common Stock in a public offering at a price of $58.00 per share. The aggregate purchase price paid by the investors for the Common Stock was $266.8 million, and the Company received net proceeds of $250.5 million after deducting advisory fees and offering expenses.</w:t>
      </w:r>
    </w:p>
    <w:p>
      <w:pPr>
        <w:spacing w:after="0" w:line="176" w:lineRule="exact"/>
        <w:rPr>
          <w:sz w:val="20"/>
          <w:szCs w:val="20"/>
          <w:color w:val="auto"/>
        </w:rPr>
      </w:pPr>
    </w:p>
    <w:p>
      <w:pPr>
        <w:ind w:firstLine="511"/>
        <w:spacing w:after="0" w:line="292" w:lineRule="auto"/>
        <w:rPr>
          <w:sz w:val="20"/>
          <w:szCs w:val="20"/>
          <w:color w:val="auto"/>
        </w:rPr>
      </w:pPr>
      <w:r>
        <w:rPr>
          <w:rFonts w:ascii="Arial" w:cs="Arial" w:eastAsia="Arial" w:hAnsi="Arial"/>
          <w:sz w:val="15"/>
          <w:szCs w:val="15"/>
          <w:color w:val="auto"/>
        </w:rPr>
        <w:t>Effective August 5, 2020, the Company entered into an Open Market Sale Agreement (the “ATM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ATM Agreement. The Company will pay Jefferies LLC a commission of up to 3.0% of the aggregate gross proceeds received from all sales of the common stock under the ATM Agreement. Unless otherwise terminated, the ATM Agreement continues until the earlier of selling all shares available under the ATM Agreement or December 2, 2022. No sales have been made under the ATM Agreement.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7. </w:t>
      </w:r>
      <w:r>
        <w:rPr>
          <w:rFonts w:ascii="Arial" w:cs="Arial" w:eastAsia="Arial" w:hAnsi="Arial"/>
          <w:sz w:val="17"/>
          <w:szCs w:val="17"/>
          <w:b w:val="1"/>
          <w:bCs w:val="1"/>
          <w:i w:val="1"/>
          <w:iCs w:val="1"/>
          <w:color w:val="auto"/>
        </w:rPr>
        <w:t>COMMITMENTS AND CONTINGENCIES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w:t>
      </w:r>
    </w:p>
    <w:p>
      <w:pPr>
        <w:spacing w:after="0" w:line="105" w:lineRule="exact"/>
        <w:rPr>
          <w:sz w:val="20"/>
          <w:szCs w:val="20"/>
          <w:color w:val="auto"/>
        </w:rPr>
      </w:pPr>
    </w:p>
    <w:p>
      <w:pPr>
        <w:ind w:right="400" w:firstLine="511"/>
        <w:spacing w:after="0" w:line="256" w:lineRule="auto"/>
        <w:rPr>
          <w:sz w:val="20"/>
          <w:szCs w:val="20"/>
          <w:color w:val="auto"/>
        </w:rPr>
      </w:pPr>
      <w:r>
        <w:rPr>
          <w:rFonts w:ascii="Arial" w:cs="Arial" w:eastAsia="Arial" w:hAnsi="Arial"/>
          <w:sz w:val="17"/>
          <w:szCs w:val="17"/>
          <w:color w:val="auto"/>
        </w:rPr>
        <w:t>On occasion,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June 30, 2020.</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Commitments</w:t>
      </w:r>
    </w:p>
    <w:p>
      <w:pPr>
        <w:spacing w:after="0" w:line="105" w:lineRule="exact"/>
        <w:rPr>
          <w:sz w:val="20"/>
          <w:szCs w:val="20"/>
          <w:color w:val="auto"/>
        </w:rPr>
      </w:pPr>
    </w:p>
    <w:p>
      <w:pPr>
        <w:ind w:firstLine="511"/>
        <w:spacing w:after="0" w:line="256" w:lineRule="auto"/>
        <w:rPr>
          <w:sz w:val="20"/>
          <w:szCs w:val="20"/>
          <w:color w:val="auto"/>
        </w:rPr>
      </w:pPr>
      <w:r>
        <w:rPr>
          <w:rFonts w:ascii="Arial" w:cs="Arial" w:eastAsia="Arial" w:hAnsi="Arial"/>
          <w:sz w:val="17"/>
          <w:szCs w:val="17"/>
          <w:color w:val="auto"/>
        </w:rPr>
        <w:t>In the normal course of business, the Company enters into various purchase commitments for the manufacture of drug components, for toxicology studies, and for clinical studies. As of June 30, 2020, these future commitments were estimated at approximately $83.0 million, of which approximately $20.5 million is expected to be incurred in fiscal 2020, and $62.5 million is expected to be incurred beyond fiscal 2020.</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License Commitments</w:t>
      </w:r>
    </w:p>
    <w:p>
      <w:pPr>
        <w:spacing w:after="0" w:line="105" w:lineRule="exact"/>
        <w:rPr>
          <w:sz w:val="20"/>
          <w:szCs w:val="20"/>
          <w:color w:val="auto"/>
        </w:rPr>
      </w:pPr>
    </w:p>
    <w:p>
      <w:pPr>
        <w:ind w:right="100" w:firstLine="511"/>
        <w:spacing w:after="0" w:line="271" w:lineRule="auto"/>
        <w:rPr>
          <w:sz w:val="20"/>
          <w:szCs w:val="20"/>
          <w:color w:val="auto"/>
        </w:rPr>
      </w:pPr>
      <w:r>
        <w:rPr>
          <w:rFonts w:ascii="Arial" w:cs="Arial" w:eastAsia="Arial" w:hAnsi="Arial"/>
          <w:sz w:val="16"/>
          <w:szCs w:val="16"/>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months ended June 30, 2020, the Company did not accrue any milestone payment. During the nine months ended June 30, 2020, the Company accrued a $0.9 million milestone payment related to the progression of the ARO-ENaC program. During the three and nine months ended June 30, 2019, the Company did not accrue for any milestone payments. In certain agreements, the Company may be required to make mid to high single-digit percentage royalty payments based on a percentage of the sales of the relevant products.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8. </w:t>
      </w:r>
      <w:r>
        <w:rPr>
          <w:rFonts w:ascii="Arial" w:cs="Arial" w:eastAsia="Arial" w:hAnsi="Arial"/>
          <w:sz w:val="17"/>
          <w:szCs w:val="17"/>
          <w:b w:val="1"/>
          <w:bCs w:val="1"/>
          <w:i w:val="1"/>
          <w:iCs w:val="1"/>
          <w:color w:val="auto"/>
        </w:rPr>
        <w:t>LEASES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05" w:lineRule="exact"/>
        <w:rPr>
          <w:sz w:val="20"/>
          <w:szCs w:val="20"/>
          <w:color w:val="auto"/>
        </w:rPr>
      </w:pPr>
    </w:p>
    <w:p>
      <w:pPr>
        <w:ind w:right="20" w:firstLine="511"/>
        <w:spacing w:after="0" w:line="273" w:lineRule="auto"/>
        <w:rPr>
          <w:sz w:val="20"/>
          <w:szCs w:val="20"/>
          <w:color w:val="auto"/>
        </w:rPr>
      </w:pPr>
      <w:r>
        <w:rPr>
          <w:rFonts w:ascii="Arial" w:cs="Arial" w:eastAsia="Arial" w:hAnsi="Arial"/>
          <w:sz w:val="16"/>
          <w:szCs w:val="16"/>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June 30, 2020.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2" w:name="page13"/>
    <w:bookmarkEnd w:id="12"/>
    <w:p>
      <w:pPr>
        <w:ind w:right="40" w:firstLine="511"/>
        <w:spacing w:after="0" w:line="275"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to expand the rentable square feet by an additional 14,000 square feet and to extend the lease expiration date to September 2029. In May 2020, the Company further amended the lease to increase the rentable square feet by an additional 26,000 square feet and extended the lease expiration date to September 30, 2031. Lease payments are estimated to total approximately $26.2 million for the term. The lease contains two options to renew for two terms of five years. The exercise of these options were not determined to be reasonably certain and thus was not included in lease liabilities on the Company’s Consolidated Balance Sheet at June 30, 2020.</w:t>
      </w:r>
    </w:p>
    <w:p>
      <w:pPr>
        <w:spacing w:after="0" w:line="201" w:lineRule="exact"/>
        <w:rPr>
          <w:sz w:val="20"/>
          <w:szCs w:val="20"/>
          <w:color w:val="auto"/>
        </w:rPr>
      </w:pPr>
    </w:p>
    <w:p>
      <w:pPr>
        <w:ind w:right="80" w:firstLine="511"/>
        <w:spacing w:after="0" w:line="253" w:lineRule="auto"/>
        <w:rPr>
          <w:sz w:val="20"/>
          <w:szCs w:val="20"/>
          <w:color w:val="auto"/>
        </w:rPr>
      </w:pPr>
      <w:r>
        <w:rPr>
          <w:rFonts w:ascii="Arial" w:cs="Arial" w:eastAsia="Arial" w:hAnsi="Arial"/>
          <w:sz w:val="17"/>
          <w:szCs w:val="17"/>
          <w:color w:val="auto"/>
        </w:rPr>
        <w:t>In March 2020, the Company entered into a sublease agreement (the “Sublease”) with Halozyme, Inc. for additional research and development facility space in San Diego, California. The Sublease provides additional space needed to accommodate the recent growth of the Company’s personnel and discovery efforts. The lease is for approximately 21,000 rentable square feet. The term of the Sublease commenced on April 1, 2020 and will end on January 14, 2023. Lease payments are estimated to total approximately $2.0 million over the term.</w:t>
      </w:r>
    </w:p>
    <w:p>
      <w:pPr>
        <w:spacing w:after="0" w:line="178"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7"/>
          <w:szCs w:val="17"/>
          <w:color w:val="auto"/>
        </w:rPr>
        <w:t>Operating lease cost during the three and nine months ended June 30, 2020 was $0.8 million and $1.7 million, respectively. Variable lease costs during the three and nine months ended June 30, 2020 were $0.2 million and $0.6 million, respectively. There was no short-term lease cost during the three and nine months ended June 30, 2020.</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maturities of operating lease liabilities on an undiscounted basis as of June 30, 2020:</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2020 (remainder of fiscal year)</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681,214</w:t>
            </w:r>
          </w:p>
        </w:tc>
        <w:tc>
          <w:tcPr>
            <w:tcW w:w="60" w:type="dxa"/>
            <w:vAlign w:val="bottom"/>
            <w:shd w:val="clear" w:color="auto" w:fill="CFF0FC"/>
          </w:tcPr>
          <w:p>
            <w:pPr>
              <w:spacing w:after="0"/>
              <w:rPr>
                <w:sz w:val="18"/>
                <w:szCs w:val="18"/>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7"/>
                <w:szCs w:val="17"/>
                <w:color w:val="auto"/>
              </w:rPr>
              <w:t>2021</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3,091,900</w:t>
            </w:r>
          </w:p>
        </w:tc>
        <w:tc>
          <w:tcPr>
            <w:tcW w:w="60" w:type="dxa"/>
            <w:vAlign w:val="bottom"/>
          </w:tcPr>
          <w:p>
            <w:pPr>
              <w:spacing w:after="0"/>
              <w:rPr>
                <w:sz w:val="18"/>
                <w:szCs w:val="18"/>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3,853,290</w:t>
            </w:r>
          </w:p>
        </w:tc>
        <w:tc>
          <w:tcPr>
            <w:tcW w:w="60" w:type="dxa"/>
            <w:vAlign w:val="bottom"/>
            <w:shd w:val="clear" w:color="auto" w:fill="CFF0FC"/>
          </w:tcPr>
          <w:p>
            <w:pPr>
              <w:spacing w:after="0"/>
              <w:rPr>
                <w:sz w:val="18"/>
                <w:szCs w:val="18"/>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7"/>
                <w:szCs w:val="17"/>
                <w:color w:val="auto"/>
              </w:rPr>
              <w:t>2023</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3,406,754</w:t>
            </w:r>
          </w:p>
        </w:tc>
        <w:tc>
          <w:tcPr>
            <w:tcW w:w="60" w:type="dxa"/>
            <w:vAlign w:val="bottom"/>
          </w:tcPr>
          <w:p>
            <w:pPr>
              <w:spacing w:after="0"/>
              <w:rPr>
                <w:sz w:val="18"/>
                <w:szCs w:val="18"/>
                <w:color w:val="auto"/>
              </w:rPr>
            </w:pPr>
          </w:p>
        </w:tc>
      </w:tr>
      <w:tr>
        <w:trPr>
          <w:trHeight w:val="213"/>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3,269,674</w:t>
            </w:r>
          </w:p>
        </w:tc>
        <w:tc>
          <w:tcPr>
            <w:tcW w:w="60" w:type="dxa"/>
            <w:vAlign w:val="bottom"/>
            <w:shd w:val="clear" w:color="auto" w:fill="CFF0FC"/>
          </w:tcPr>
          <w:p>
            <w:pPr>
              <w:spacing w:after="0"/>
              <w:rPr>
                <w:sz w:val="18"/>
                <w:szCs w:val="18"/>
                <w:color w:val="auto"/>
              </w:rPr>
            </w:pPr>
          </w:p>
        </w:tc>
      </w:tr>
      <w:tr>
        <w:trPr>
          <w:trHeight w:val="213"/>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2025 and thereafter</w:t>
            </w:r>
          </w:p>
        </w:tc>
        <w:tc>
          <w:tcPr>
            <w:tcW w:w="8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18,689,588</w:t>
            </w:r>
          </w:p>
        </w:tc>
        <w:tc>
          <w:tcPr>
            <w:tcW w:w="60" w:type="dxa"/>
            <w:vAlign w:val="bottom"/>
            <w:tcBorders>
              <w:bottom w:val="single" w:sz="8" w:color="CFF0FC"/>
            </w:tcBorders>
          </w:tcPr>
          <w:p>
            <w:pPr>
              <w:spacing w:after="0"/>
              <w:rPr>
                <w:sz w:val="18"/>
                <w:szCs w:val="18"/>
                <w:color w:val="auto"/>
              </w:rPr>
            </w:pPr>
          </w:p>
        </w:tc>
      </w:tr>
      <w:tr>
        <w:trPr>
          <w:trHeight w:val="206"/>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Total lease payments</w:t>
            </w: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32,992,420</w:t>
            </w:r>
          </w:p>
        </w:tc>
        <w:tc>
          <w:tcPr>
            <w:tcW w:w="60" w:type="dxa"/>
            <w:vAlign w:val="bottom"/>
            <w:shd w:val="clear" w:color="auto" w:fill="CFF0FC"/>
          </w:tcPr>
          <w:p>
            <w:pPr>
              <w:spacing w:after="0"/>
              <w:rPr>
                <w:sz w:val="17"/>
                <w:szCs w:val="17"/>
                <w:color w:val="auto"/>
              </w:rPr>
            </w:pPr>
          </w:p>
        </w:tc>
      </w:tr>
      <w:tr>
        <w:trPr>
          <w:trHeight w:val="213"/>
        </w:trPr>
        <w:tc>
          <w:tcPr>
            <w:tcW w:w="46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Less imputed interest</w:t>
            </w:r>
          </w:p>
        </w:tc>
        <w:tc>
          <w:tcPr>
            <w:tcW w:w="8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(11,620,743)</w:t>
            </w:r>
          </w:p>
        </w:tc>
        <w:tc>
          <w:tcPr>
            <w:tcW w:w="60" w:type="dxa"/>
            <w:vAlign w:val="bottom"/>
            <w:tcBorders>
              <w:bottom w:val="single" w:sz="8" w:color="CFF0FC"/>
            </w:tcBorders>
          </w:tcPr>
          <w:p>
            <w:pPr>
              <w:spacing w:after="0"/>
              <w:rPr>
                <w:sz w:val="18"/>
                <w:szCs w:val="18"/>
                <w:color w:val="auto"/>
              </w:rPr>
            </w:pPr>
          </w:p>
        </w:tc>
      </w:tr>
      <w:tr>
        <w:trPr>
          <w:trHeight w:val="205"/>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lease liabilities (includes current portion)</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21,371,677</w:t>
            </w:r>
          </w:p>
        </w:tc>
        <w:tc>
          <w:tcPr>
            <w:tcW w:w="60" w:type="dxa"/>
            <w:vAlign w:val="bottom"/>
            <w:shd w:val="clear" w:color="auto" w:fill="CFF0FC"/>
          </w:tcPr>
          <w:p>
            <w:pPr>
              <w:spacing w:after="0"/>
              <w:rPr>
                <w:sz w:val="17"/>
                <w:szCs w:val="17"/>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88" w:lineRule="exact"/>
        <w:rPr>
          <w:sz w:val="20"/>
          <w:szCs w:val="20"/>
          <w:color w:val="auto"/>
        </w:rPr>
      </w:pPr>
    </w:p>
    <w:p>
      <w:pPr>
        <w:jc w:val="both"/>
        <w:ind w:right="220" w:firstLine="511"/>
        <w:spacing w:after="0" w:line="253"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 of Cash Flow for the three and nine months ended June 30, 2020 was $0.5 million and $1.1 million, respectively. The weighted-average remaining lease term and weighted-average discount rate for all leases as of June 30, 2020 was 9.6 years and 8.4%, respectively.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2019, future minimum lease payments due in fiscal years under operating leases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60" w:type="dxa"/>
            <w:vAlign w:val="bottom"/>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3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1,521,451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2021</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2,256,379</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7"/>
                <w:szCs w:val="17"/>
                <w:color w:val="auto"/>
              </w:rPr>
              <w:t>2022</w:t>
            </w:r>
          </w:p>
        </w:tc>
        <w:tc>
          <w:tcPr>
            <w:tcW w:w="3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2,521,446</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2023</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2,590,558</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7"/>
                <w:szCs w:val="17"/>
                <w:color w:val="auto"/>
              </w:rPr>
              <w:t>2024</w:t>
            </w:r>
          </w:p>
        </w:tc>
        <w:tc>
          <w:tcPr>
            <w:tcW w:w="3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2,661,512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2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2025 and thereafter</w:t>
            </w:r>
          </w:p>
        </w:tc>
        <w:tc>
          <w:tcPr>
            <w:tcW w:w="3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10,834,206</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3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22,385,552</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3220" w:type="dxa"/>
            <w:vAlign w:val="bottom"/>
            <w:tcBorders>
              <w:top w:val="single" w:sz="8" w:color="CFF0FC"/>
              <w:bottom w:val="single" w:sz="8" w:color="CFF0FC"/>
            </w:tcBorders>
            <w:vMerge w:val="restart"/>
          </w:tcPr>
          <w:p>
            <w:pPr>
              <w:jc w:val="right"/>
              <w:ind w:right="1977"/>
              <w:spacing w:after="0"/>
              <w:rPr>
                <w:sz w:val="20"/>
                <w:szCs w:val="20"/>
                <w:color w:val="auto"/>
              </w:rPr>
            </w:pPr>
            <w:r>
              <w:rPr>
                <w:rFonts w:ascii="Arial" w:cs="Arial" w:eastAsia="Arial" w:hAnsi="Arial"/>
                <w:sz w:val="17"/>
                <w:szCs w:val="17"/>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2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825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 xml:space="preserve">NOTE 9. </w:t>
      </w:r>
      <w:r>
        <w:rPr>
          <w:rFonts w:ascii="Arial" w:cs="Arial" w:eastAsia="Arial" w:hAnsi="Arial"/>
          <w:sz w:val="17"/>
          <w:szCs w:val="17"/>
          <w:b w:val="1"/>
          <w:bCs w:val="1"/>
          <w:i w:val="1"/>
          <w:iCs w:val="1"/>
          <w:color w:val="auto"/>
        </w:rPr>
        <w:t>STOCK-BASED COMPENSATION</w:t>
      </w:r>
    </w:p>
    <w:p>
      <w:pPr>
        <w:spacing w:after="0" w:line="109" w:lineRule="exact"/>
        <w:rPr>
          <w:sz w:val="20"/>
          <w:szCs w:val="20"/>
          <w:color w:val="auto"/>
        </w:rPr>
      </w:pPr>
    </w:p>
    <w:p>
      <w:pPr>
        <w:ind w:firstLine="511"/>
        <w:spacing w:after="0" w:line="285" w:lineRule="auto"/>
        <w:rPr>
          <w:sz w:val="20"/>
          <w:szCs w:val="20"/>
          <w:color w:val="auto"/>
        </w:rPr>
      </w:pPr>
      <w:r>
        <w:rPr>
          <w:rFonts w:ascii="Arial" w:cs="Arial" w:eastAsia="Arial" w:hAnsi="Arial"/>
          <w:sz w:val="15"/>
          <w:szCs w:val="15"/>
          <w:color w:val="auto"/>
        </w:rPr>
        <w:t>Arrowhead has two plans that provide for equity-based compensation. Under the 2004 Equity Incentive Plan and 2013 Incentive Plan, as of June 30, 2020, 744,250 and 5,652,008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June 30, 2020, there were options granted and outstanding to purchase 744,250 and 2,672,851 shares of Common Stock under the 2004 Equity Incentive Plan and the 2013 Incentive Plan, respectively, and there were 2,583,000 restricted stock units granted and outstanding under the 2013 Incentive Plan. Also, as of June 30, 2020, there were 1,112,463 shares reserved for options and 744,075 shares reserved for restricted stock units issued as inducement grants to new employees outside of equity compensation plans. During the three months ended June 30, 2020, 0 options and 0 restricted stock units were granted under the 2013 Incentive Plan, and 134,000 options and 153,000 restricted stock units were granted as inducement awards to new employees outside of equity incentive plans. During the nine months ended June 30, 2020, 310,500 options and 1,749,071 restricted stock units were granted under the 2013 Incentive Plan, and 477,000 options and 737,575 restricted stock units were granted as inducement awards to new employees outside of the equity incentive plans.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information about stock options:</w:t>
      </w: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104"/>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1"/>
                <w:szCs w:val="11"/>
                <w:color w:val="auto"/>
              </w:rPr>
            </w:pPr>
          </w:p>
        </w:tc>
        <w:tc>
          <w:tcPr>
            <w:tcW w:w="900" w:type="dxa"/>
            <w:vAlign w:val="bottom"/>
          </w:tcPr>
          <w:p>
            <w:pPr>
              <w:jc w:val="center"/>
              <w:ind w:right="104"/>
              <w:spacing w:after="0" w:line="138"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1"/>
                <w:szCs w:val="11"/>
                <w:color w:val="auto"/>
              </w:rPr>
            </w:pPr>
          </w:p>
        </w:tc>
        <w:tc>
          <w:tcPr>
            <w:tcW w:w="12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3"/>
              </w:rPr>
              <w:t>Average</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104"/>
              <w:spacing w:after="0" w:line="138" w:lineRule="exact"/>
              <w:rPr>
                <w:sz w:val="20"/>
                <w:szCs w:val="20"/>
                <w:color w:val="auto"/>
              </w:rPr>
            </w:pPr>
            <w:r>
              <w:rPr>
                <w:rFonts w:ascii="Arial" w:cs="Arial" w:eastAsia="Arial" w:hAnsi="Arial"/>
                <w:sz w:val="13"/>
                <w:szCs w:val="13"/>
                <w:b w:val="1"/>
                <w:bCs w:val="1"/>
                <w:color w:val="auto"/>
                <w:w w:val="89"/>
              </w:rPr>
              <w:t>Exercise</w:t>
            </w:r>
          </w:p>
        </w:tc>
        <w:tc>
          <w:tcPr>
            <w:tcW w:w="2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Remaining</w:t>
            </w:r>
          </w:p>
        </w:tc>
        <w:tc>
          <w:tcPr>
            <w:tcW w:w="1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1"/>
                <w:szCs w:val="11"/>
                <w:color w:val="auto"/>
              </w:rPr>
            </w:pPr>
          </w:p>
        </w:tc>
        <w:tc>
          <w:tcPr>
            <w:tcW w:w="126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1"/>
                <w:szCs w:val="11"/>
                <w:color w:val="auto"/>
              </w:rPr>
            </w:pPr>
          </w:p>
        </w:tc>
        <w:tc>
          <w:tcPr>
            <w:tcW w:w="900" w:type="dxa"/>
            <w:vAlign w:val="bottom"/>
          </w:tcPr>
          <w:p>
            <w:pPr>
              <w:jc w:val="center"/>
              <w:ind w:right="104"/>
              <w:spacing w:after="0" w:line="138" w:lineRule="exact"/>
              <w:rPr>
                <w:sz w:val="20"/>
                <w:szCs w:val="20"/>
                <w:color w:val="auto"/>
              </w:rPr>
            </w:pPr>
            <w:r>
              <w:rPr>
                <w:rFonts w:ascii="Arial" w:cs="Arial" w:eastAsia="Arial" w:hAnsi="Arial"/>
                <w:sz w:val="13"/>
                <w:szCs w:val="13"/>
                <w:b w:val="1"/>
                <w:bCs w:val="1"/>
                <w:color w:val="auto"/>
                <w:w w:val="87"/>
              </w:rPr>
              <w:t>Price</w:t>
            </w:r>
          </w:p>
        </w:tc>
        <w:tc>
          <w:tcPr>
            <w:tcW w:w="200" w:type="dxa"/>
            <w:vAlign w:val="bottom"/>
          </w:tcPr>
          <w:p>
            <w:pPr>
              <w:spacing w:after="0"/>
              <w:rPr>
                <w:sz w:val="11"/>
                <w:szCs w:val="11"/>
                <w:color w:val="auto"/>
              </w:rPr>
            </w:pPr>
          </w:p>
        </w:tc>
        <w:tc>
          <w:tcPr>
            <w:tcW w:w="12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4"/>
              </w:rPr>
              <w:t>Contractual</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Outstanding</w:t>
            </w:r>
          </w:p>
        </w:tc>
        <w:tc>
          <w:tcPr>
            <w:tcW w:w="160" w:type="dxa"/>
            <w:vAlign w:val="bottom"/>
          </w:tcPr>
          <w:p>
            <w:pPr>
              <w:spacing w:after="0"/>
              <w:rPr>
                <w:sz w:val="13"/>
                <w:szCs w:val="13"/>
                <w:color w:val="auto"/>
              </w:rPr>
            </w:pPr>
          </w:p>
        </w:tc>
        <w:tc>
          <w:tcPr>
            <w:tcW w:w="900" w:type="dxa"/>
            <w:vAlign w:val="bottom"/>
          </w:tcPr>
          <w:p>
            <w:pPr>
              <w:jc w:val="center"/>
              <w:ind w:right="104"/>
              <w:spacing w:after="0"/>
              <w:rPr>
                <w:sz w:val="20"/>
                <w:szCs w:val="20"/>
                <w:color w:val="auto"/>
              </w:rPr>
            </w:pPr>
            <w:r>
              <w:rPr>
                <w:rFonts w:ascii="Arial" w:cs="Arial" w:eastAsia="Arial" w:hAnsi="Arial"/>
                <w:sz w:val="13"/>
                <w:szCs w:val="13"/>
                <w:b w:val="1"/>
                <w:bCs w:val="1"/>
                <w:color w:val="auto"/>
                <w:w w:val="92"/>
              </w:rPr>
              <w:t>Per Share</w:t>
            </w:r>
          </w:p>
        </w:tc>
        <w:tc>
          <w:tcPr>
            <w:tcW w:w="20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Term</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05"/>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September 30, 2019</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4,773,670</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8.16</w:t>
            </w:r>
          </w:p>
        </w:tc>
        <w:tc>
          <w:tcPr>
            <w:tcW w:w="20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7"/>
                <w:szCs w:val="17"/>
                <w:color w:val="auto"/>
              </w:rPr>
              <w:t>Granted</w:t>
            </w:r>
          </w:p>
        </w:tc>
        <w:tc>
          <w:tcPr>
            <w:tcW w:w="1040" w:type="dxa"/>
            <w:vAlign w:val="bottom"/>
          </w:tcPr>
          <w:p>
            <w:pPr>
              <w:jc w:val="right"/>
              <w:spacing w:after="0"/>
              <w:rPr>
                <w:sz w:val="20"/>
                <w:szCs w:val="20"/>
                <w:color w:val="auto"/>
              </w:rPr>
            </w:pPr>
            <w:r>
              <w:rPr>
                <w:rFonts w:ascii="Arial" w:cs="Arial" w:eastAsia="Arial" w:hAnsi="Arial"/>
                <w:sz w:val="17"/>
                <w:szCs w:val="17"/>
                <w:color w:val="auto"/>
              </w:rPr>
              <w:t>787,500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50.42</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Cancelled</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(42,409)</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25.04</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Arial" w:cs="Arial" w:eastAsia="Arial" w:hAnsi="Arial"/>
                <w:sz w:val="17"/>
                <w:szCs w:val="17"/>
                <w:color w:val="auto"/>
              </w:rPr>
              <w:t>Exercised</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(989,197)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6.54</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June 30, 2020</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4,529,564</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15.71</w:t>
            </w:r>
          </w:p>
        </w:tc>
        <w:tc>
          <w:tcPr>
            <w:tcW w:w="2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CFF0FC"/>
            </w:tcBorders>
            <w:gridSpan w:val="2"/>
            <w:shd w:val="clear" w:color="auto" w:fill="CFF0FC"/>
          </w:tcPr>
          <w:p>
            <w:pPr>
              <w:ind w:left="520"/>
              <w:spacing w:after="0"/>
              <w:rPr>
                <w:sz w:val="20"/>
                <w:szCs w:val="20"/>
                <w:color w:val="auto"/>
              </w:rPr>
            </w:pPr>
            <w:r>
              <w:rPr>
                <w:rFonts w:ascii="Arial" w:cs="Arial" w:eastAsia="Arial" w:hAnsi="Arial"/>
                <w:sz w:val="17"/>
                <w:szCs w:val="17"/>
                <w:color w:val="auto"/>
              </w:rPr>
              <w:t>6.2 years</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93"/>
              </w:rPr>
              <w:t>133,654,814</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20" w:type="dxa"/>
            <w:vAlign w:val="bottom"/>
          </w:tcPr>
          <w:p>
            <w:pPr>
              <w:spacing w:after="0"/>
              <w:rPr>
                <w:sz w:val="20"/>
                <w:szCs w:val="20"/>
                <w:color w:val="auto"/>
              </w:rPr>
            </w:pPr>
            <w:r>
              <w:rPr>
                <w:rFonts w:ascii="Arial" w:cs="Arial" w:eastAsia="Arial" w:hAnsi="Arial"/>
                <w:sz w:val="17"/>
                <w:szCs w:val="17"/>
                <w:color w:val="auto"/>
              </w:rPr>
              <w:t>Exercisable At June 30,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2,928,765</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200" w:type="dxa"/>
            <w:vAlign w:val="bottom"/>
          </w:tcPr>
          <w:p>
            <w:pPr>
              <w:spacing w:after="0"/>
              <w:rPr>
                <w:sz w:val="17"/>
                <w:szCs w:val="17"/>
                <w:color w:val="auto"/>
              </w:rPr>
            </w:pPr>
          </w:p>
        </w:tc>
        <w:tc>
          <w:tcPr>
            <w:tcW w:w="1240" w:type="dxa"/>
            <w:vAlign w:val="bottom"/>
            <w:gridSpan w:val="2"/>
          </w:tcPr>
          <w:p>
            <w:pPr>
              <w:ind w:left="520"/>
              <w:spacing w:after="0"/>
              <w:rPr>
                <w:sz w:val="20"/>
                <w:szCs w:val="20"/>
                <w:color w:val="auto"/>
              </w:rPr>
            </w:pPr>
            <w:r>
              <w:rPr>
                <w:rFonts w:ascii="Arial" w:cs="Arial" w:eastAsia="Arial" w:hAnsi="Arial"/>
                <w:sz w:val="17"/>
                <w:szCs w:val="17"/>
                <w:color w:val="auto"/>
              </w:rPr>
              <w:t>4.8 years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3"/>
              </w:rPr>
              <w:t>104,700,213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140" w:firstLine="511"/>
        <w:spacing w:after="0" w:line="306" w:lineRule="auto"/>
        <w:rPr>
          <w:sz w:val="20"/>
          <w:szCs w:val="20"/>
          <w:color w:val="auto"/>
        </w:rPr>
      </w:pPr>
      <w:r>
        <w:rPr>
          <w:rFonts w:ascii="Arial" w:cs="Arial" w:eastAsia="Arial" w:hAnsi="Arial"/>
          <w:sz w:val="15"/>
          <w:szCs w:val="15"/>
          <w:color w:val="auto"/>
        </w:rPr>
        <w:t>Stock-based compensation expense related to stock options for the three months ended June 30, 2020 and 2019 was $2,659,265 and $1,016,206, respectively. Stock-based compensation expense related to stock options for the nine months ended June 30, 2020 and 2019 was $6,796,175 and $2,823,706, respectively. For non-qualified stock options, the expense creates a timing difference, resulting in a deferred tax asset, which is fully reserved by a valuation allowance.</w:t>
      </w:r>
    </w:p>
    <w:p>
      <w:pPr>
        <w:spacing w:after="0" w:line="142" w:lineRule="exact"/>
        <w:rPr>
          <w:sz w:val="20"/>
          <w:szCs w:val="20"/>
          <w:color w:val="auto"/>
        </w:rPr>
      </w:pPr>
    </w:p>
    <w:p>
      <w:pPr>
        <w:ind w:right="340" w:firstLine="511"/>
        <w:spacing w:after="0" w:line="256" w:lineRule="auto"/>
        <w:rPr>
          <w:sz w:val="20"/>
          <w:szCs w:val="20"/>
          <w:color w:val="auto"/>
        </w:rPr>
      </w:pPr>
      <w:r>
        <w:rPr>
          <w:rFonts w:ascii="Arial" w:cs="Arial" w:eastAsia="Arial" w:hAnsi="Arial"/>
          <w:sz w:val="17"/>
          <w:szCs w:val="17"/>
          <w:color w:val="auto"/>
        </w:rPr>
        <w:t>The grant date fair value of the options granted by the Company for the three months ended June 30, 2020 and 2019 was $3,421,181 and $1,316,220, respectively. The grant date fair value of the options granted by the Company for the nine months ended June 30, 2020 and 2019 was $30,020,524 and $9,453,469, respectively.</w:t>
      </w:r>
    </w:p>
    <w:p>
      <w:pPr>
        <w:spacing w:after="0" w:line="176" w:lineRule="exact"/>
        <w:rPr>
          <w:sz w:val="20"/>
          <w:szCs w:val="20"/>
          <w:color w:val="auto"/>
        </w:rPr>
      </w:pPr>
    </w:p>
    <w:p>
      <w:pPr>
        <w:ind w:right="140" w:firstLine="511"/>
        <w:spacing w:after="0" w:line="298" w:lineRule="auto"/>
        <w:rPr>
          <w:sz w:val="20"/>
          <w:szCs w:val="20"/>
          <w:color w:val="auto"/>
        </w:rPr>
      </w:pPr>
      <w:r>
        <w:rPr>
          <w:rFonts w:ascii="Arial" w:cs="Arial" w:eastAsia="Arial" w:hAnsi="Arial"/>
          <w:sz w:val="16"/>
          <w:szCs w:val="16"/>
          <w:color w:val="auto"/>
        </w:rPr>
        <w:t>The intrinsic value of the options exercised during the three months ended June 30, 2020 and 2019 was $9,529,237 and $9,349,226, respectively. The intrinsic value of the options exercised during the nine months ended June 30, 2020 and 2019 was $39,775,062 and $17,471,520, respectively.</w:t>
      </w:r>
    </w:p>
    <w:p>
      <w:pPr>
        <w:spacing w:after="0" w:line="144" w:lineRule="exact"/>
        <w:rPr>
          <w:sz w:val="20"/>
          <w:szCs w:val="20"/>
          <w:color w:val="auto"/>
        </w:rPr>
      </w:pPr>
    </w:p>
    <w:p>
      <w:pPr>
        <w:ind w:right="480" w:firstLine="511"/>
        <w:spacing w:after="0" w:line="267" w:lineRule="auto"/>
        <w:rPr>
          <w:sz w:val="20"/>
          <w:szCs w:val="20"/>
          <w:color w:val="auto"/>
        </w:rPr>
      </w:pPr>
      <w:r>
        <w:rPr>
          <w:rFonts w:ascii="Arial" w:cs="Arial" w:eastAsia="Arial" w:hAnsi="Arial"/>
          <w:sz w:val="17"/>
          <w:szCs w:val="17"/>
          <w:color w:val="auto"/>
        </w:rPr>
        <w:t>As of June 30, 2020, the pre-tax compensation expense for all outstanding unvested stock options in the amount of $35,021,715 will be recognized in the Company’s results of operations over a weighted average period of 3.3 years.</w:t>
      </w:r>
    </w:p>
    <w:p>
      <w:pPr>
        <w:spacing w:after="0" w:line="166" w:lineRule="exact"/>
        <w:rPr>
          <w:sz w:val="20"/>
          <w:szCs w:val="20"/>
          <w:color w:val="auto"/>
        </w:rPr>
      </w:pPr>
    </w:p>
    <w:p>
      <w:pPr>
        <w:ind w:right="60" w:firstLine="511"/>
        <w:spacing w:after="0" w:line="268"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7"/>
          <w:szCs w:val="17"/>
          <w:color w:val="auto"/>
        </w:rPr>
        <w:t>The assumptions used to value stock options are as follows:</w:t>
      </w:r>
    </w:p>
    <w:p>
      <w:pPr>
        <w:spacing w:after="0" w:line="285" w:lineRule="exact"/>
        <w:rPr>
          <w:sz w:val="20"/>
          <w:szCs w:val="20"/>
          <w:color w:val="auto"/>
        </w:rPr>
      </w:pPr>
    </w:p>
    <w:tbl>
      <w:tblPr>
        <w:tblLayout w:type="fixed"/>
        <w:tblInd w:w="760" w:type="dxa"/>
        <w:tblCellMar>
          <w:top w:w="0" w:type="dxa"/>
          <w:left w:w="0" w:type="dxa"/>
          <w:bottom w:w="0" w:type="dxa"/>
          <w:right w:w="0" w:type="dxa"/>
        </w:tblCellMar>
      </w:tblPr>
      <w:tr>
        <w:trPr>
          <w:trHeight w:val="158"/>
        </w:trPr>
        <w:tc>
          <w:tcPr>
            <w:tcW w:w="64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Nine Months Ended June 30,</w:t>
            </w:r>
          </w:p>
        </w:tc>
      </w:tr>
      <w:tr>
        <w:trPr>
          <w:trHeight w:val="193"/>
        </w:trPr>
        <w:tc>
          <w:tcPr>
            <w:tcW w:w="6460" w:type="dxa"/>
            <w:vAlign w:val="bottom"/>
            <w:tcBorders>
              <w:bottom w:val="single" w:sz="8" w:color="CFF0FC"/>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42"/>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Borders>
              <w:bottom w:val="single" w:sz="8" w:color="CFF0FC"/>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r>
      <w:tr>
        <w:trPr>
          <w:trHeight w:val="193"/>
        </w:trPr>
        <w:tc>
          <w:tcPr>
            <w:tcW w:w="6460" w:type="dxa"/>
            <w:vAlign w:val="bottom"/>
            <w:shd w:val="clear" w:color="auto" w:fill="CFF0FC"/>
          </w:tcPr>
          <w:p>
            <w:pPr>
              <w:spacing w:after="0" w:line="193" w:lineRule="exact"/>
              <w:rPr>
                <w:sz w:val="20"/>
                <w:szCs w:val="20"/>
                <w:color w:val="auto"/>
              </w:rPr>
            </w:pPr>
            <w:r>
              <w:rPr>
                <w:rFonts w:ascii="Arial" w:cs="Arial" w:eastAsia="Arial" w:hAnsi="Arial"/>
                <w:sz w:val="17"/>
                <w:szCs w:val="17"/>
                <w:color w:val="auto"/>
              </w:rPr>
              <w:t>Dividend yield</w:t>
            </w:r>
          </w:p>
        </w:tc>
        <w:tc>
          <w:tcPr>
            <w:tcW w:w="600" w:type="dxa"/>
            <w:vAlign w:val="bottom"/>
            <w:shd w:val="clear" w:color="auto" w:fill="CFF0FC"/>
          </w:tcPr>
          <w:p>
            <w:pPr>
              <w:spacing w:after="0"/>
              <w:rPr>
                <w:sz w:val="16"/>
                <w:szCs w:val="16"/>
                <w:color w:val="auto"/>
              </w:rPr>
            </w:pPr>
          </w:p>
        </w:tc>
        <w:tc>
          <w:tcPr>
            <w:tcW w:w="920" w:type="dxa"/>
            <w:vAlign w:val="bottom"/>
            <w:shd w:val="clear" w:color="auto" w:fill="CFF0FC"/>
          </w:tcPr>
          <w:p>
            <w:pPr>
              <w:jc w:val="center"/>
              <w:ind w:right="542"/>
              <w:spacing w:after="0" w:line="193" w:lineRule="exact"/>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6"/>
                <w:szCs w:val="16"/>
                <w:color w:val="auto"/>
              </w:rPr>
            </w:pPr>
          </w:p>
        </w:tc>
        <w:tc>
          <w:tcPr>
            <w:tcW w:w="1500" w:type="dxa"/>
            <w:vAlign w:val="bottom"/>
            <w:shd w:val="clear" w:color="auto" w:fill="CFF0FC"/>
          </w:tcPr>
          <w:p>
            <w:pPr>
              <w:jc w:val="center"/>
              <w:spacing w:after="0" w:line="193" w:lineRule="exact"/>
              <w:rPr>
                <w:sz w:val="20"/>
                <w:szCs w:val="20"/>
                <w:color w:val="auto"/>
              </w:rPr>
            </w:pPr>
            <w:r>
              <w:rPr>
                <w:rFonts w:ascii="Arial" w:cs="Arial" w:eastAsia="Arial" w:hAnsi="Arial"/>
                <w:sz w:val="17"/>
                <w:szCs w:val="17"/>
                <w:color w:val="auto"/>
              </w:rPr>
              <w:t>—</w:t>
            </w:r>
          </w:p>
        </w:tc>
      </w:tr>
      <w:tr>
        <w:trPr>
          <w:trHeight w:val="200"/>
        </w:trPr>
        <w:tc>
          <w:tcPr>
            <w:tcW w:w="64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7"/>
                <w:szCs w:val="17"/>
                <w:color w:val="auto"/>
              </w:rPr>
              <w:t>0.4</w:t>
            </w:r>
          </w:p>
        </w:tc>
        <w:tc>
          <w:tcPr>
            <w:tcW w:w="1160" w:type="dxa"/>
            <w:vAlign w:val="bottom"/>
            <w:gridSpan w:val="2"/>
          </w:tcPr>
          <w:p>
            <w:pPr>
              <w:ind w:left="40"/>
              <w:spacing w:after="0"/>
              <w:rPr>
                <w:sz w:val="20"/>
                <w:szCs w:val="20"/>
                <w:color w:val="auto"/>
              </w:rPr>
            </w:pPr>
            <w:r>
              <w:rPr>
                <w:rFonts w:ascii="Arial" w:cs="Arial" w:eastAsia="Arial" w:hAnsi="Arial"/>
                <w:sz w:val="17"/>
                <w:szCs w:val="17"/>
                <w:color w:val="auto"/>
              </w:rPr>
              <w:t>– 1.8%</w:t>
            </w:r>
          </w:p>
        </w:tc>
        <w:tc>
          <w:tcPr>
            <w:tcW w:w="1500" w:type="dxa"/>
            <w:vAlign w:val="bottom"/>
          </w:tcPr>
          <w:p>
            <w:pPr>
              <w:jc w:val="center"/>
              <w:spacing w:after="0"/>
              <w:rPr>
                <w:sz w:val="20"/>
                <w:szCs w:val="20"/>
                <w:color w:val="auto"/>
              </w:rPr>
            </w:pPr>
            <w:r>
              <w:rPr>
                <w:rFonts w:ascii="Arial" w:cs="Arial" w:eastAsia="Arial" w:hAnsi="Arial"/>
                <w:sz w:val="17"/>
                <w:szCs w:val="17"/>
                <w:color w:val="auto"/>
                <w:w w:val="88"/>
              </w:rPr>
              <w:t>1.9 – 3.1%</w:t>
            </w:r>
          </w:p>
        </w:tc>
      </w:tr>
      <w:tr>
        <w:trPr>
          <w:trHeight w:val="200"/>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Volatility</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90.5</w:t>
            </w:r>
          </w:p>
        </w:tc>
        <w:tc>
          <w:tcPr>
            <w:tcW w:w="11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 91.9%</w:t>
            </w:r>
          </w:p>
        </w:tc>
        <w:tc>
          <w:tcPr>
            <w:tcW w:w="15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7"/>
              </w:rPr>
              <w:t>115%</w:t>
            </w:r>
          </w:p>
        </w:tc>
      </w:tr>
      <w:tr>
        <w:trPr>
          <w:trHeight w:val="200"/>
        </w:trPr>
        <w:tc>
          <w:tcPr>
            <w:tcW w:w="6460" w:type="dxa"/>
            <w:vAlign w:val="bottom"/>
          </w:tcPr>
          <w:p>
            <w:pPr>
              <w:spacing w:after="0"/>
              <w:rPr>
                <w:sz w:val="20"/>
                <w:szCs w:val="20"/>
                <w:color w:val="auto"/>
              </w:rPr>
            </w:pPr>
            <w:r>
              <w:rPr>
                <w:rFonts w:ascii="Arial" w:cs="Arial" w:eastAsia="Arial" w:hAnsi="Arial"/>
                <w:sz w:val="17"/>
                <w:szCs w:val="17"/>
                <w:color w:val="auto"/>
              </w:rPr>
              <w:t>Expected life (in years)</w:t>
            </w:r>
          </w:p>
        </w:tc>
        <w:tc>
          <w:tcPr>
            <w:tcW w:w="600" w:type="dxa"/>
            <w:vAlign w:val="bottom"/>
          </w:tcPr>
          <w:p>
            <w:pPr>
              <w:spacing w:after="0"/>
              <w:rPr>
                <w:sz w:val="17"/>
                <w:szCs w:val="17"/>
                <w:color w:val="auto"/>
              </w:rPr>
            </w:pPr>
          </w:p>
        </w:tc>
        <w:tc>
          <w:tcPr>
            <w:tcW w:w="920" w:type="dxa"/>
            <w:vAlign w:val="bottom"/>
          </w:tcPr>
          <w:p>
            <w:pPr>
              <w:jc w:val="center"/>
              <w:ind w:right="542"/>
              <w:spacing w:after="0"/>
              <w:rPr>
                <w:sz w:val="20"/>
                <w:szCs w:val="20"/>
                <w:color w:val="auto"/>
              </w:rPr>
            </w:pPr>
            <w:r>
              <w:rPr>
                <w:rFonts w:ascii="Arial" w:cs="Arial" w:eastAsia="Arial" w:hAnsi="Arial"/>
                <w:sz w:val="17"/>
                <w:szCs w:val="17"/>
                <w:color w:val="auto"/>
                <w:w w:val="90"/>
              </w:rPr>
              <w:t>6.25</w:t>
            </w:r>
          </w:p>
        </w:tc>
        <w:tc>
          <w:tcPr>
            <w:tcW w:w="24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0"/>
              </w:rPr>
              <w:t>6.25</w:t>
            </w:r>
          </w:p>
        </w:tc>
      </w:tr>
      <w:tr>
        <w:trPr>
          <w:trHeight w:val="200"/>
        </w:trPr>
        <w:tc>
          <w:tcPr>
            <w:tcW w:w="646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grant date fair value per share of options granted</w:t>
            </w:r>
          </w:p>
        </w:tc>
        <w:tc>
          <w:tcPr>
            <w:tcW w:w="1520" w:type="dxa"/>
            <w:vAlign w:val="bottom"/>
            <w:gridSpan w:val="2"/>
            <w:shd w:val="clear" w:color="auto" w:fill="CFF0FC"/>
          </w:tcPr>
          <w:p>
            <w:pPr>
              <w:jc w:val="center"/>
              <w:spacing w:after="0"/>
              <w:rPr>
                <w:sz w:val="20"/>
                <w:szCs w:val="20"/>
                <w:color w:val="auto"/>
              </w:rPr>
            </w:pPr>
            <w:r>
              <w:rPr>
                <w:rFonts w:ascii="Arial" w:cs="Arial" w:eastAsia="Arial" w:hAnsi="Arial"/>
                <w:sz w:val="17"/>
                <w:szCs w:val="17"/>
                <w:color w:val="auto"/>
                <w:w w:val="88"/>
              </w:rPr>
              <w:t>$38.12</w:t>
            </w: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$12.21</w:t>
            </w:r>
          </w:p>
        </w:tc>
      </w:tr>
    </w:tbl>
    <w:p>
      <w:pPr>
        <w:spacing w:after="0" w:line="2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dividend yield is zero as the Company currently does not pay a dividend.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risk-free interest rate is based on that of the U.S. Treasury bond.</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Volatility is estimated based on volatility average of the Company’s Common Stock price.</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 Units</w:t>
      </w:r>
    </w:p>
    <w:p>
      <w:pPr>
        <w:spacing w:after="0" w:line="105" w:lineRule="exact"/>
        <w:rPr>
          <w:sz w:val="20"/>
          <w:szCs w:val="20"/>
          <w:color w:val="auto"/>
        </w:rPr>
      </w:pPr>
    </w:p>
    <w:p>
      <w:pPr>
        <w:ind w:firstLine="511"/>
        <w:spacing w:after="0" w:line="282" w:lineRule="auto"/>
        <w:rPr>
          <w:sz w:val="20"/>
          <w:szCs w:val="20"/>
          <w:color w:val="auto"/>
        </w:rPr>
      </w:pPr>
      <w:r>
        <w:rPr>
          <w:rFonts w:ascii="Arial" w:cs="Arial" w:eastAsia="Arial" w:hAnsi="Arial"/>
          <w:sz w:val="15"/>
          <w:szCs w:val="15"/>
          <w:color w:val="auto"/>
        </w:rPr>
        <w:t>Restricted stock units (RSUs), including time-based and performance-based awards, were granted under the Company’s 2013 Incentive Plan and as inducements grants granted outside of the Plan. During the three months ended June 30, 2020, the Company issued 0 RSUs under the 2013 Incentive Plan and 153,000 RSUs as inducement awards. During the nine months ended June 30, 2020, the Company issued 1,749,071 RSUs under the 2013 Incentive Plan and 737,575 RSUs as inducement awards.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w:t>
      </w:r>
    </w:p>
    <w:p>
      <w:pPr>
        <w:spacing w:after="0" w:line="1" w:lineRule="exact"/>
        <w:rPr>
          <w:sz w:val="20"/>
          <w:szCs w:val="20"/>
          <w:color w:val="auto"/>
        </w:rPr>
      </w:pPr>
    </w:p>
    <w:p>
      <w:pPr>
        <w:ind w:right="580"/>
        <w:spacing w:after="0" w:line="252" w:lineRule="auto"/>
        <w:rPr>
          <w:sz w:val="20"/>
          <w:szCs w:val="20"/>
          <w:color w:val="auto"/>
        </w:rPr>
      </w:pPr>
      <w:r>
        <w:rPr>
          <w:rFonts w:ascii="Arial" w:cs="Arial" w:eastAsia="Arial" w:hAnsi="Arial"/>
          <w:sz w:val="17"/>
          <w:szCs w:val="17"/>
          <w:color w:val="auto"/>
        </w:rPr>
        <w:t>value. RSU awards generally vest subject to the satisfaction of service requirements or the satisfaction of both service requirements and achievement of certain performance targets.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activity of the Company’s RSUs:</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38"/>
        </w:trPr>
        <w:tc>
          <w:tcPr>
            <w:tcW w:w="5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38"/>
        </w:trPr>
        <w:tc>
          <w:tcPr>
            <w:tcW w:w="5380" w:type="dxa"/>
            <w:vAlign w:val="bottom"/>
          </w:tcPr>
          <w:p>
            <w:pPr>
              <w:spacing w:after="0"/>
              <w:rPr>
                <w:sz w:val="11"/>
                <w:szCs w:val="11"/>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1"/>
                <w:szCs w:val="11"/>
                <w:color w:val="auto"/>
              </w:rPr>
            </w:pPr>
          </w:p>
        </w:tc>
        <w:tc>
          <w:tcPr>
            <w:tcW w:w="102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8"/>
        </w:trPr>
        <w:tc>
          <w:tcPr>
            <w:tcW w:w="53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58"/>
        </w:trPr>
        <w:tc>
          <w:tcPr>
            <w:tcW w:w="5380" w:type="dxa"/>
            <w:vAlign w:val="bottom"/>
          </w:tcPr>
          <w:p>
            <w:pPr>
              <w:spacing w:after="0"/>
              <w:rPr>
                <w:sz w:val="13"/>
                <w:szCs w:val="13"/>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RSUs</w:t>
            </w:r>
          </w:p>
        </w:tc>
        <w:tc>
          <w:tcPr>
            <w:tcW w:w="16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05"/>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at September 30, 2019</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2,062,833</w:t>
            </w: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9.43</w:t>
            </w: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7"/>
                <w:szCs w:val="17"/>
                <w:color w:val="auto"/>
              </w:rPr>
              <w:t>Granted</w:t>
            </w:r>
          </w:p>
        </w:tc>
        <w:tc>
          <w:tcPr>
            <w:tcW w:w="1100" w:type="dxa"/>
            <w:vAlign w:val="bottom"/>
          </w:tcPr>
          <w:p>
            <w:pPr>
              <w:jc w:val="right"/>
              <w:spacing w:after="0"/>
              <w:rPr>
                <w:sz w:val="20"/>
                <w:szCs w:val="20"/>
                <w:color w:val="auto"/>
              </w:rPr>
            </w:pPr>
            <w:r>
              <w:rPr>
                <w:rFonts w:ascii="Arial" w:cs="Arial" w:eastAsia="Arial" w:hAnsi="Arial"/>
                <w:sz w:val="17"/>
                <w:szCs w:val="17"/>
                <w:color w:val="auto"/>
              </w:rPr>
              <w:t>2,486,646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Vested</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(1,155,404)</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spacing w:after="0"/>
              <w:rPr>
                <w:sz w:val="20"/>
                <w:szCs w:val="20"/>
                <w:color w:val="auto"/>
              </w:rPr>
            </w:pPr>
            <w:r>
              <w:rPr>
                <w:rFonts w:ascii="Arial" w:cs="Arial" w:eastAsia="Arial" w:hAnsi="Arial"/>
                <w:sz w:val="17"/>
                <w:szCs w:val="17"/>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(67,000)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at June 30, 2020</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3,327,075</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44.49</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511"/>
        <w:spacing w:after="0" w:line="273" w:lineRule="auto"/>
        <w:rPr>
          <w:sz w:val="20"/>
          <w:szCs w:val="20"/>
          <w:color w:val="auto"/>
        </w:rPr>
      </w:pPr>
      <w:r>
        <w:rPr>
          <w:rFonts w:ascii="Arial" w:cs="Arial" w:eastAsia="Arial" w:hAnsi="Arial"/>
          <w:sz w:val="16"/>
          <w:szCs w:val="16"/>
          <w:color w:val="auto"/>
        </w:rPr>
        <w:t>During the three months ended June 30, 2020 and 2019, the Company recorded $7,386,943 and $941,788 of expense related to RSUs, respectively. During the nine months ended June 30, 2020 and 2019, the Company recorded $20,713,488 and $4,453,169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65" w:lineRule="exact"/>
        <w:rPr>
          <w:sz w:val="20"/>
          <w:szCs w:val="20"/>
          <w:color w:val="auto"/>
        </w:rPr>
      </w:pPr>
    </w:p>
    <w:p>
      <w:pPr>
        <w:ind w:right="180" w:firstLine="511"/>
        <w:spacing w:after="0" w:line="267" w:lineRule="auto"/>
        <w:rPr>
          <w:sz w:val="20"/>
          <w:szCs w:val="20"/>
          <w:color w:val="auto"/>
        </w:rPr>
      </w:pPr>
      <w:r>
        <w:rPr>
          <w:rFonts w:ascii="Arial" w:cs="Arial" w:eastAsia="Arial" w:hAnsi="Arial"/>
          <w:sz w:val="17"/>
          <w:szCs w:val="17"/>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66" w:lineRule="exact"/>
        <w:rPr>
          <w:sz w:val="20"/>
          <w:szCs w:val="20"/>
          <w:color w:val="auto"/>
        </w:rPr>
      </w:pPr>
    </w:p>
    <w:p>
      <w:pPr>
        <w:ind w:right="400" w:firstLine="511"/>
        <w:spacing w:after="0" w:line="267" w:lineRule="auto"/>
        <w:rPr>
          <w:sz w:val="20"/>
          <w:szCs w:val="20"/>
          <w:color w:val="auto"/>
        </w:rPr>
      </w:pPr>
      <w:r>
        <w:rPr>
          <w:rFonts w:ascii="Arial" w:cs="Arial" w:eastAsia="Arial" w:hAnsi="Arial"/>
          <w:sz w:val="17"/>
          <w:szCs w:val="17"/>
          <w:color w:val="auto"/>
        </w:rPr>
        <w:t>As of June 30, 2020 the pre-tax compensation expense for all unvested RSUs in the amount of $87,634,315 will be recognized in the Company’s results of operations over a weighted average period of 3.3 years.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 xml:space="preserve">NOTE 10. </w:t>
      </w:r>
      <w:r>
        <w:rPr>
          <w:rFonts w:ascii="Arial" w:cs="Arial" w:eastAsia="Arial" w:hAnsi="Arial"/>
          <w:sz w:val="17"/>
          <w:szCs w:val="17"/>
          <w:b w:val="1"/>
          <w:bCs w:val="1"/>
          <w:i w:val="1"/>
          <w:iCs w:val="1"/>
          <w:color w:val="auto"/>
        </w:rPr>
        <w:t>FAIR VALUE MEASUREMENTS</w:t>
      </w:r>
    </w:p>
    <w:p>
      <w:pPr>
        <w:spacing w:after="0" w:line="109" w:lineRule="exact"/>
        <w:rPr>
          <w:sz w:val="20"/>
          <w:szCs w:val="20"/>
          <w:color w:val="auto"/>
        </w:rPr>
      </w:pPr>
    </w:p>
    <w:p>
      <w:pPr>
        <w:ind w:firstLine="511"/>
        <w:spacing w:after="0" w:line="292" w:lineRule="auto"/>
        <w:rPr>
          <w:sz w:val="20"/>
          <w:szCs w:val="20"/>
          <w:color w:val="auto"/>
        </w:rPr>
      </w:pPr>
      <w:r>
        <w:rPr>
          <w:rFonts w:ascii="Arial" w:cs="Arial" w:eastAsia="Arial" w:hAnsi="Arial"/>
          <w:sz w:val="15"/>
          <w:szCs w:val="15"/>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1—Valuations are based on unadjusted quoted prices in active markets for identical assets or liabilities.</w:t>
      </w:r>
    </w:p>
    <w:p>
      <w:pPr>
        <w:spacing w:after="0" w:line="105" w:lineRule="exact"/>
        <w:rPr>
          <w:sz w:val="20"/>
          <w:szCs w:val="20"/>
          <w:color w:val="auto"/>
        </w:rPr>
      </w:pPr>
    </w:p>
    <w:p>
      <w:pPr>
        <w:ind w:right="500" w:firstLine="511"/>
        <w:spacing w:after="0" w:line="267" w:lineRule="auto"/>
        <w:rPr>
          <w:sz w:val="20"/>
          <w:szCs w:val="20"/>
          <w:color w:val="auto"/>
        </w:rPr>
      </w:pPr>
      <w:r>
        <w:rPr>
          <w:rFonts w:ascii="Arial" w:cs="Arial" w:eastAsia="Arial" w:hAnsi="Arial"/>
          <w:sz w:val="17"/>
          <w:szCs w:val="17"/>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6" w:lineRule="exact"/>
        <w:rPr>
          <w:sz w:val="20"/>
          <w:szCs w:val="20"/>
          <w:color w:val="auto"/>
        </w:rPr>
      </w:pPr>
    </w:p>
    <w:p>
      <w:pPr>
        <w:ind w:right="720" w:firstLine="511"/>
        <w:spacing w:after="0" w:line="334" w:lineRule="auto"/>
        <w:rPr>
          <w:sz w:val="20"/>
          <w:szCs w:val="20"/>
          <w:color w:val="auto"/>
        </w:rPr>
      </w:pPr>
      <w:r>
        <w:rPr>
          <w:rFonts w:ascii="Arial" w:cs="Arial" w:eastAsia="Arial" w:hAnsi="Arial"/>
          <w:sz w:val="15"/>
          <w:szCs w:val="15"/>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1" w:lineRule="exact"/>
        <w:rPr>
          <w:sz w:val="20"/>
          <w:szCs w:val="20"/>
          <w:color w:val="auto"/>
        </w:rPr>
      </w:pPr>
    </w:p>
    <w:p>
      <w:pPr>
        <w:ind w:right="620" w:firstLine="511"/>
        <w:spacing w:after="0" w:line="267" w:lineRule="auto"/>
        <w:rPr>
          <w:sz w:val="20"/>
          <w:szCs w:val="20"/>
          <w:color w:val="auto"/>
        </w:rPr>
      </w:pPr>
      <w:r>
        <w:rPr>
          <w:rFonts w:ascii="Arial" w:cs="Arial" w:eastAsia="Arial" w:hAnsi="Arial"/>
          <w:sz w:val="17"/>
          <w:szCs w:val="17"/>
          <w:color w:val="auto"/>
        </w:rPr>
        <w:t>The following table summarizes fair value measurements at June 30, 2020 and September 30, 2019 for assets and liabilities measured at fair value on a recurring basis: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June 30, 2020:</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2</w:t>
            </w:r>
          </w:p>
        </w:tc>
        <w:tc>
          <w:tcPr>
            <w:tcW w:w="220" w:type="dxa"/>
            <w:vAlign w:val="bottom"/>
            <w:tcBorders>
              <w:bottom w:val="single" w:sz="8" w:color="CFF0FC"/>
            </w:tcBorders>
            <w:gridSpan w:val="2"/>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3</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FF0FC"/>
            </w:tcBorders>
          </w:tcPr>
          <w:p>
            <w:pPr>
              <w:spacing w:after="0"/>
              <w:rPr>
                <w:sz w:val="13"/>
                <w:szCs w:val="13"/>
                <w:color w:val="auto"/>
              </w:rPr>
            </w:pPr>
          </w:p>
        </w:tc>
      </w:tr>
      <w:tr>
        <w:trPr>
          <w:trHeight w:val="205"/>
        </w:trPr>
        <w:tc>
          <w:tcPr>
            <w:tcW w:w="40" w:type="dxa"/>
            <w:vAlign w:val="bottom"/>
          </w:tcPr>
          <w:p>
            <w:pPr>
              <w:spacing w:after="0"/>
              <w:rPr>
                <w:sz w:val="17"/>
                <w:szCs w:val="17"/>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88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219,322,617</w:t>
            </w:r>
          </w:p>
        </w:tc>
        <w:tc>
          <w:tcPr>
            <w:tcW w:w="12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219,322,617</w:t>
            </w:r>
          </w:p>
        </w:tc>
        <w:tc>
          <w:tcPr>
            <w:tcW w:w="80" w:type="dxa"/>
            <w:vAlign w:val="bottom"/>
            <w:shd w:val="clear" w:color="auto" w:fill="CFF0FC"/>
          </w:tcPr>
          <w:p>
            <w:pPr>
              <w:spacing w:after="0"/>
              <w:rPr>
                <w:sz w:val="17"/>
                <w:szCs w:val="17"/>
                <w:color w:val="auto"/>
              </w:rPr>
            </w:pPr>
          </w:p>
        </w:tc>
      </w:tr>
      <w:tr>
        <w:trPr>
          <w:trHeight w:val="213"/>
        </w:trPr>
        <w:tc>
          <w:tcPr>
            <w:tcW w:w="3520" w:type="dxa"/>
            <w:vAlign w:val="bottom"/>
            <w:gridSpan w:val="2"/>
          </w:tcPr>
          <w:p>
            <w:pPr>
              <w:ind w:left="40"/>
              <w:spacing w:after="0"/>
              <w:rPr>
                <w:sz w:val="20"/>
                <w:szCs w:val="20"/>
                <w:color w:val="auto"/>
              </w:rPr>
            </w:pPr>
            <w:r>
              <w:rPr>
                <w:rFonts w:ascii="Arial" w:cs="Arial" w:eastAsia="Arial" w:hAnsi="Arial"/>
                <w:sz w:val="17"/>
                <w:szCs w:val="17"/>
                <w:color w:val="auto"/>
              </w:rPr>
              <w:t>Short-term investments</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68,897,679</w:t>
            </w:r>
          </w:p>
        </w:tc>
        <w:tc>
          <w:tcPr>
            <w:tcW w:w="12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6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68,897,679</w:t>
            </w:r>
          </w:p>
        </w:tc>
        <w:tc>
          <w:tcPr>
            <w:tcW w:w="8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7"/>
                <w:szCs w:val="17"/>
                <w:color w:val="auto"/>
              </w:rPr>
              <w:t>Long-term investments</w:t>
            </w:r>
          </w:p>
        </w:tc>
        <w:tc>
          <w:tcPr>
            <w:tcW w:w="188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183,360,225</w:t>
            </w:r>
          </w:p>
        </w:tc>
        <w:tc>
          <w:tcPr>
            <w:tcW w:w="12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FF0FC"/>
          </w:tcPr>
          <w:p>
            <w:pPr>
              <w:ind w:left="6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183,360,225</w:t>
            </w:r>
          </w:p>
        </w:tc>
        <w:tc>
          <w:tcPr>
            <w:tcW w:w="80" w:type="dxa"/>
            <w:vAlign w:val="bottom"/>
            <w:shd w:val="clear" w:color="auto" w:fill="CFF0FC"/>
          </w:tcPr>
          <w:p>
            <w:pPr>
              <w:spacing w:after="0"/>
              <w:rPr>
                <w:sz w:val="18"/>
                <w:szCs w:val="18"/>
                <w:color w:val="auto"/>
              </w:rPr>
            </w:pPr>
          </w:p>
        </w:tc>
      </w:tr>
      <w:tr>
        <w:trPr>
          <w:trHeight w:val="213"/>
        </w:trPr>
        <w:tc>
          <w:tcPr>
            <w:tcW w:w="3520" w:type="dxa"/>
            <w:vAlign w:val="bottom"/>
            <w:gridSpan w:val="2"/>
          </w:tcPr>
          <w:p>
            <w:pPr>
              <w:ind w:left="40"/>
              <w:spacing w:after="0"/>
              <w:rPr>
                <w:sz w:val="20"/>
                <w:szCs w:val="20"/>
                <w:color w:val="auto"/>
              </w:rPr>
            </w:pPr>
            <w:r>
              <w:rPr>
                <w:rFonts w:ascii="Arial" w:cs="Arial" w:eastAsia="Arial" w:hAnsi="Arial"/>
                <w:sz w:val="17"/>
                <w:szCs w:val="17"/>
                <w:color w:val="auto"/>
              </w:rPr>
              <w:t>Contingent consideration</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64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426"/>
        </w:trPr>
        <w:tc>
          <w:tcPr>
            <w:tcW w:w="3520" w:type="dxa"/>
            <w:vAlign w:val="bottom"/>
            <w:gridSpan w:val="2"/>
          </w:tcPr>
          <w:p>
            <w:pPr>
              <w:spacing w:after="0"/>
              <w:rPr>
                <w:sz w:val="20"/>
                <w:szCs w:val="20"/>
                <w:color w:val="auto"/>
              </w:rPr>
            </w:pPr>
            <w:r>
              <w:rPr>
                <w:rFonts w:ascii="Arial" w:cs="Arial" w:eastAsia="Arial" w:hAnsi="Arial"/>
                <w:sz w:val="17"/>
                <w:szCs w:val="17"/>
                <w:color w:val="auto"/>
              </w:rPr>
              <w:t>September 30, 2019:</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40" w:type="dxa"/>
            <w:vAlign w:val="bottom"/>
          </w:tcPr>
          <w:p>
            <w:pPr>
              <w:spacing w:after="0"/>
              <w:rPr>
                <w:sz w:val="24"/>
                <w:szCs w:val="24"/>
                <w:color w:val="auto"/>
              </w:rPr>
            </w:pPr>
          </w:p>
        </w:tc>
        <w:tc>
          <w:tcPr>
            <w:tcW w:w="3480" w:type="dxa"/>
            <w:vAlign w:val="bottom"/>
            <w:tcBorders>
              <w:bottom w:val="single" w:sz="8" w:color="CFF0FC"/>
            </w:tcBorders>
          </w:tcPr>
          <w:p>
            <w:pPr>
              <w:spacing w:after="0"/>
              <w:rPr>
                <w:sz w:val="24"/>
                <w:szCs w:val="24"/>
                <w:color w:val="auto"/>
              </w:rPr>
            </w:pPr>
          </w:p>
        </w:tc>
        <w:tc>
          <w:tcPr>
            <w:tcW w:w="17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18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3</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FF0FC"/>
            </w:tcBorders>
          </w:tcPr>
          <w:p>
            <w:pPr>
              <w:spacing w:after="0"/>
              <w:rPr>
                <w:sz w:val="24"/>
                <w:szCs w:val="24"/>
                <w:color w:val="auto"/>
              </w:rPr>
            </w:pPr>
          </w:p>
        </w:tc>
      </w:tr>
      <w:tr>
        <w:trPr>
          <w:trHeight w:val="205"/>
        </w:trPr>
        <w:tc>
          <w:tcPr>
            <w:tcW w:w="40" w:type="dxa"/>
            <w:vAlign w:val="bottom"/>
          </w:tcPr>
          <w:p>
            <w:pPr>
              <w:spacing w:after="0"/>
              <w:rPr>
                <w:sz w:val="17"/>
                <w:szCs w:val="17"/>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88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221,804,128</w:t>
            </w:r>
          </w:p>
        </w:tc>
        <w:tc>
          <w:tcPr>
            <w:tcW w:w="3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FF0FC"/>
          </w:tcPr>
          <w:p>
            <w:pPr>
              <w:ind w:left="6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221,804,128</w:t>
            </w:r>
          </w:p>
        </w:tc>
        <w:tc>
          <w:tcPr>
            <w:tcW w:w="80" w:type="dxa"/>
            <w:vAlign w:val="bottom"/>
            <w:shd w:val="clear" w:color="auto" w:fill="CFF0FC"/>
          </w:tcPr>
          <w:p>
            <w:pPr>
              <w:spacing w:after="0"/>
              <w:rPr>
                <w:sz w:val="17"/>
                <w:szCs w:val="17"/>
                <w:color w:val="auto"/>
              </w:rPr>
            </w:pPr>
          </w:p>
        </w:tc>
      </w:tr>
      <w:tr>
        <w:trPr>
          <w:trHeight w:val="213"/>
        </w:trPr>
        <w:tc>
          <w:tcPr>
            <w:tcW w:w="3520" w:type="dxa"/>
            <w:vAlign w:val="bottom"/>
            <w:gridSpan w:val="2"/>
          </w:tcPr>
          <w:p>
            <w:pPr>
              <w:ind w:left="40"/>
              <w:spacing w:after="0"/>
              <w:rPr>
                <w:sz w:val="20"/>
                <w:szCs w:val="20"/>
                <w:color w:val="auto"/>
              </w:rPr>
            </w:pPr>
            <w:r>
              <w:rPr>
                <w:rFonts w:ascii="Arial" w:cs="Arial" w:eastAsia="Arial" w:hAnsi="Arial"/>
                <w:sz w:val="17"/>
                <w:szCs w:val="17"/>
                <w:color w:val="auto"/>
              </w:rPr>
              <w:t>Short-term investments</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37,122,478</w:t>
            </w: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68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37,122,478</w:t>
            </w:r>
          </w:p>
        </w:tc>
        <w:tc>
          <w:tcPr>
            <w:tcW w:w="8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3480" w:type="dxa"/>
            <w:vAlign w:val="bottom"/>
            <w:shd w:val="clear" w:color="auto" w:fill="CFF2FF"/>
          </w:tcPr>
          <w:p>
            <w:pPr>
              <w:spacing w:after="0"/>
              <w:rPr>
                <w:sz w:val="20"/>
                <w:szCs w:val="20"/>
                <w:color w:val="auto"/>
              </w:rPr>
            </w:pPr>
            <w:r>
              <w:rPr>
                <w:rFonts w:ascii="Arial" w:cs="Arial" w:eastAsia="Arial" w:hAnsi="Arial"/>
                <w:sz w:val="17"/>
                <w:szCs w:val="17"/>
                <w:color w:val="auto"/>
              </w:rPr>
              <w:t>Long-term investments</w:t>
            </w:r>
          </w:p>
        </w:tc>
        <w:tc>
          <w:tcPr>
            <w:tcW w:w="1880" w:type="dxa"/>
            <w:vAlign w:val="bottom"/>
            <w:gridSpan w:val="3"/>
            <w:shd w:val="clear" w:color="auto" w:fill="CFF2FF"/>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2FF"/>
          </w:tcPr>
          <w:p>
            <w:pPr>
              <w:jc w:val="right"/>
              <w:ind w:right="20"/>
              <w:spacing w:after="0"/>
              <w:rPr>
                <w:sz w:val="20"/>
                <w:szCs w:val="20"/>
                <w:color w:val="auto"/>
              </w:rPr>
            </w:pPr>
            <w:r>
              <w:rPr>
                <w:rFonts w:ascii="Arial" w:cs="Arial" w:eastAsia="Arial" w:hAnsi="Arial"/>
                <w:sz w:val="17"/>
                <w:szCs w:val="17"/>
                <w:color w:val="auto"/>
              </w:rPr>
              <w:t>45,051,251</w:t>
            </w:r>
          </w:p>
        </w:tc>
        <w:tc>
          <w:tcPr>
            <w:tcW w:w="340" w:type="dxa"/>
            <w:vAlign w:val="bottom"/>
            <w:gridSpan w:val="3"/>
            <w:shd w:val="clear" w:color="auto" w:fill="CFF2FF"/>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FF2FF"/>
          </w:tcPr>
          <w:p>
            <w:pPr>
              <w:ind w:left="6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2FF"/>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2FF"/>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shd w:val="clear" w:color="auto" w:fill="CFF2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2FF"/>
          </w:tcPr>
          <w:p>
            <w:pPr>
              <w:jc w:val="right"/>
              <w:spacing w:after="0"/>
              <w:rPr>
                <w:sz w:val="20"/>
                <w:szCs w:val="20"/>
                <w:color w:val="auto"/>
              </w:rPr>
            </w:pPr>
            <w:r>
              <w:rPr>
                <w:rFonts w:ascii="Arial" w:cs="Arial" w:eastAsia="Arial" w:hAnsi="Arial"/>
                <w:sz w:val="17"/>
                <w:szCs w:val="17"/>
                <w:color w:val="auto"/>
              </w:rPr>
              <w:t>45,051,251</w:t>
            </w:r>
          </w:p>
        </w:tc>
        <w:tc>
          <w:tcPr>
            <w:tcW w:w="80" w:type="dxa"/>
            <w:vAlign w:val="bottom"/>
            <w:shd w:val="clear" w:color="auto" w:fill="CFF2FF"/>
          </w:tcPr>
          <w:p>
            <w:pPr>
              <w:spacing w:after="0"/>
              <w:rPr>
                <w:sz w:val="18"/>
                <w:szCs w:val="18"/>
                <w:color w:val="auto"/>
              </w:rPr>
            </w:pPr>
          </w:p>
        </w:tc>
      </w:tr>
      <w:tr>
        <w:trPr>
          <w:trHeight w:val="213"/>
        </w:trPr>
        <w:tc>
          <w:tcPr>
            <w:tcW w:w="3520" w:type="dxa"/>
            <w:vAlign w:val="bottom"/>
            <w:gridSpan w:val="2"/>
          </w:tcPr>
          <w:p>
            <w:pPr>
              <w:ind w:left="40"/>
              <w:spacing w:after="0"/>
              <w:rPr>
                <w:sz w:val="20"/>
                <w:szCs w:val="20"/>
                <w:color w:val="auto"/>
              </w:rPr>
            </w:pPr>
            <w:r>
              <w:rPr>
                <w:rFonts w:ascii="Arial" w:cs="Arial" w:eastAsia="Arial" w:hAnsi="Arial"/>
                <w:sz w:val="17"/>
                <w:szCs w:val="17"/>
                <w:color w:val="auto"/>
              </w:rPr>
              <w:t>Contingent consideration</w:t>
            </w:r>
          </w:p>
        </w:tc>
        <w:tc>
          <w:tcPr>
            <w:tcW w:w="18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3"/>
          </w:tcPr>
          <w:p>
            <w:pPr>
              <w:ind w:left="68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628"/>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7"/>
                <w:szCs w:val="17"/>
                <w:color w:val="auto"/>
                <w:w w:val="93"/>
              </w:rPr>
              <w:t>—</w:t>
            </w: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88"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June 30, 2020 and September 30, 2019.</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6" w:name="page17"/>
    <w:bookmarkEnd w:id="16"/>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140" w:firstLine="511"/>
        <w:spacing w:after="0" w:line="290" w:lineRule="auto"/>
        <w:rPr>
          <w:sz w:val="20"/>
          <w:szCs w:val="20"/>
          <w:color w:val="auto"/>
        </w:rPr>
      </w:pPr>
      <w:r>
        <w:rPr>
          <w:rFonts w:ascii="Arial" w:cs="Arial" w:eastAsia="Arial" w:hAnsi="Arial"/>
          <w:sz w:val="15"/>
          <w:szCs w:val="15"/>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52" w:lineRule="exact"/>
        <w:rPr>
          <w:sz w:val="20"/>
          <w:szCs w:val="20"/>
          <w:color w:val="auto"/>
        </w:rPr>
      </w:pPr>
    </w:p>
    <w:p>
      <w:pPr>
        <w:ind w:right="80" w:firstLine="511"/>
        <w:spacing w:after="0" w:line="286" w:lineRule="auto"/>
        <w:rPr>
          <w:sz w:val="20"/>
          <w:szCs w:val="20"/>
          <w:color w:val="auto"/>
        </w:rPr>
      </w:pPr>
      <w:r>
        <w:rPr>
          <w:rFonts w:ascii="Arial" w:cs="Arial" w:eastAsia="Arial" w:hAnsi="Arial"/>
          <w:sz w:val="15"/>
          <w:szCs w:val="15"/>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ind w:firstLine="511"/>
        <w:spacing w:after="0" w:line="290" w:lineRule="auto"/>
        <w:rPr>
          <w:sz w:val="20"/>
          <w:szCs w:val="20"/>
          <w:color w:val="auto"/>
        </w:rPr>
      </w:pPr>
      <w:r>
        <w:rPr>
          <w:rFonts w:ascii="Arial" w:cs="Arial" w:eastAsia="Arial" w:hAnsi="Arial"/>
          <w:sz w:val="15"/>
          <w:szCs w:val="15"/>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ARO-HSD for liver disease, ARO-ENaC for cystic fibrosis, ARO-HIF2 for renal cell carcinoma, ARO-LUNG2 as a candidate to treat chronic obstructive pulmonary disorder (COPD) and ARO-COV for treatment for</w:t>
      </w:r>
    </w:p>
    <w:p>
      <w:pPr>
        <w:spacing w:after="0" w:line="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current novel coronavirus that causes COVID-19 and other possible future pulmonary-borne pathogens. ARO-JNJ1 is being developed for an undisclosed liver-expressed target under a collaboration agreement with Janssen Pharmaceuticals, Inc. (“Janssen”). ARO-HBV (JNJ-3989) for chronic hepatitis B virus was out-licensed to Janssen in October 2018. ARO-LPA (AMG 890) for cardiovascular disease was out-licensed to Amgen Inc. (“Amgen”) in 2016.</w:t>
      </w:r>
    </w:p>
    <w:p>
      <w:pPr>
        <w:spacing w:after="0" w:line="152" w:lineRule="exact"/>
        <w:rPr>
          <w:sz w:val="20"/>
          <w:szCs w:val="20"/>
          <w:color w:val="auto"/>
        </w:rPr>
      </w:pPr>
    </w:p>
    <w:p>
      <w:pPr>
        <w:jc w:val="both"/>
        <w:ind w:right="480" w:firstLine="511"/>
        <w:spacing w:after="0" w:line="256" w:lineRule="auto"/>
        <w:rPr>
          <w:sz w:val="20"/>
          <w:szCs w:val="20"/>
          <w:color w:val="auto"/>
        </w:rPr>
      </w:pPr>
      <w:r>
        <w:rPr>
          <w:rFonts w:ascii="Arial" w:cs="Arial" w:eastAsia="Arial" w:hAnsi="Arial"/>
          <w:sz w:val="17"/>
          <w:szCs w:val="17"/>
          <w:color w:val="auto"/>
        </w:rPr>
        <w:t>Arrowhead operates a lab facility in Madison, Wisconsin, where the Company’s research and development activities, including the development of RNAi therapeutics, are based. The Company’s principal executive offices are located in Pasadena, California. In March 2020, the Company entered into a sublease for additional research and development facility space in San Diego, California.</w:t>
      </w:r>
    </w:p>
    <w:p>
      <w:pPr>
        <w:spacing w:after="0" w:line="176" w:lineRule="exact"/>
        <w:rPr>
          <w:sz w:val="20"/>
          <w:szCs w:val="20"/>
          <w:color w:val="auto"/>
        </w:rPr>
      </w:pPr>
    </w:p>
    <w:p>
      <w:pPr>
        <w:ind w:right="80" w:firstLine="511"/>
        <w:spacing w:after="0" w:line="220" w:lineRule="auto"/>
        <w:rPr>
          <w:sz w:val="20"/>
          <w:szCs w:val="20"/>
          <w:color w:val="auto"/>
        </w:rPr>
      </w:pPr>
      <w:r>
        <w:rPr>
          <w:rFonts w:ascii="Arial" w:cs="Arial" w:eastAsia="Arial" w:hAnsi="Arial"/>
          <w:sz w:val="15"/>
          <w:szCs w:val="15"/>
          <w:color w:val="auto"/>
        </w:rPr>
        <w:t>Arrowhead has focused its resources on therapeutics that exclusively utilize the company’s Targeted RNAi Molecule (TRiM</w:t>
      </w:r>
      <w:r>
        <w:rPr>
          <w:rFonts w:ascii="Arial" w:cs="Arial" w:eastAsia="Arial" w:hAnsi="Arial"/>
          <w:sz w:val="22"/>
          <w:szCs w:val="22"/>
          <w:color w:val="auto"/>
          <w:vertAlign w:val="superscript"/>
        </w:rPr>
        <w:t>TM</w:t>
      </w:r>
      <w:r>
        <w:rPr>
          <w:rFonts w:ascii="Arial" w:cs="Arial" w:eastAsia="Arial" w:hAnsi="Arial"/>
          <w:sz w:val="15"/>
          <w:szCs w:val="15"/>
          <w:color w:val="auto"/>
        </w:rPr>
        <w:t>) platform technology. Therapeutics built on the TRiM</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platform have demonstrated high levels of pharmacologic activity in multiple animal models spanning several therapeutic areas. TRiM</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91" w:lineRule="exact"/>
        <w:rPr>
          <w:sz w:val="20"/>
          <w:szCs w:val="20"/>
          <w:color w:val="auto"/>
        </w:rPr>
      </w:pPr>
    </w:p>
    <w:p>
      <w:pPr>
        <w:ind w:firstLine="511"/>
        <w:spacing w:after="0" w:line="286" w:lineRule="auto"/>
        <w:rPr>
          <w:sz w:val="20"/>
          <w:szCs w:val="20"/>
          <w:color w:val="auto"/>
        </w:rPr>
      </w:pPr>
      <w:r>
        <w:rPr>
          <w:rFonts w:ascii="Arial" w:cs="Arial" w:eastAsia="Arial" w:hAnsi="Arial"/>
          <w:sz w:val="15"/>
          <w:szCs w:val="15"/>
          <w:color w:val="auto"/>
        </w:rPr>
        <w:t>During fiscal year 2020, the Company has continued to develop its pipeline and partnered candidates. The Company has began dosing in an adaptive design phase 2/3 trial, called SEQUOIA, with the potential to serve as a pivotal registration study of ARO-AAT. The Company also began dosing in its ARO-AAT 2002 study, a pilot open-label, multi-dose Phase 2 study to assess changes in novel histological activity scale in response to ARO-AAT over time in patients with alpha-1 antitrypsin deficiency associated liver disease. In addition, the Company also dosed the first patients in AROHSD1001, a Phase 1/2 clinical study of ARO-HSD, the Company’s investigational RNA interference therapeutic being developed as a treatment for patients with alcohol related and nonalcohol related liver diseases, such as nonalcoholic steatohepatitis (NASH). The Company also presented new clinical data on its two cardiometabolic candidates, ARO-APOC3 and ARO-ANG3, in two late-breaking oral presentations at the American Heart Association Scientific Sessions 2019. In addition, the Company filed an investigational new drug (“IND”) application to begin a phase 1b study of ARO-HIF2 and filed a clinical trials application (“CTA”) to begin a phase 1 study of ARO-ENaC.</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ind w:right="20" w:firstLine="511"/>
        <w:spacing w:after="0" w:line="264" w:lineRule="auto"/>
        <w:rPr>
          <w:sz w:val="20"/>
          <w:szCs w:val="20"/>
          <w:color w:val="auto"/>
        </w:rPr>
      </w:pPr>
      <w:r>
        <w:rPr>
          <w:rFonts w:ascii="Arial" w:cs="Arial" w:eastAsia="Arial" w:hAnsi="Arial"/>
          <w:sz w:val="16"/>
          <w:szCs w:val="16"/>
          <w:color w:val="auto"/>
        </w:rPr>
        <w:t>The Company’s partnered candidates under its collaboration agreements with Janssen and Amgen also continue to progress. Janssen began dosing patients in a phase 2b triple combination study called REEF-1, designed to enroll up to 450 patients with chronic hepatitis B infection, and in connection with the start of this study Arrowhead earned a $25 million milestone payment under the License Agreement (“Janssen License Agreement”). Janssen has also nominated the first of 3 potential candidates under the Research Collaboration and Option Agreement (“Janssen Collaboration Agreement”), ARO-JNJ1, and the Company is currently performing discovery, optimization and preclinical research and development for this candidate. Under the terms of the Janssen agreements taken together, the Company has received $175 million as an upfront payment, $75 million in the form of an equity investment by Johnson &amp; Johnson Innovation-JJDC, Inc. (“JJDC”) in Arrowhead common stock under the Stock Purchase Agreement (“JJDC Stock Purchase Agreement”),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 The Company’s collaboration agreement with Amgen for AMG 890 (ARO-LPA), (the “Second Collaboration and License Agreement” or “AMG 890 (ARO-LPA) Agreement”), continues to progress. The Company has received $35 million in upfront payments, $21.5 million in the form of an equity investment by Amgen in the Company’s Common Stock, a $10 million milestone payment, and may receive up to $420 million in development, regulatory and sales milestone payments. The Company is eligible to receive up to low double-digit royalties for sales of products under the AMG 890 (ARO-LPA) Agreement. In July 2020, Amgen initiated a Phase 2 clinical study, which will result in a $20 million milestone payment to the Company.</w:t>
      </w:r>
    </w:p>
    <w:p>
      <w:pPr>
        <w:spacing w:after="0" w:line="171" w:lineRule="exact"/>
        <w:rPr>
          <w:sz w:val="20"/>
          <w:szCs w:val="20"/>
          <w:color w:val="auto"/>
        </w:rPr>
      </w:pPr>
    </w:p>
    <w:p>
      <w:pPr>
        <w:ind w:right="320" w:firstLine="511"/>
        <w:spacing w:after="0" w:line="292" w:lineRule="auto"/>
        <w:rPr>
          <w:sz w:val="20"/>
          <w:szCs w:val="20"/>
          <w:color w:val="auto"/>
        </w:rPr>
      </w:pPr>
      <w:r>
        <w:rPr>
          <w:rFonts w:ascii="Arial" w:cs="Arial" w:eastAsia="Arial" w:hAnsi="Arial"/>
          <w:sz w:val="15"/>
          <w:szCs w:val="15"/>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53" w:lineRule="exact"/>
        <w:rPr>
          <w:sz w:val="20"/>
          <w:szCs w:val="20"/>
          <w:color w:val="auto"/>
        </w:rPr>
      </w:pPr>
    </w:p>
    <w:p>
      <w:pPr>
        <w:ind w:firstLine="511"/>
        <w:spacing w:after="0" w:line="285" w:lineRule="auto"/>
        <w:rPr>
          <w:sz w:val="20"/>
          <w:szCs w:val="20"/>
          <w:color w:val="auto"/>
        </w:rPr>
      </w:pPr>
      <w:r>
        <w:rPr>
          <w:rFonts w:ascii="Arial" w:cs="Arial" w:eastAsia="Arial" w:hAnsi="Arial"/>
          <w:sz w:val="15"/>
          <w:szCs w:val="15"/>
          <w:color w:val="auto"/>
        </w:rPr>
        <w:t>The Company is actively monitoring the COVID-19 pandemic. The financial results for the three and nine months ended June 30, 2020 were not significantly impacted by COVID-19. The Company temporarily paused enrollment in its two ARO-AAT studies, SEQUOIA and the ARO-AAT 2002 study, but resumed the process of screening and enrolling patients during the three months ended June 30, 2020. During the pause in enrollment, patients already enrolled in these studies continued to be dosed per protocol and continued to come in for their follow up visits. Additional delays have occurred in the Company’s earlier stage programs, but we do not expect a material impact to any program’s anticipated timelines. Several of the Company’s other clinical candidates are in the start-up stage (ARO-HSD, ARO-HIF2 and ARO-ENaC), during which significant clinical costs will continue to be incurred. Additionally, the Company’s operations at its research and development facilities in Madison, Wisconsin and San Diego, California, as well as its corporate headquarters in Pasadena, California have continued to operate with limited impact, other than for enhanced safety measures, including work from home policies. However, the Company cannot predict the impact of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w:t>
      </w:r>
    </w:p>
    <w:p>
      <w:pPr>
        <w:spacing w:after="0" w:line="156" w:lineRule="exact"/>
        <w:rPr>
          <w:sz w:val="20"/>
          <w:szCs w:val="20"/>
          <w:color w:val="auto"/>
        </w:rPr>
      </w:pPr>
    </w:p>
    <w:p>
      <w:pPr>
        <w:ind w:right="20" w:firstLine="511"/>
        <w:spacing w:after="0" w:line="290" w:lineRule="auto"/>
        <w:rPr>
          <w:sz w:val="20"/>
          <w:szCs w:val="20"/>
          <w:color w:val="auto"/>
        </w:rPr>
      </w:pPr>
      <w:r>
        <w:rPr>
          <w:rFonts w:ascii="Arial" w:cs="Arial" w:eastAsia="Arial" w:hAnsi="Arial"/>
          <w:sz w:val="15"/>
          <w:szCs w:val="15"/>
          <w:color w:val="auto"/>
        </w:rPr>
        <w:t>Net losses were $13.6 million for the three months ended June 30, 2020 as compared to net income of $20.3 million for the three months ended June 30, 2019. Net losses were $36.1 million for the nine months ended June 30, 2020 as compared to net income of $56.3 million for the nine months ended June 30, 2019. Net losses per share – diluted were $0.13 for the three months ended June 30, 2020 as compared to net income per share - diluted of $0.21 for the three months ended June 30, 2019. Net losses per share – diluted were $0.36 for the nine months ended June 30, 2020 as compared to net income per share – diluted of $0.58 for the nine months ended June 30, 2019. An increase in research and development and general and administrative expenses coupled with a decrease in revenue from the license and collaboration agreements with Janssen were the drivers of the increase in net losses and net losses per share, as discussed further below.</w:t>
      </w:r>
    </w:p>
    <w:p>
      <w:pPr>
        <w:spacing w:after="0" w:line="152" w:lineRule="exact"/>
        <w:rPr>
          <w:sz w:val="20"/>
          <w:szCs w:val="20"/>
          <w:color w:val="auto"/>
        </w:rPr>
      </w:pPr>
    </w:p>
    <w:p>
      <w:pPr>
        <w:ind w:right="20" w:firstLine="511"/>
        <w:spacing w:after="0" w:line="285" w:lineRule="auto"/>
        <w:rPr>
          <w:sz w:val="20"/>
          <w:szCs w:val="20"/>
          <w:color w:val="auto"/>
        </w:rPr>
      </w:pPr>
      <w:r>
        <w:rPr>
          <w:rFonts w:ascii="Arial" w:cs="Arial" w:eastAsia="Arial" w:hAnsi="Arial"/>
          <w:sz w:val="15"/>
          <w:szCs w:val="15"/>
          <w:color w:val="auto"/>
        </w:rPr>
        <w:t>The Company strengthened its liquidity and financial position through the Janssen License Agreement, Janssen Collaboration Agreement and JJDC Stock Purchase Agreement, executed in October 2018. Under the terms of the agreements taken together, the Company has received $175 million as an upfront payment, $75 million in the form of an equity investment by JJDC in Arrowhead common stock, and two $25 million milestone payments. Additionally, in December 2019, the Company completed a securities offering which generated approximately $250.5 million in net cash proceeds. Moreover, effective August 5, 2020, the Company entered into an Open Market Sale Agreement with Jefferies LLC (the “ATM Agreement”), which provides that, subject to the conditions and limitations set forth in the ATM Agreement, the Company may elect, from time to time, to issue and sell shares of the Company’s common stock up to $250 million. These cash proceeds secure the funding needed to continue to advance our pipeline candidates. The Company had $219.3 million of cash and cash equivalents, $67.7 million in short-term investments, $177.5 million of long term investments and $555.7 million of total assets as of June 30, 2020, as compared to $221.8 million, $36.9 million, $44.2 million and $349.8 million as of September 30, 2019, respectively. Based upon the Company’s current cash and investment resources and operating plan, the Company expects to have sufficient liquidity to fund operations for at least the next twelve months.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105" w:lineRule="exact"/>
        <w:rPr>
          <w:sz w:val="20"/>
          <w:szCs w:val="20"/>
          <w:color w:val="auto"/>
        </w:rPr>
      </w:pPr>
    </w:p>
    <w:p>
      <w:pPr>
        <w:ind w:right="20" w:firstLine="511"/>
        <w:spacing w:after="0" w:line="288" w:lineRule="auto"/>
        <w:rPr>
          <w:sz w:val="20"/>
          <w:szCs w:val="20"/>
          <w:color w:val="auto"/>
        </w:rPr>
      </w:pPr>
      <w:r>
        <w:rPr>
          <w:rFonts w:ascii="Arial" w:cs="Arial" w:eastAsia="Arial" w:hAnsi="Arial"/>
          <w:sz w:val="15"/>
          <w:szCs w:val="15"/>
          <w:color w:val="auto"/>
        </w:rPr>
        <w:t xml:space="preserve">Management makes certain judgments and uses certain estimates and assumptions when applying generally accepted accounting principles in the United States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5"/>
          <w:szCs w:val="15"/>
          <w:i w:val="1"/>
          <w:iCs w:val="1"/>
          <w:color w:val="auto"/>
        </w:rPr>
        <w:t>Note 1, Organization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Significant Accounting Policies</w:t>
      </w:r>
      <w:r>
        <w:rPr>
          <w:rFonts w:ascii="Arial" w:cs="Arial" w:eastAsia="Arial" w:hAnsi="Arial"/>
          <w:sz w:val="15"/>
          <w:szCs w:val="15"/>
          <w:color w:val="auto"/>
        </w:rPr>
        <w:t>, to our Consolidated Financial Statements, which outlines our application of significant accounting policies.</w:t>
      </w:r>
    </w:p>
    <w:p>
      <w:pPr>
        <w:spacing w:after="0" w:line="154" w:lineRule="exact"/>
        <w:rPr>
          <w:sz w:val="20"/>
          <w:szCs w:val="20"/>
          <w:color w:val="auto"/>
        </w:rPr>
      </w:pPr>
    </w:p>
    <w:p>
      <w:pPr>
        <w:ind w:right="180" w:firstLine="511"/>
        <w:spacing w:after="0" w:line="334" w:lineRule="auto"/>
        <w:rPr>
          <w:sz w:val="20"/>
          <w:szCs w:val="20"/>
          <w:color w:val="auto"/>
        </w:rPr>
      </w:pPr>
      <w:r>
        <w:rPr>
          <w:rFonts w:ascii="Arial" w:cs="Arial" w:eastAsia="Arial" w:hAnsi="Arial"/>
          <w:sz w:val="15"/>
          <w:szCs w:val="15"/>
          <w:color w:val="auto"/>
        </w:rPr>
        <w:t>There have been no changes to the significant accounting policies disclosed in the Company’s most recent Annual Report on Form 10-K, except as a result of the Financial Accounting Standards Board’s (“FASB”) Accounting Standards Update (“ASU”) No. 2016-02, Leases (ASC 842), as discussed below:</w:t>
      </w:r>
    </w:p>
    <w:p>
      <w:pPr>
        <w:spacing w:after="0" w:line="121" w:lineRule="exact"/>
        <w:rPr>
          <w:sz w:val="20"/>
          <w:szCs w:val="20"/>
          <w:color w:val="auto"/>
        </w:rPr>
      </w:pPr>
    </w:p>
    <w:p>
      <w:pPr>
        <w:ind w:firstLine="511"/>
        <w:spacing w:after="0" w:line="285" w:lineRule="auto"/>
        <w:rPr>
          <w:sz w:val="20"/>
          <w:szCs w:val="20"/>
          <w:color w:val="auto"/>
        </w:rPr>
      </w:pPr>
      <w:r>
        <w:rPr>
          <w:rFonts w:ascii="Arial" w:cs="Arial" w:eastAsia="Arial" w:hAnsi="Arial"/>
          <w:sz w:val="15"/>
          <w:szCs w:val="15"/>
          <w:color w:val="auto"/>
        </w:rPr>
        <w:t>Leases - 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minus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data summarizes our results of operations for the following periods indicated:</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150"/>
        </w:trPr>
        <w:tc>
          <w:tcPr>
            <w:tcW w:w="3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ind w:right="142"/>
              <w:spacing w:after="0"/>
              <w:rPr>
                <w:sz w:val="20"/>
                <w:szCs w:val="20"/>
                <w:color w:val="auto"/>
              </w:rPr>
            </w:pPr>
            <w:r>
              <w:rPr>
                <w:rFonts w:ascii="Arial" w:cs="Arial" w:eastAsia="Arial" w:hAnsi="Arial"/>
                <w:sz w:val="13"/>
                <w:szCs w:val="13"/>
                <w:b w:val="1"/>
                <w:bCs w:val="1"/>
                <w:color w:val="auto"/>
                <w:w w:val="94"/>
              </w:rPr>
              <w:t>Three Months Ended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jc w:val="center"/>
              <w:ind w:right="162"/>
              <w:spacing w:after="0"/>
              <w:rPr>
                <w:sz w:val="20"/>
                <w:szCs w:val="20"/>
                <w:color w:val="auto"/>
              </w:rPr>
            </w:pPr>
            <w:r>
              <w:rPr>
                <w:rFonts w:ascii="Arial" w:cs="Arial" w:eastAsia="Arial" w:hAnsi="Arial"/>
                <w:sz w:val="13"/>
                <w:szCs w:val="13"/>
                <w:b w:val="1"/>
                <w:bCs w:val="1"/>
                <w:color w:val="auto"/>
                <w:w w:val="93"/>
              </w:rPr>
              <w:t>Three Months Ended</w:t>
            </w:r>
          </w:p>
        </w:tc>
      </w:tr>
      <w:tr>
        <w:trPr>
          <w:trHeight w:val="158"/>
        </w:trPr>
        <w:tc>
          <w:tcPr>
            <w:tcW w:w="33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June 30, 2020</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89"/>
              </w:rPr>
              <w:t>June 30, 2019</w:t>
            </w:r>
          </w:p>
        </w:tc>
      </w:tr>
      <w:tr>
        <w:trPr>
          <w:trHeight w:val="205"/>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27,375,778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FF0FC"/>
          </w:tcPr>
          <w:p>
            <w:pPr>
              <w:jc w:val="right"/>
              <w:ind w:right="102"/>
              <w:spacing w:after="0"/>
              <w:rPr>
                <w:sz w:val="20"/>
                <w:szCs w:val="20"/>
                <w:color w:val="auto"/>
              </w:rPr>
            </w:pPr>
            <w:r>
              <w:rPr>
                <w:rFonts w:ascii="Arial" w:cs="Arial" w:eastAsia="Arial" w:hAnsi="Arial"/>
                <w:sz w:val="17"/>
                <w:szCs w:val="17"/>
                <w:color w:val="auto"/>
              </w:rPr>
              <w:t>42,696,636</w:t>
            </w:r>
          </w:p>
        </w:tc>
      </w:tr>
      <w:tr>
        <w:trPr>
          <w:trHeight w:val="213"/>
        </w:trPr>
        <w:tc>
          <w:tcPr>
            <w:tcW w:w="3360" w:type="dxa"/>
            <w:vAlign w:val="bottom"/>
          </w:tcPr>
          <w:p>
            <w:pPr>
              <w:spacing w:after="0"/>
              <w:rPr>
                <w:sz w:val="20"/>
                <w:szCs w:val="20"/>
                <w:color w:val="auto"/>
              </w:rPr>
            </w:pPr>
            <w:r>
              <w:rPr>
                <w:rFonts w:ascii="Arial" w:cs="Arial" w:eastAsia="Arial" w:hAnsi="Arial"/>
                <w:sz w:val="17"/>
                <w:szCs w:val="17"/>
                <w:color w:val="auto"/>
              </w:rPr>
              <w:t>Operating Income (Loss)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42"/>
              <w:spacing w:after="0"/>
              <w:rPr>
                <w:sz w:val="20"/>
                <w:szCs w:val="20"/>
                <w:color w:val="auto"/>
              </w:rPr>
            </w:pPr>
            <w:r>
              <w:rPr>
                <w:rFonts w:ascii="Arial" w:cs="Arial" w:eastAsia="Arial" w:hAnsi="Arial"/>
                <w:sz w:val="17"/>
                <w:szCs w:val="17"/>
                <w:color w:val="auto"/>
              </w:rPr>
              <w:t>(15,945,862)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02"/>
              <w:spacing w:after="0"/>
              <w:rPr>
                <w:sz w:val="20"/>
                <w:szCs w:val="20"/>
                <w:color w:val="auto"/>
              </w:rPr>
            </w:pPr>
            <w:r>
              <w:rPr>
                <w:rFonts w:ascii="Arial" w:cs="Arial" w:eastAsia="Arial" w:hAnsi="Arial"/>
                <w:sz w:val="17"/>
                <w:szCs w:val="17"/>
                <w:color w:val="auto"/>
              </w:rPr>
              <w:t>18,595,749</w:t>
            </w:r>
          </w:p>
        </w:tc>
      </w:tr>
      <w:tr>
        <w:trPr>
          <w:trHeight w:val="213"/>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(13,611,213)</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02"/>
              <w:spacing w:after="0"/>
              <w:rPr>
                <w:sz w:val="20"/>
                <w:szCs w:val="20"/>
                <w:color w:val="auto"/>
              </w:rPr>
            </w:pPr>
            <w:r>
              <w:rPr>
                <w:rFonts w:ascii="Arial" w:cs="Arial" w:eastAsia="Arial" w:hAnsi="Arial"/>
                <w:sz w:val="17"/>
                <w:szCs w:val="17"/>
                <w:color w:val="auto"/>
              </w:rPr>
              <w:t>20,335,708</w:t>
            </w:r>
          </w:p>
        </w:tc>
      </w:tr>
      <w:tr>
        <w:trPr>
          <w:trHeight w:val="213"/>
        </w:trPr>
        <w:tc>
          <w:tcPr>
            <w:tcW w:w="3360" w:type="dxa"/>
            <w:vAlign w:val="bottom"/>
          </w:tcPr>
          <w:p>
            <w:pPr>
              <w:spacing w:after="0"/>
              <w:rPr>
                <w:sz w:val="20"/>
                <w:szCs w:val="20"/>
                <w:color w:val="auto"/>
              </w:rPr>
            </w:pPr>
            <w:r>
              <w:rPr>
                <w:rFonts w:ascii="Arial" w:cs="Arial" w:eastAsia="Arial" w:hAnsi="Arial"/>
                <w:sz w:val="17"/>
                <w:szCs w:val="17"/>
                <w:color w:val="auto"/>
              </w:rPr>
              <w:t>Net Income (Loss) per Share (Diluted)</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42"/>
              <w:spacing w:after="0"/>
              <w:rPr>
                <w:sz w:val="20"/>
                <w:szCs w:val="20"/>
                <w:color w:val="auto"/>
              </w:rPr>
            </w:pPr>
            <w:r>
              <w:rPr>
                <w:rFonts w:ascii="Arial" w:cs="Arial" w:eastAsia="Arial" w:hAnsi="Arial"/>
                <w:sz w:val="17"/>
                <w:szCs w:val="17"/>
                <w:color w:val="auto"/>
              </w:rPr>
              <w:t>(0.13)</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02"/>
              <w:spacing w:after="0"/>
              <w:rPr>
                <w:sz w:val="20"/>
                <w:szCs w:val="20"/>
                <w:color w:val="auto"/>
              </w:rPr>
            </w:pPr>
            <w:r>
              <w:rPr>
                <w:rFonts w:ascii="Arial" w:cs="Arial" w:eastAsia="Arial" w:hAnsi="Arial"/>
                <w:sz w:val="17"/>
                <w:szCs w:val="17"/>
                <w:color w:val="auto"/>
              </w:rPr>
              <w:t>0.21</w:t>
            </w:r>
          </w:p>
        </w:tc>
      </w:tr>
      <w:tr>
        <w:trPr>
          <w:trHeight w:val="368"/>
        </w:trPr>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center"/>
              <w:ind w:right="142"/>
              <w:spacing w:after="0"/>
              <w:rPr>
                <w:sz w:val="20"/>
                <w:szCs w:val="20"/>
                <w:color w:val="auto"/>
              </w:rPr>
            </w:pPr>
            <w:r>
              <w:rPr>
                <w:rFonts w:ascii="Arial" w:cs="Arial" w:eastAsia="Arial" w:hAnsi="Arial"/>
                <w:sz w:val="13"/>
                <w:szCs w:val="13"/>
                <w:b w:val="1"/>
                <w:bCs w:val="1"/>
                <w:color w:val="auto"/>
                <w:w w:val="93"/>
              </w:rPr>
              <w:t>Nine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ind w:right="142"/>
              <w:spacing w:after="0"/>
              <w:rPr>
                <w:sz w:val="20"/>
                <w:szCs w:val="20"/>
                <w:color w:val="auto"/>
              </w:rPr>
            </w:pPr>
            <w:r>
              <w:rPr>
                <w:rFonts w:ascii="Arial" w:cs="Arial" w:eastAsia="Arial" w:hAnsi="Arial"/>
                <w:sz w:val="13"/>
                <w:szCs w:val="13"/>
                <w:b w:val="1"/>
                <w:bCs w:val="1"/>
                <w:color w:val="auto"/>
                <w:w w:val="93"/>
              </w:rPr>
              <w:t>Nine Months Ended</w:t>
            </w:r>
          </w:p>
        </w:tc>
      </w:tr>
      <w:tr>
        <w:trPr>
          <w:trHeight w:val="158"/>
        </w:trPr>
        <w:tc>
          <w:tcPr>
            <w:tcW w:w="33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2"/>
              </w:rPr>
              <w:t>June 30, 2020</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89"/>
              </w:rPr>
              <w:t>June 30, 2019</w:t>
            </w:r>
          </w:p>
        </w:tc>
      </w:tr>
      <w:tr>
        <w:trPr>
          <w:trHeight w:val="205"/>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80,359,211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FF0FC"/>
          </w:tcPr>
          <w:p>
            <w:pPr>
              <w:jc w:val="right"/>
              <w:ind w:right="102"/>
              <w:spacing w:after="0"/>
              <w:rPr>
                <w:sz w:val="20"/>
                <w:szCs w:val="20"/>
                <w:color w:val="auto"/>
              </w:rPr>
            </w:pPr>
            <w:r>
              <w:rPr>
                <w:rFonts w:ascii="Arial" w:cs="Arial" w:eastAsia="Arial" w:hAnsi="Arial"/>
                <w:sz w:val="17"/>
                <w:szCs w:val="17"/>
                <w:color w:val="auto"/>
              </w:rPr>
              <w:t>125,502,807</w:t>
            </w:r>
          </w:p>
        </w:tc>
      </w:tr>
      <w:tr>
        <w:trPr>
          <w:trHeight w:val="213"/>
        </w:trPr>
        <w:tc>
          <w:tcPr>
            <w:tcW w:w="3360" w:type="dxa"/>
            <w:vAlign w:val="bottom"/>
          </w:tcPr>
          <w:p>
            <w:pPr>
              <w:spacing w:after="0"/>
              <w:rPr>
                <w:sz w:val="20"/>
                <w:szCs w:val="20"/>
                <w:color w:val="auto"/>
              </w:rPr>
            </w:pPr>
            <w:r>
              <w:rPr>
                <w:rFonts w:ascii="Arial" w:cs="Arial" w:eastAsia="Arial" w:hAnsi="Arial"/>
                <w:sz w:val="17"/>
                <w:szCs w:val="17"/>
                <w:color w:val="auto"/>
              </w:rPr>
              <w:t>Operating Income (Loss)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42"/>
              <w:spacing w:after="0"/>
              <w:rPr>
                <w:sz w:val="20"/>
                <w:szCs w:val="20"/>
                <w:color w:val="auto"/>
              </w:rPr>
            </w:pPr>
            <w:r>
              <w:rPr>
                <w:rFonts w:ascii="Arial" w:cs="Arial" w:eastAsia="Arial" w:hAnsi="Arial"/>
                <w:sz w:val="17"/>
                <w:szCs w:val="17"/>
                <w:color w:val="auto"/>
              </w:rPr>
              <w:t>(43,039,711)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ind w:right="102"/>
              <w:spacing w:after="0"/>
              <w:rPr>
                <w:sz w:val="20"/>
                <w:szCs w:val="20"/>
                <w:color w:val="auto"/>
              </w:rPr>
            </w:pPr>
            <w:r>
              <w:rPr>
                <w:rFonts w:ascii="Arial" w:cs="Arial" w:eastAsia="Arial" w:hAnsi="Arial"/>
                <w:sz w:val="17"/>
                <w:szCs w:val="17"/>
                <w:color w:val="auto"/>
              </w:rPr>
              <w:t>51,552,585</w:t>
            </w:r>
          </w:p>
        </w:tc>
      </w:tr>
      <w:tr>
        <w:trPr>
          <w:trHeight w:val="213"/>
        </w:trPr>
        <w:tc>
          <w:tcPr>
            <w:tcW w:w="336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(36,120,511)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02"/>
              <w:spacing w:after="0"/>
              <w:rPr>
                <w:sz w:val="20"/>
                <w:szCs w:val="20"/>
                <w:color w:val="auto"/>
              </w:rPr>
            </w:pPr>
            <w:r>
              <w:rPr>
                <w:rFonts w:ascii="Arial" w:cs="Arial" w:eastAsia="Arial" w:hAnsi="Arial"/>
                <w:sz w:val="17"/>
                <w:szCs w:val="17"/>
                <w:color w:val="auto"/>
              </w:rPr>
              <w:t>56,269,944</w:t>
            </w:r>
          </w:p>
        </w:tc>
      </w:tr>
      <w:tr>
        <w:trPr>
          <w:trHeight w:val="213"/>
        </w:trPr>
        <w:tc>
          <w:tcPr>
            <w:tcW w:w="3360" w:type="dxa"/>
            <w:vAlign w:val="bottom"/>
          </w:tcPr>
          <w:p>
            <w:pPr>
              <w:spacing w:after="0"/>
              <w:rPr>
                <w:sz w:val="20"/>
                <w:szCs w:val="20"/>
                <w:color w:val="auto"/>
              </w:rPr>
            </w:pPr>
            <w:r>
              <w:rPr>
                <w:rFonts w:ascii="Arial" w:cs="Arial" w:eastAsia="Arial" w:hAnsi="Arial"/>
                <w:sz w:val="17"/>
                <w:szCs w:val="17"/>
                <w:color w:val="auto"/>
              </w:rPr>
              <w:t>Net Income (Loss) per Share (Diluted)</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42"/>
              <w:spacing w:after="0"/>
              <w:rPr>
                <w:sz w:val="20"/>
                <w:szCs w:val="20"/>
                <w:color w:val="auto"/>
              </w:rPr>
            </w:pPr>
            <w:r>
              <w:rPr>
                <w:rFonts w:ascii="Arial" w:cs="Arial" w:eastAsia="Arial" w:hAnsi="Arial"/>
                <w:sz w:val="17"/>
                <w:szCs w:val="17"/>
                <w:color w:val="auto"/>
              </w:rPr>
              <w:t>(0.36)</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02"/>
              <w:spacing w:after="0"/>
              <w:rPr>
                <w:sz w:val="20"/>
                <w:szCs w:val="20"/>
                <w:color w:val="auto"/>
              </w:rPr>
            </w:pPr>
            <w:r>
              <w:rPr>
                <w:rFonts w:ascii="Arial" w:cs="Arial" w:eastAsia="Arial" w:hAnsi="Arial"/>
                <w:sz w:val="17"/>
                <w:szCs w:val="17"/>
                <w:color w:val="auto"/>
              </w:rPr>
              <w:t>0.58</w:t>
            </w:r>
          </w:p>
        </w:tc>
      </w:tr>
    </w:tbl>
    <w:p>
      <w:pPr>
        <w:spacing w:after="0" w:line="226" w:lineRule="exact"/>
        <w:rPr>
          <w:sz w:val="20"/>
          <w:szCs w:val="20"/>
          <w:color w:val="auto"/>
        </w:rPr>
      </w:pPr>
    </w:p>
    <w:p>
      <w:pPr>
        <w:ind w:firstLine="511"/>
        <w:spacing w:after="0" w:line="251" w:lineRule="auto"/>
        <w:rPr>
          <w:sz w:val="20"/>
          <w:szCs w:val="20"/>
          <w:color w:val="auto"/>
        </w:rPr>
      </w:pPr>
      <w:r>
        <w:rPr>
          <w:rFonts w:ascii="Arial" w:cs="Arial" w:eastAsia="Arial" w:hAnsi="Arial"/>
          <w:sz w:val="17"/>
          <w:szCs w:val="17"/>
          <w:color w:val="auto"/>
        </w:rPr>
        <w:t>The decrease in our Revenue during the three and nine months ended June 30, 2020 was driven by the timing of progress achieved in completing our performance obligation from our agreements with Janssen and JJDC, which were executed in October 2018; partially offset by the $20 million milestone revenue from Amgen for the initiation of phase 2 clinical study for AMG 890 (ARO-LPA). The increase in our Net Loss during the three and nine months ended June 30, 2020 was driven by this decrease in Revenue and also increases in Research and Development and General and Administrative Expenses as our pipeline of clinical candidates has continued to increase.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Revenue</w:t>
      </w:r>
    </w:p>
    <w:p>
      <w:pPr>
        <w:spacing w:after="0" w:line="109" w:lineRule="exact"/>
        <w:rPr>
          <w:sz w:val="20"/>
          <w:szCs w:val="20"/>
          <w:color w:val="auto"/>
        </w:rPr>
      </w:pPr>
    </w:p>
    <w:p>
      <w:pPr>
        <w:ind w:right="140" w:firstLine="511"/>
        <w:spacing w:after="0" w:line="253" w:lineRule="auto"/>
        <w:rPr>
          <w:sz w:val="20"/>
          <w:szCs w:val="20"/>
          <w:color w:val="auto"/>
        </w:rPr>
      </w:pPr>
      <w:r>
        <w:rPr>
          <w:rFonts w:ascii="Arial" w:cs="Arial" w:eastAsia="Arial" w:hAnsi="Arial"/>
          <w:sz w:val="17"/>
          <w:szCs w:val="17"/>
          <w:color w:val="auto"/>
        </w:rPr>
        <w:t>Total revenue was $27,375,778 for the three months ended June 30, 2020 and $42,696,636 for the three months ended June 30, 2019. Total revenue was $80,359,211 for the nine months ended June 30, 2020 and $125,502,807 for the nine months ended June 30, 2019. Revenue in the both periods is primarily related to the recognition of a portion of the $252.6 million initial transaction price associated with our agreements with Janssen and JJDC as we achieved progress toward completing our performance obligation within those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Amgen Inc.</w:t>
      </w:r>
    </w:p>
    <w:p>
      <w:pPr>
        <w:spacing w:after="0" w:line="105" w:lineRule="exact"/>
        <w:rPr>
          <w:sz w:val="20"/>
          <w:szCs w:val="20"/>
          <w:color w:val="auto"/>
        </w:rPr>
      </w:pPr>
    </w:p>
    <w:p>
      <w:pPr>
        <w:ind w:firstLine="511"/>
        <w:spacing w:after="0" w:line="265"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a $10 million milestone payment, and may receive up to $420 million in development, regulatory and sales milestone payments. The Company is further eligible to receive up to low double-digit royalties for sales of products under the AMG 890 (ARO-LPA) Agreement. In July 2019, Amgen informed the Company that it would not be exercising its option for an exclusive license for ARO-AMG1, and as such, there will be no further milestone or royalty payments under the ARO-AMG1 Agreement.</w:t>
      </w:r>
    </w:p>
    <w:p>
      <w:pPr>
        <w:spacing w:after="0" w:line="170" w:lineRule="exact"/>
        <w:rPr>
          <w:sz w:val="20"/>
          <w:szCs w:val="20"/>
          <w:color w:val="auto"/>
        </w:rPr>
      </w:pPr>
    </w:p>
    <w:p>
      <w:pPr>
        <w:ind w:firstLine="511"/>
        <w:spacing w:after="0" w:line="275" w:lineRule="auto"/>
        <w:rPr>
          <w:sz w:val="20"/>
          <w:szCs w:val="20"/>
          <w:color w:val="auto"/>
        </w:rPr>
      </w:pPr>
      <w:r>
        <w:rPr>
          <w:rFonts w:ascii="Arial" w:cs="Arial" w:eastAsia="Arial" w:hAnsi="Arial"/>
          <w:sz w:val="16"/>
          <w:szCs w:val="16"/>
          <w:color w:val="auto"/>
        </w:rPr>
        <w:t>The Company substantially completed its performance obligations under the AMG 890 (ARO-LPA) Agreement and the ARO-AMG1 Agreement. Future milestones and royalties achieved will be recognized in their entirety when earned. In July 2020, Amgen initiated a Phase 2 clinical study, which will result in a $20 million milestone payment to the Company. During the three months ended June 30, 2020 and 2019, the Company recognized $20 million and $0 million of Revenue associated with its agreements with Amgen, respectively. During the nine months ended June 30, 2020 and 2019, the Company recognized $20 million and $0.3 million of Revenue associated with its agreements with Amgen, respectively. As of June 30, 2020, there were $20 million in contract assets recorded as accounts receivable, and $0 contract liabilities recorded as current deferred revenue on the Company’s Consolidated Balance Sheets.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Janssen Pharmaceuticals, Inc.</w:t>
      </w:r>
    </w:p>
    <w:p>
      <w:pPr>
        <w:spacing w:after="0" w:line="105" w:lineRule="exact"/>
        <w:rPr>
          <w:sz w:val="20"/>
          <w:szCs w:val="20"/>
          <w:color w:val="auto"/>
        </w:rPr>
      </w:pPr>
    </w:p>
    <w:p>
      <w:pPr>
        <w:ind w:right="20" w:firstLine="511"/>
        <w:spacing w:after="0" w:line="282" w:lineRule="auto"/>
        <w:rPr>
          <w:sz w:val="20"/>
          <w:szCs w:val="20"/>
          <w:color w:val="auto"/>
        </w:rPr>
      </w:pPr>
      <w:r>
        <w:rPr>
          <w:rFonts w:ascii="Arial" w:cs="Arial" w:eastAsia="Arial" w:hAnsi="Arial"/>
          <w:sz w:val="15"/>
          <w:szCs w:val="15"/>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JNJ-3989 (ARO-HBV) program, the Company’s third-generation subcutaneously administered RNAi therapeutic candidate being developed as a potentially curative therapy for patients with chronic hepatitis B virus infection. Beyond the Company’s ongoing Phase 1 / 2 study of JNJ-3989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research and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 million as an upfront payment, $75 million in the form of an equity investment by JJDC in Arrowhead common stock, two $25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66" w:lineRule="exact"/>
        <w:rPr>
          <w:sz w:val="20"/>
          <w:szCs w:val="20"/>
          <w:color w:val="auto"/>
        </w:rPr>
      </w:pPr>
    </w:p>
    <w:p>
      <w:pPr>
        <w:ind w:right="40" w:firstLine="511"/>
        <w:spacing w:after="0" w:line="297" w:lineRule="auto"/>
        <w:rPr>
          <w:sz w:val="20"/>
          <w:szCs w:val="20"/>
          <w:color w:val="auto"/>
        </w:rPr>
      </w:pPr>
      <w:r>
        <w:rPr>
          <w:rFonts w:ascii="Arial" w:cs="Arial" w:eastAsia="Arial" w:hAnsi="Arial"/>
          <w:sz w:val="15"/>
          <w:szCs w:val="15"/>
          <w:color w:val="auto"/>
        </w:rPr>
        <w:t>The Company has evaluated these agreements in accordance with the new revenue recognition requirements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424" w:right="359" w:bottom="1440" w:gutter="0" w:footer="0" w:header="0"/>
        </w:sectPr>
      </w:pPr>
    </w:p>
    <w:bookmarkStart w:id="20" w:name="page21"/>
    <w:bookmarkEnd w:id="20"/>
    <w:p>
      <w:pPr>
        <w:ind w:right="100"/>
        <w:spacing w:after="0" w:line="251" w:lineRule="auto"/>
        <w:rPr>
          <w:sz w:val="20"/>
          <w:szCs w:val="20"/>
          <w:color w:val="auto"/>
        </w:rPr>
      </w:pPr>
      <w:r>
        <w:rPr>
          <w:rFonts w:ascii="Arial" w:cs="Arial" w:eastAsia="Arial" w:hAnsi="Arial"/>
          <w:sz w:val="17"/>
          <w:szCs w:val="17"/>
          <w:color w:val="auto"/>
        </w:rPr>
        <w:t>2 study of JNJ-3989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Company determined the transaction price totaled approximately $252.6 million which includes the upfront payment, the premium paid by JJDC for its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equity investment in the Company, the two $25 million milestone payments earned and estimated payments for reimbursable Janssen R&amp;D services to be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performed. The Company has allocated the total $252.6 million initial transaction price to its one distinct performance obligation for the JNJ-3989 (ARO-HBV) license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and the associated Janssen R&amp;D Services. This revenue will be recognized using a proportional performance method (based on actual labor hours versus estimated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total labor hours) beginning in October 2018 and ending as the Company’s efforts in overseeing the ongoing phase 1/2 clinical trial are completed. During the three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months ended June 30, 2020 and 2019, the Company recognized approximately $6.9 million and $42.3 million of Revenue associated with its agreements with Janssen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and JJDC, respectively. During the nine months ended June 30, 2020 and 2019, the Company recognized approximately $57.9 million and $124.8 million of Revenue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its agreements with Janssen and JJDC, respectively. As of June 30, 2020, there were $0 in contract assets recorded as accounts receivable, and $26.3</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million of contract liabilities recorded as current deferred revenue on the Company’s Consolidated Balance Sheets. The $26.3 million of current deferred revenue is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driven by the upfront payment, the premium paid by JJDC for its equity investment in the Company, and the two $25 million milestone payments earned, net of revenue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recognized to date.</w:t>
      </w:r>
    </w:p>
    <w:p>
      <w:pPr>
        <w:spacing w:after="0" w:line="193" w:lineRule="exact"/>
        <w:rPr>
          <w:sz w:val="20"/>
          <w:szCs w:val="20"/>
          <w:color w:val="auto"/>
        </w:rPr>
      </w:pPr>
    </w:p>
    <w:p>
      <w:pPr>
        <w:ind w:right="40" w:firstLine="511"/>
        <w:spacing w:after="0" w:line="290" w:lineRule="auto"/>
        <w:rPr>
          <w:sz w:val="20"/>
          <w:szCs w:val="20"/>
          <w:color w:val="auto"/>
        </w:rPr>
      </w:pPr>
      <w:r>
        <w:rPr>
          <w:rFonts w:ascii="Arial" w:cs="Arial" w:eastAsia="Arial" w:hAnsi="Arial"/>
          <w:sz w:val="15"/>
          <w:szCs w:val="15"/>
          <w:color w:val="auto"/>
        </w:rPr>
        <w:t>Janssen has also selected the first of the three targets under the Janssen Collaboration Agreement, now referred to as ARO-JNJ1, and the Company has begun to conduct its discovery, optimization and preclinical research and development of ARO-JNJ1. All costs and labor hours spent by the Company will be entirely funded by Janssen. During the three months ended June 30, 2020 and 2019, the Company recognized approximately $0.4 million and $0.4 million of Revenue associated with its efforts on the ARO-JNJ1 candidate, respectively. During the nine months ended June 30, 2020 and 2019, the Company recognized $2.4 million and $0.4 million of Revenue associated with these efforts on the ARO-JNJ1 candidate, respectively. As of June 30, 2020, there were $1.7 million of contract assets recorded as accounts receivable, and $0 of contract liabilities recorded as current deferred revenue on the Company’s Consolidated Balance Sheets.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09" w:lineRule="exact"/>
        <w:rPr>
          <w:sz w:val="20"/>
          <w:szCs w:val="20"/>
          <w:color w:val="auto"/>
        </w:rPr>
      </w:pPr>
    </w:p>
    <w:p>
      <w:pPr>
        <w:jc w:val="both"/>
        <w:ind w:right="60" w:firstLine="511"/>
        <w:spacing w:after="0" w:line="25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nine months ended June 30, 2020 and 2019 are shown in the tables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05" w:lineRule="exact"/>
        <w:rPr>
          <w:sz w:val="20"/>
          <w:szCs w:val="20"/>
          <w:color w:val="auto"/>
        </w:rPr>
      </w:pPr>
    </w:p>
    <w:p>
      <w:pPr>
        <w:ind w:firstLine="511"/>
        <w:spacing w:after="0" w:line="250" w:lineRule="auto"/>
        <w:rPr>
          <w:sz w:val="20"/>
          <w:szCs w:val="20"/>
          <w:color w:val="auto"/>
        </w:rPr>
      </w:pPr>
      <w:r>
        <w:rPr>
          <w:rFonts w:ascii="Arial" w:cs="Arial" w:eastAsia="Arial" w:hAnsi="Arial"/>
          <w:sz w:val="17"/>
          <w:szCs w:val="17"/>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expenses for the periods indicated:</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98" w:lineRule="exact"/>
        <w:rPr>
          <w:sz w:val="20"/>
          <w:szCs w:val="20"/>
          <w:color w:val="auto"/>
        </w:rPr>
      </w:pPr>
    </w:p>
    <w:tbl>
      <w:tblPr>
        <w:tblLayout w:type="fixed"/>
        <w:tblInd w:w="1120" w:type="dxa"/>
        <w:tblCellMar>
          <w:top w:w="0" w:type="dxa"/>
          <w:left w:w="0" w:type="dxa"/>
          <w:bottom w:w="0" w:type="dxa"/>
          <w:right w:w="0" w:type="dxa"/>
        </w:tblCellMar>
      </w:tblPr>
      <w:tr>
        <w:trPr>
          <w:trHeight w:val="150"/>
        </w:trPr>
        <w:tc>
          <w:tcPr>
            <w:tcW w:w="2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5"/>
              </w:rPr>
              <w:t>Three</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Three</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320"/>
              <w:spacing w:after="0" w:line="138" w:lineRule="exact"/>
              <w:rPr>
                <w:sz w:val="20"/>
                <w:szCs w:val="20"/>
                <w:color w:val="auto"/>
              </w:rPr>
            </w:pPr>
            <w:r>
              <w:rPr>
                <w:rFonts w:ascii="Arial" w:cs="Arial" w:eastAsia="Arial" w:hAnsi="Arial"/>
                <w:sz w:val="13"/>
                <w:szCs w:val="13"/>
                <w:b w:val="1"/>
                <w:bCs w:val="1"/>
                <w:color w:val="auto"/>
                <w:w w:val="95"/>
              </w:rPr>
              <w:t>Months</w:t>
            </w:r>
          </w:p>
        </w:tc>
        <w:tc>
          <w:tcPr>
            <w:tcW w:w="106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1"/>
                <w:szCs w:val="11"/>
                <w:color w:val="auto"/>
              </w:rPr>
            </w:pPr>
          </w:p>
        </w:tc>
        <w:tc>
          <w:tcPr>
            <w:tcW w:w="8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5"/>
              </w:rPr>
              <w:t>Months</w:t>
            </w:r>
          </w:p>
        </w:tc>
        <w:tc>
          <w:tcPr>
            <w:tcW w:w="100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vMerge w:val="restart"/>
          </w:tcPr>
          <w:p>
            <w:pPr>
              <w:jc w:val="right"/>
              <w:ind w:right="520"/>
              <w:spacing w:after="0"/>
              <w:rPr>
                <w:sz w:val="20"/>
                <w:szCs w:val="20"/>
                <w:color w:val="auto"/>
              </w:rPr>
            </w:pPr>
            <w:r>
              <w:rPr>
                <w:rFonts w:ascii="Arial" w:cs="Arial" w:eastAsia="Arial" w:hAnsi="Arial"/>
                <w:sz w:val="13"/>
                <w:szCs w:val="13"/>
                <w:b w:val="1"/>
                <w:bCs w:val="1"/>
                <w:color w:val="auto"/>
                <w:w w:val="99"/>
              </w:rPr>
              <w:t>Increase (Decrease)</w:t>
            </w:r>
          </w:p>
        </w:tc>
        <w:tc>
          <w:tcPr>
            <w:tcW w:w="0" w:type="dxa"/>
            <w:vAlign w:val="bottom"/>
          </w:tcPr>
          <w:p>
            <w:pPr>
              <w:spacing w:after="0"/>
              <w:rPr>
                <w:sz w:val="1"/>
                <w:szCs w:val="1"/>
                <w:color w:val="auto"/>
              </w:rPr>
            </w:pPr>
          </w:p>
        </w:tc>
      </w:tr>
      <w:tr>
        <w:trPr>
          <w:trHeight w:val="150"/>
        </w:trPr>
        <w:tc>
          <w:tcPr>
            <w:tcW w:w="2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Expense</w:t>
            </w:r>
          </w:p>
        </w:tc>
        <w:tc>
          <w:tcPr>
            <w:tcW w:w="10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Expense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June 30,</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2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June 30,</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Category</w:t>
            </w:r>
          </w:p>
        </w:tc>
        <w:tc>
          <w:tcPr>
            <w:tcW w:w="2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restart"/>
          </w:tcPr>
          <w:p>
            <w:pPr>
              <w:jc w:val="right"/>
              <w:ind w:right="29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FF0FC"/>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Salaries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3,456</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1,405</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Stock compensation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931</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4,365</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In Vivo studies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766</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Drug manufacturing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6,607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4,907</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1,700</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Toxicity/efficacy studies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3,019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1,858</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1,161</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Clinical trials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4,310</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1,819</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License, royalty &amp; milestones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Facilities related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652</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557</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Depreciation/amortization</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998</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384</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Other R&amp;D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1,414</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1,846</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40" w:type="dxa"/>
            <w:vAlign w:val="bottom"/>
            <w:vMerge w:val="continue"/>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32,573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19,292</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100%</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13,281</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423"/>
        </w:trPr>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9"/>
              </w:rPr>
              <w:t>Nine</w:t>
            </w:r>
          </w:p>
        </w:tc>
        <w:tc>
          <w:tcPr>
            <w:tcW w:w="200" w:type="dxa"/>
            <w:vAlign w:val="bottom"/>
            <w:gridSpan w:val="2"/>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9"/>
              </w:rPr>
              <w:t>Nine</w:t>
            </w: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320"/>
              <w:spacing w:after="0" w:line="138" w:lineRule="exact"/>
              <w:rPr>
                <w:sz w:val="20"/>
                <w:szCs w:val="20"/>
                <w:color w:val="auto"/>
              </w:rPr>
            </w:pPr>
            <w:r>
              <w:rPr>
                <w:rFonts w:ascii="Arial" w:cs="Arial" w:eastAsia="Arial" w:hAnsi="Arial"/>
                <w:sz w:val="13"/>
                <w:szCs w:val="13"/>
                <w:b w:val="1"/>
                <w:bCs w:val="1"/>
                <w:color w:val="auto"/>
                <w:w w:val="95"/>
              </w:rPr>
              <w:t>Months</w:t>
            </w:r>
          </w:p>
        </w:tc>
        <w:tc>
          <w:tcPr>
            <w:tcW w:w="1060" w:type="dxa"/>
            <w:vAlign w:val="bottom"/>
            <w:gridSpan w:val="2"/>
          </w:tcPr>
          <w:p>
            <w:pPr>
              <w:jc w:val="center"/>
              <w:ind w:right="300"/>
              <w:spacing w:after="0" w:line="138"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1"/>
                <w:szCs w:val="11"/>
                <w:color w:val="auto"/>
              </w:rPr>
            </w:pPr>
          </w:p>
        </w:tc>
        <w:tc>
          <w:tcPr>
            <w:tcW w:w="8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5"/>
              </w:rPr>
              <w:t>Months</w:t>
            </w:r>
          </w:p>
        </w:tc>
        <w:tc>
          <w:tcPr>
            <w:tcW w:w="100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60" w:type="dxa"/>
            <w:vAlign w:val="bottom"/>
            <w:gridSpan w:val="4"/>
            <w:vMerge w:val="restart"/>
          </w:tcPr>
          <w:p>
            <w:pPr>
              <w:jc w:val="right"/>
              <w:ind w:right="520"/>
              <w:spacing w:after="0"/>
              <w:rPr>
                <w:sz w:val="20"/>
                <w:szCs w:val="20"/>
                <w:color w:val="auto"/>
              </w:rPr>
            </w:pPr>
            <w:r>
              <w:rPr>
                <w:rFonts w:ascii="Arial" w:cs="Arial" w:eastAsia="Arial" w:hAnsi="Arial"/>
                <w:sz w:val="13"/>
                <w:szCs w:val="13"/>
                <w:b w:val="1"/>
                <w:bCs w:val="1"/>
                <w:color w:val="auto"/>
                <w:w w:val="99"/>
              </w:rPr>
              <w:t>Increase (Decrease)</w:t>
            </w:r>
          </w:p>
        </w:tc>
        <w:tc>
          <w:tcPr>
            <w:tcW w:w="0" w:type="dxa"/>
            <w:vAlign w:val="bottom"/>
          </w:tcPr>
          <w:p>
            <w:pPr>
              <w:spacing w:after="0"/>
              <w:rPr>
                <w:sz w:val="1"/>
                <w:szCs w:val="1"/>
                <w:color w:val="auto"/>
              </w:rPr>
            </w:pPr>
          </w:p>
        </w:tc>
      </w:tr>
      <w:tr>
        <w:trPr>
          <w:trHeight w:val="150"/>
        </w:trPr>
        <w:tc>
          <w:tcPr>
            <w:tcW w:w="2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Expense</w:t>
            </w:r>
          </w:p>
        </w:tc>
        <w:tc>
          <w:tcPr>
            <w:tcW w:w="10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Expense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June 30,</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2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June 30,</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Category</w:t>
            </w:r>
          </w:p>
        </w:tc>
        <w:tc>
          <w:tcPr>
            <w:tcW w:w="2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restart"/>
          </w:tcPr>
          <w:p>
            <w:pPr>
              <w:jc w:val="right"/>
              <w:ind w:right="29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FF0FC"/>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Salaries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13,173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10,121</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3,052</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Stock compensation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9,411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2,453</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6,958</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In Vivo studies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1,661</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896</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Drug manufacturing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19,092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18,141</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Toxicity/efficacy studies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9,142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6,679</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2,463</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Clinical trials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15,764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9,756</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6,008</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License, royalty &amp; milestones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903</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Facilities related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2,018</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635</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Depreciation/amortization</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3,340</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372</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7"/>
                <w:szCs w:val="17"/>
                <w:color w:val="auto"/>
              </w:rPr>
              <w:t>Other R&amp;D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3,493</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5,490</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40" w:type="dxa"/>
            <w:vAlign w:val="bottom"/>
            <w:vMerge w:val="continue"/>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85,390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57,662</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100%</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27,728</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20" w:firstLine="511"/>
        <w:spacing w:after="0" w:line="280" w:lineRule="auto"/>
        <w:rPr>
          <w:sz w:val="20"/>
          <w:szCs w:val="20"/>
          <w:color w:val="auto"/>
        </w:rPr>
      </w:pPr>
      <w:r>
        <w:rPr>
          <w:rFonts w:ascii="Arial" w:cs="Arial" w:eastAsia="Arial" w:hAnsi="Arial"/>
          <w:sz w:val="16"/>
          <w:szCs w:val="16"/>
          <w:color w:val="auto"/>
        </w:rPr>
        <w:t>Salaries expense increased by $1,405,000 from $3,456,000 during the three months ended June 30, 2019 to $4,861,000 during the current period. Salaries expense increased by $3,052,000 from $10,121,000 during the nine months ended June 30, 2019 to $13,173,000 during the current period. The increase in the expense is primarily due to an increase in R&amp;D headcount that has occurred as the Company has expanded its pipeline of candidates.</w:t>
      </w:r>
    </w:p>
    <w:p>
      <w:pPr>
        <w:spacing w:after="0" w:line="158" w:lineRule="exact"/>
        <w:rPr>
          <w:sz w:val="20"/>
          <w:szCs w:val="20"/>
          <w:color w:val="auto"/>
        </w:rPr>
      </w:pPr>
    </w:p>
    <w:p>
      <w:pPr>
        <w:ind w:right="180" w:firstLine="511"/>
        <w:spacing w:after="0" w:line="268" w:lineRule="auto"/>
        <w:rPr>
          <w:sz w:val="20"/>
          <w:szCs w:val="20"/>
          <w:color w:val="auto"/>
        </w:rPr>
      </w:pPr>
      <w:r>
        <w:rPr>
          <w:rFonts w:ascii="Arial" w:cs="Arial" w:eastAsia="Arial" w:hAnsi="Arial"/>
          <w:sz w:val="16"/>
          <w:szCs w:val="16"/>
          <w:color w:val="auto"/>
        </w:rPr>
        <w:t>Stock compensation expense, a non-cash expense, increased by $4,365,000 from $931,000 during the three months ended June 30, 2019 to $5,296,000 during the current period. Stock compensation expense, a non-cash expense, increased by $6,958,000 from $2,453,000 during the nine months ended June 30, 2019 to $9,411,000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2" w:name="page23"/>
    <w:bookmarkEnd w:id="22"/>
    <w:p>
      <w:pPr>
        <w:ind w:firstLine="511"/>
        <w:spacing w:after="0" w:line="273" w:lineRule="auto"/>
        <w:rPr>
          <w:sz w:val="20"/>
          <w:szCs w:val="20"/>
          <w:color w:val="auto"/>
        </w:rPr>
      </w:pPr>
      <w:r>
        <w:rPr>
          <w:rFonts w:ascii="Arial" w:cs="Arial" w:eastAsia="Arial" w:hAnsi="Arial"/>
          <w:sz w:val="16"/>
          <w:szCs w:val="16"/>
          <w:color w:val="auto"/>
        </w:rPr>
        <w:t>In vivo studies expense increased by $44,000 from $766,000 during the three months ended June 30, 2019 to $810,000 during the current period. In vivo studies expense increased by $896,000 from $1,661,000 during the nine months ended June 30, 2019 to $2,557,000 during the current period. In vivo studies expense can vary depending on the stage of preclinical candidates, the nature and amount of testing required and the cost variation of different in vivo testing models. The increase in vivo studies expense is the result of the timing of discovery studies being completed between periods.</w:t>
      </w:r>
    </w:p>
    <w:p>
      <w:pPr>
        <w:spacing w:after="0" w:line="165" w:lineRule="exact"/>
        <w:rPr>
          <w:sz w:val="20"/>
          <w:szCs w:val="20"/>
          <w:color w:val="auto"/>
        </w:rPr>
      </w:pPr>
    </w:p>
    <w:p>
      <w:pPr>
        <w:ind w:right="60" w:firstLine="511"/>
        <w:spacing w:after="0" w:line="297" w:lineRule="auto"/>
        <w:rPr>
          <w:sz w:val="20"/>
          <w:szCs w:val="20"/>
          <w:color w:val="auto"/>
        </w:rPr>
      </w:pPr>
      <w:r>
        <w:rPr>
          <w:rFonts w:ascii="Arial" w:cs="Arial" w:eastAsia="Arial" w:hAnsi="Arial"/>
          <w:sz w:val="15"/>
          <w:szCs w:val="15"/>
          <w:color w:val="auto"/>
        </w:rPr>
        <w:t>Drug manufacturing expense increased by $1,700,000 from $4,907,000 during the three months ended June 30, 2019 to $6,607,000 during the current period. Drug manufacturing expense increased by $951,000 from $18,141,000 during the nine months ended June 30, 2019 to $19,092,000 during the current period. The increase in the expense primarily relates to the timing of manufacturing campaigns in preparation for our candidate clinical trials and toxicology studies. We anticipate this expense to increase as the volume of candidates in our pipeline increases and as each candidate progresses through clinical trial phases.</w:t>
      </w:r>
    </w:p>
    <w:p>
      <w:pPr>
        <w:spacing w:after="0" w:line="148" w:lineRule="exact"/>
        <w:rPr>
          <w:sz w:val="20"/>
          <w:szCs w:val="20"/>
          <w:color w:val="auto"/>
        </w:rPr>
      </w:pPr>
    </w:p>
    <w:p>
      <w:pPr>
        <w:ind w:right="280" w:firstLine="511"/>
        <w:spacing w:after="0" w:line="292" w:lineRule="auto"/>
        <w:rPr>
          <w:sz w:val="20"/>
          <w:szCs w:val="20"/>
          <w:color w:val="auto"/>
        </w:rPr>
      </w:pPr>
      <w:r>
        <w:rPr>
          <w:rFonts w:ascii="Arial" w:cs="Arial" w:eastAsia="Arial" w:hAnsi="Arial"/>
          <w:sz w:val="15"/>
          <w:szCs w:val="15"/>
          <w:color w:val="auto"/>
        </w:rPr>
        <w:t>Toxicity/efficacy studies expense increased by $1,161,000 from $1,858,000 during the three months ended June 30, 2019 to $3,019,000 during the current period. Toxicity/efficacy studies expense increased by $2,463,000 from $6,679,000 during the nine months ended June 30, 2019 to $9,142,000 during the current period. This category includes IND-enabling toxicology studies as well as post-IND toxicology studies, such as long-term toxicology studies, and other efficacy studies. The change in the expense primarily relates to toxicology studies for ARO-ANG3, ARO-APOC3, ARO-HIF2 and ARO-HSD as each candidate progresses through and into clinical trials. We anticipate this expense to increase as we prepare to enter clinical trials with our other drug candidates.</w:t>
      </w:r>
    </w:p>
    <w:p>
      <w:pPr>
        <w:spacing w:after="0" w:line="153" w:lineRule="exact"/>
        <w:rPr>
          <w:sz w:val="20"/>
          <w:szCs w:val="20"/>
          <w:color w:val="auto"/>
        </w:rPr>
      </w:pPr>
    </w:p>
    <w:p>
      <w:pPr>
        <w:ind w:right="60" w:firstLine="511"/>
        <w:spacing w:after="0" w:line="251" w:lineRule="auto"/>
        <w:rPr>
          <w:sz w:val="20"/>
          <w:szCs w:val="20"/>
          <w:color w:val="auto"/>
        </w:rPr>
      </w:pPr>
      <w:r>
        <w:rPr>
          <w:rFonts w:ascii="Arial" w:cs="Arial" w:eastAsia="Arial" w:hAnsi="Arial"/>
          <w:sz w:val="17"/>
          <w:szCs w:val="17"/>
          <w:color w:val="auto"/>
        </w:rPr>
        <w:t>Clinical trials expense increased by $1,819,000 from $4,310,000 during the three months ended June 30, 2019 to $6,129,000 during the current period. Clinical trials expense increased by $6,008,000 from $9,756,000 during the nine months ended June 30, 2019 to $15,764,000 during the current period. The increase in the expense is primarily due to the ongoing ARO-AAT and JNJ-3989 (ARO-HBV) clinical trials, the progression of the ARO-ANG3 and ARO-APOC3 clinical trials, and the start up of the ARO-HSD, ARO-HIF2 and ARO-ENaC clinical trials. We anticipate this expense to increase as our current clinical candidates progress through clinical trials and as we enter clinical trials with our other drug candidates.</w:t>
      </w:r>
    </w:p>
    <w:p>
      <w:pPr>
        <w:spacing w:after="0" w:line="180" w:lineRule="exact"/>
        <w:rPr>
          <w:sz w:val="20"/>
          <w:szCs w:val="20"/>
          <w:color w:val="auto"/>
        </w:rPr>
      </w:pPr>
    </w:p>
    <w:p>
      <w:pPr>
        <w:ind w:right="120" w:firstLine="511"/>
        <w:spacing w:after="0" w:line="292" w:lineRule="auto"/>
        <w:rPr>
          <w:sz w:val="20"/>
          <w:szCs w:val="20"/>
          <w:color w:val="auto"/>
        </w:rPr>
      </w:pPr>
      <w:r>
        <w:rPr>
          <w:rFonts w:ascii="Arial" w:cs="Arial" w:eastAsia="Arial" w:hAnsi="Arial"/>
          <w:sz w:val="15"/>
          <w:szCs w:val="15"/>
          <w:color w:val="auto"/>
        </w:rPr>
        <w:t>License, royalty and milestones expense did not change from $0 during the three months ended June 30, 2019 to $0 during the current period. License, royalty and milestones expense increased by $903,000 from $0 during the nine months ended June 30, 2019 to $903,000 during the current period. This category includes milestone payments which can vary from period to period depending on the nature of our various license agreements, and the timing of reaching various development milestones requiring payment. During the nine months ended June 30, 2020, the Company accrued a $0.9 million milestone payment related to the progression of the ARO-ENaC program. During the nine months ended June 30, 2019, the Company did not accrue for any milestone payments.</w:t>
      </w:r>
    </w:p>
    <w:p>
      <w:pPr>
        <w:spacing w:after="0" w:line="153" w:lineRule="exact"/>
        <w:rPr>
          <w:sz w:val="20"/>
          <w:szCs w:val="20"/>
          <w:color w:val="auto"/>
        </w:rPr>
      </w:pPr>
    </w:p>
    <w:p>
      <w:pPr>
        <w:ind w:right="60" w:firstLine="511"/>
        <w:spacing w:after="0" w:line="253" w:lineRule="auto"/>
        <w:rPr>
          <w:sz w:val="20"/>
          <w:szCs w:val="20"/>
          <w:color w:val="auto"/>
        </w:rPr>
      </w:pPr>
      <w:r>
        <w:rPr>
          <w:rFonts w:ascii="Arial" w:cs="Arial" w:eastAsia="Arial" w:hAnsi="Arial"/>
          <w:sz w:val="17"/>
          <w:szCs w:val="17"/>
          <w:color w:val="auto"/>
        </w:rPr>
        <w:t>Facilities expense increased by $557,000 from $652,000 during the three months ended June 30, 2019 to $1,209,000 during the current period. Facilities expense increased by $635,000 from $2,018,000 during the nine months ended June 30, 2019 to $2,653,000 during the current period. This category includes rental costs for our research and development facilities in Madison, Wisconsin and San Diego, California. The increase in the expense is primarily due the commencement of our sublease in San Diego, California in April 2020.</w:t>
      </w:r>
    </w:p>
    <w:p>
      <w:pPr>
        <w:spacing w:after="0" w:line="178" w:lineRule="exact"/>
        <w:rPr>
          <w:sz w:val="20"/>
          <w:szCs w:val="20"/>
          <w:color w:val="auto"/>
        </w:rPr>
      </w:pPr>
    </w:p>
    <w:p>
      <w:pPr>
        <w:ind w:right="80" w:firstLine="511"/>
        <w:spacing w:after="0" w:line="253" w:lineRule="auto"/>
        <w:rPr>
          <w:sz w:val="20"/>
          <w:szCs w:val="20"/>
          <w:color w:val="auto"/>
        </w:rPr>
      </w:pPr>
      <w:r>
        <w:rPr>
          <w:rFonts w:ascii="Arial" w:cs="Arial" w:eastAsia="Arial" w:hAnsi="Arial"/>
          <w:sz w:val="17"/>
          <w:szCs w:val="17"/>
          <w:color w:val="auto"/>
        </w:rPr>
        <w:t>Depreciation and amortization expense, a non-cash expense, increased by $384,000 from $998,000 during the three months ended June 30, 2019 to $1,382,000 during the current period. Depreciation and amortization expense, a non-cash expense, increased by $372,000 from $3,340,000 during the nine months ended June 30, 2019 to $3,712,000 during the current period. The majority of depreciation and amortization expense relates to depreciation on lab equipment and leasehold improvements at our Madison research facility.</w:t>
      </w:r>
    </w:p>
    <w:p>
      <w:pPr>
        <w:spacing w:after="0" w:line="178" w:lineRule="exact"/>
        <w:rPr>
          <w:sz w:val="20"/>
          <w:szCs w:val="20"/>
          <w:color w:val="auto"/>
        </w:rPr>
      </w:pPr>
    </w:p>
    <w:p>
      <w:pPr>
        <w:ind w:right="140" w:firstLine="511"/>
        <w:spacing w:after="0" w:line="270" w:lineRule="auto"/>
        <w:rPr>
          <w:sz w:val="20"/>
          <w:szCs w:val="20"/>
          <w:color w:val="auto"/>
        </w:rPr>
      </w:pPr>
      <w:r>
        <w:rPr>
          <w:rFonts w:ascii="Arial" w:cs="Arial" w:eastAsia="Arial" w:hAnsi="Arial"/>
          <w:sz w:val="16"/>
          <w:szCs w:val="16"/>
          <w:color w:val="auto"/>
        </w:rPr>
        <w:t>Other research expense increased by $1,846,000 from $1,414,000 during the three months ended June 30, 2019 to $3,260,000 during the current period. Other research expense increased by $5,490,000 from $3,493,000 during the nine months ended June 30, 2019 to $8,983,000 during the current period. This category includes the following costs to support discovery efforts and the advancement of current drug candidates: in-house laboratory supplies, outsourced labs services, and other miscellaneous research and development expenses. The increase in other research expense is due to additional in-house laboratory supplies for our increased headcount and partially due to equipment purchased for the new San Diego research and development facility.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General &amp; Administrative Expenses</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details of our general and administrative expenses for the periods indicated:</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298" w:lineRule="exact"/>
        <w:rPr>
          <w:sz w:val="20"/>
          <w:szCs w:val="20"/>
          <w:color w:val="auto"/>
        </w:rPr>
      </w:pPr>
    </w:p>
    <w:tbl>
      <w:tblPr>
        <w:tblLayout w:type="fixed"/>
        <w:tblInd w:w="1120" w:type="dxa"/>
        <w:tblCellMar>
          <w:top w:w="0" w:type="dxa"/>
          <w:left w:w="0" w:type="dxa"/>
          <w:bottom w:w="0" w:type="dxa"/>
          <w:right w:w="0" w:type="dxa"/>
        </w:tblCellMar>
      </w:tblPr>
      <w:tr>
        <w:trPr>
          <w:trHeight w:val="150"/>
        </w:trPr>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Three</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Three</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95"/>
              </w:rPr>
              <w:t>Months</w:t>
            </w:r>
          </w:p>
        </w:tc>
        <w:tc>
          <w:tcPr>
            <w:tcW w:w="108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1"/>
                <w:szCs w:val="11"/>
                <w:color w:val="auto"/>
              </w:rPr>
            </w:pPr>
          </w:p>
        </w:tc>
        <w:tc>
          <w:tcPr>
            <w:tcW w:w="84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95"/>
              </w:rPr>
              <w:t>Months</w:t>
            </w:r>
          </w:p>
        </w:tc>
        <w:tc>
          <w:tcPr>
            <w:tcW w:w="108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1740" w:type="dxa"/>
            <w:vAlign w:val="bottom"/>
            <w:gridSpan w:val="4"/>
            <w:vMerge w:val="restart"/>
          </w:tcPr>
          <w:p>
            <w:pPr>
              <w:jc w:val="right"/>
              <w:ind w:right="500"/>
              <w:spacing w:after="0"/>
              <w:rPr>
                <w:sz w:val="20"/>
                <w:szCs w:val="20"/>
                <w:color w:val="auto"/>
              </w:rPr>
            </w:pPr>
            <w:r>
              <w:rPr>
                <w:rFonts w:ascii="Arial" w:cs="Arial" w:eastAsia="Arial" w:hAnsi="Arial"/>
                <w:sz w:val="13"/>
                <w:szCs w:val="13"/>
                <w:b w:val="1"/>
                <w:bCs w:val="1"/>
                <w:color w:val="auto"/>
                <w:w w:val="99"/>
              </w:rPr>
              <w:t>Increase (Decrease)</w:t>
            </w: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Ended</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Expense</w:t>
            </w:r>
          </w:p>
        </w:tc>
        <w:tc>
          <w:tcPr>
            <w:tcW w:w="8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Ended</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Expense</w:t>
            </w:r>
          </w:p>
        </w:tc>
        <w:tc>
          <w:tcPr>
            <w:tcW w:w="22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92"/>
              </w:rPr>
              <w:t>June 30,</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3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w w:val="92"/>
              </w:rPr>
              <w:t>June 30,</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2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ind w:right="28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shd w:val="clear" w:color="auto" w:fill="CFF0FC"/>
          </w:tcPr>
          <w:p>
            <w:pPr>
              <w:spacing w:after="0"/>
              <w:rPr>
                <w:sz w:val="20"/>
                <w:szCs w:val="20"/>
                <w:color w:val="auto"/>
              </w:rPr>
            </w:pPr>
            <w:r>
              <w:rPr>
                <w:rFonts w:ascii="Arial" w:cs="Arial" w:eastAsia="Arial" w:hAnsi="Arial"/>
                <w:sz w:val="17"/>
                <w:szCs w:val="17"/>
                <w:color w:val="auto"/>
              </w:rPr>
              <w:t>Salaries</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2,633</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1,241</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1,392</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7"/>
                <w:szCs w:val="17"/>
                <w:color w:val="auto"/>
              </w:rPr>
              <w:t>Stock compensation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4,750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1,027</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3,723</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13"/>
        </w:trPr>
        <w:tc>
          <w:tcPr>
            <w:tcW w:w="2500" w:type="dxa"/>
            <w:vAlign w:val="bottom"/>
            <w:shd w:val="clear" w:color="auto" w:fill="CFF0FC"/>
          </w:tcPr>
          <w:p>
            <w:pPr>
              <w:spacing w:after="0"/>
              <w:rPr>
                <w:sz w:val="20"/>
                <w:szCs w:val="20"/>
                <w:color w:val="auto"/>
              </w:rPr>
            </w:pPr>
            <w:r>
              <w:rPr>
                <w:rFonts w:ascii="Arial" w:cs="Arial" w:eastAsia="Arial" w:hAnsi="Arial"/>
                <w:sz w:val="17"/>
                <w:szCs w:val="17"/>
                <w:color w:val="auto"/>
              </w:rPr>
              <w:t>Professional/outside services</w:t>
            </w:r>
          </w:p>
        </w:tc>
        <w:tc>
          <w:tcPr>
            <w:tcW w:w="5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2,020</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1,670</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7"/>
                <w:szCs w:val="17"/>
                <w:color w:val="auto"/>
              </w:rPr>
              <w:t>Facilities related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241</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205</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3"/>
        </w:trPr>
        <w:tc>
          <w:tcPr>
            <w:tcW w:w="2500" w:type="dxa"/>
            <w:vAlign w:val="bottom"/>
            <w:shd w:val="clear" w:color="auto" w:fill="CFF0FC"/>
          </w:tcPr>
          <w:p>
            <w:pPr>
              <w:spacing w:after="0"/>
              <w:rPr>
                <w:sz w:val="20"/>
                <w:szCs w:val="20"/>
                <w:color w:val="auto"/>
              </w:rPr>
            </w:pPr>
            <w:r>
              <w:rPr>
                <w:rFonts w:ascii="Arial" w:cs="Arial" w:eastAsia="Arial" w:hAnsi="Arial"/>
                <w:sz w:val="17"/>
                <w:szCs w:val="17"/>
                <w:color w:val="auto"/>
              </w:rPr>
              <w:t>Depreciation/amortization</w:t>
            </w:r>
          </w:p>
        </w:tc>
        <w:tc>
          <w:tcPr>
            <w:tcW w:w="5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2980%</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7"/>
                <w:szCs w:val="17"/>
                <w:color w:val="auto"/>
              </w:rPr>
              <w:t>Other G&amp;A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625</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25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5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00" w:type="dxa"/>
            <w:vAlign w:val="bottom"/>
            <w:vMerge w:val="continue"/>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10,749</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4,809</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5,940</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423"/>
        </w:trPr>
        <w:tc>
          <w:tcPr>
            <w:tcW w:w="2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9"/>
              </w:rPr>
              <w:t>Nine</w:t>
            </w: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9"/>
              </w:rPr>
              <w:t>Nine</w:t>
            </w: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5"/>
              </w:rPr>
              <w:t>Months</w:t>
            </w:r>
          </w:p>
        </w:tc>
        <w:tc>
          <w:tcPr>
            <w:tcW w:w="108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1"/>
                <w:szCs w:val="11"/>
                <w:color w:val="auto"/>
              </w:rPr>
            </w:pPr>
          </w:p>
        </w:tc>
        <w:tc>
          <w:tcPr>
            <w:tcW w:w="8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5"/>
              </w:rPr>
              <w:t>Months</w:t>
            </w:r>
          </w:p>
        </w:tc>
        <w:tc>
          <w:tcPr>
            <w:tcW w:w="1080" w:type="dxa"/>
            <w:vAlign w:val="bottom"/>
            <w:gridSpan w:val="2"/>
          </w:tcPr>
          <w:p>
            <w:pPr>
              <w:jc w:val="center"/>
              <w:ind w:right="280"/>
              <w:spacing w:after="0" w:line="138"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1740" w:type="dxa"/>
            <w:vAlign w:val="bottom"/>
            <w:gridSpan w:val="4"/>
            <w:vMerge w:val="restart"/>
          </w:tcPr>
          <w:p>
            <w:pPr>
              <w:jc w:val="right"/>
              <w:ind w:right="520"/>
              <w:spacing w:after="0"/>
              <w:rPr>
                <w:sz w:val="20"/>
                <w:szCs w:val="20"/>
                <w:color w:val="auto"/>
              </w:rPr>
            </w:pPr>
            <w:r>
              <w:rPr>
                <w:rFonts w:ascii="Arial" w:cs="Arial" w:eastAsia="Arial" w:hAnsi="Arial"/>
                <w:sz w:val="13"/>
                <w:szCs w:val="13"/>
                <w:b w:val="1"/>
                <w:bCs w:val="1"/>
                <w:color w:val="auto"/>
                <w:w w:val="97"/>
              </w:rPr>
              <w:t>Increase (Decrease)</w:t>
            </w: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Expense</w:t>
            </w:r>
          </w:p>
        </w:tc>
        <w:tc>
          <w:tcPr>
            <w:tcW w:w="8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Expense</w:t>
            </w:r>
          </w:p>
        </w:tc>
        <w:tc>
          <w:tcPr>
            <w:tcW w:w="220" w:type="dxa"/>
            <w:vAlign w:val="bottom"/>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June 30,</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3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20"/>
              <w:spacing w:after="0" w:line="138" w:lineRule="exact"/>
              <w:rPr>
                <w:sz w:val="20"/>
                <w:szCs w:val="20"/>
                <w:color w:val="auto"/>
              </w:rPr>
            </w:pPr>
            <w:r>
              <w:rPr>
                <w:rFonts w:ascii="Arial" w:cs="Arial" w:eastAsia="Arial" w:hAnsi="Arial"/>
                <w:sz w:val="13"/>
                <w:szCs w:val="13"/>
                <w:b w:val="1"/>
                <w:bCs w:val="1"/>
                <w:color w:val="auto"/>
                <w:w w:val="92"/>
              </w:rPr>
              <w:t>June 30,</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Category</w:t>
            </w:r>
          </w:p>
        </w:tc>
        <w:tc>
          <w:tcPr>
            <w:tcW w:w="28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vMerge w:val="restart"/>
          </w:tcPr>
          <w:p>
            <w:pPr>
              <w:jc w:val="right"/>
              <w:ind w:right="30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5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500" w:type="dxa"/>
            <w:vAlign w:val="bottom"/>
            <w:shd w:val="clear" w:color="auto" w:fill="CFF0FC"/>
          </w:tcPr>
          <w:p>
            <w:pPr>
              <w:spacing w:after="0"/>
              <w:rPr>
                <w:sz w:val="20"/>
                <w:szCs w:val="20"/>
                <w:color w:val="auto"/>
              </w:rPr>
            </w:pPr>
            <w:r>
              <w:rPr>
                <w:rFonts w:ascii="Arial" w:cs="Arial" w:eastAsia="Arial" w:hAnsi="Arial"/>
                <w:sz w:val="17"/>
                <w:szCs w:val="17"/>
                <w:color w:val="auto"/>
              </w:rPr>
              <w:t>Salaries</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9,747</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4,909</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4,838</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7"/>
                <w:szCs w:val="17"/>
                <w:color w:val="auto"/>
              </w:rPr>
              <w:t>Stock compensation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18,099</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4,824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13,275</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13"/>
        </w:trPr>
        <w:tc>
          <w:tcPr>
            <w:tcW w:w="2500" w:type="dxa"/>
            <w:vAlign w:val="bottom"/>
            <w:shd w:val="clear" w:color="auto" w:fill="CFF0FC"/>
          </w:tcPr>
          <w:p>
            <w:pPr>
              <w:spacing w:after="0"/>
              <w:rPr>
                <w:sz w:val="20"/>
                <w:szCs w:val="20"/>
                <w:color w:val="auto"/>
              </w:rPr>
            </w:pPr>
            <w:r>
              <w:rPr>
                <w:rFonts w:ascii="Arial" w:cs="Arial" w:eastAsia="Arial" w:hAnsi="Arial"/>
                <w:sz w:val="17"/>
                <w:szCs w:val="17"/>
                <w:color w:val="auto"/>
              </w:rPr>
              <w:t>Professional/outside services</w:t>
            </w:r>
          </w:p>
        </w:tc>
        <w:tc>
          <w:tcPr>
            <w:tcW w:w="5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5,519</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4,252</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1,267</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7"/>
                <w:szCs w:val="17"/>
                <w:color w:val="auto"/>
              </w:rPr>
              <w:t>Facilities related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1,657</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803</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854</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3"/>
        </w:trPr>
        <w:tc>
          <w:tcPr>
            <w:tcW w:w="2500" w:type="dxa"/>
            <w:vAlign w:val="bottom"/>
            <w:shd w:val="clear" w:color="auto" w:fill="CFF0FC"/>
          </w:tcPr>
          <w:p>
            <w:pPr>
              <w:spacing w:after="0"/>
              <w:rPr>
                <w:sz w:val="20"/>
                <w:szCs w:val="20"/>
                <w:color w:val="auto"/>
              </w:rPr>
            </w:pPr>
            <w:r>
              <w:rPr>
                <w:rFonts w:ascii="Arial" w:cs="Arial" w:eastAsia="Arial" w:hAnsi="Arial"/>
                <w:sz w:val="17"/>
                <w:szCs w:val="17"/>
                <w:color w:val="auto"/>
              </w:rPr>
              <w:t>Depreciation/amortization</w:t>
            </w:r>
          </w:p>
        </w:tc>
        <w:tc>
          <w:tcPr>
            <w:tcW w:w="58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0%</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440</w:t>
            </w: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7"/>
                <w:szCs w:val="17"/>
                <w:color w:val="auto"/>
              </w:rPr>
              <w:t>Other G&amp;A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2,531</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1,484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1,047</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25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58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00" w:type="dxa"/>
            <w:vAlign w:val="bottom"/>
            <w:vMerge w:val="continue"/>
            <w:shd w:val="clear" w:color="auto" w:fill="CFF0FC"/>
          </w:tcPr>
          <w:p>
            <w:pPr>
              <w:spacing w:after="0"/>
              <w:rPr>
                <w:sz w:val="17"/>
                <w:szCs w:val="17"/>
                <w:color w:val="auto"/>
              </w:rPr>
            </w:pPr>
          </w:p>
        </w:tc>
        <w:tc>
          <w:tcPr>
            <w:tcW w:w="58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38,009</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16,288</w:t>
            </w:r>
          </w:p>
        </w:tc>
        <w:tc>
          <w:tcPr>
            <w:tcW w:w="200" w:type="dxa"/>
            <w:vAlign w:val="bottom"/>
            <w:shd w:val="clear" w:color="auto" w:fill="CFF0FC"/>
          </w:tcPr>
          <w:p>
            <w:pPr>
              <w:spacing w:after="0"/>
              <w:rPr>
                <w:sz w:val="17"/>
                <w:szCs w:val="17"/>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21,721</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20" w:firstLine="511"/>
        <w:spacing w:after="0" w:line="256" w:lineRule="auto"/>
        <w:rPr>
          <w:sz w:val="20"/>
          <w:szCs w:val="20"/>
          <w:color w:val="auto"/>
        </w:rPr>
      </w:pPr>
      <w:r>
        <w:rPr>
          <w:rFonts w:ascii="Arial" w:cs="Arial" w:eastAsia="Arial" w:hAnsi="Arial"/>
          <w:sz w:val="17"/>
          <w:szCs w:val="17"/>
          <w:color w:val="auto"/>
        </w:rPr>
        <w:t>Salaries expense increased by $1,392,000 from $1,241,000 during the three months ended June 30, 2019 to $2,633,000 during the current period. Salaries expense increased by $4,838,000 from $4,909,000 during the nine months ended June 30, 2019 to $9,747,000 during the current period. The increase in the expense is primarily driven by annual merit increases, performance bonuses and increased headcount.</w:t>
      </w:r>
    </w:p>
    <w:p>
      <w:pPr>
        <w:spacing w:after="0" w:line="176" w:lineRule="exact"/>
        <w:rPr>
          <w:sz w:val="20"/>
          <w:szCs w:val="20"/>
          <w:color w:val="auto"/>
        </w:rPr>
      </w:pPr>
    </w:p>
    <w:p>
      <w:pPr>
        <w:ind w:right="60" w:firstLine="511"/>
        <w:spacing w:after="0" w:line="268" w:lineRule="auto"/>
        <w:rPr>
          <w:sz w:val="20"/>
          <w:szCs w:val="20"/>
          <w:color w:val="auto"/>
        </w:rPr>
      </w:pPr>
      <w:r>
        <w:rPr>
          <w:rFonts w:ascii="Arial" w:cs="Arial" w:eastAsia="Arial" w:hAnsi="Arial"/>
          <w:sz w:val="16"/>
          <w:szCs w:val="16"/>
          <w:color w:val="auto"/>
        </w:rPr>
        <w:t>Stock compensation expense, a non-cash expense, increased by $3,723,000 from $1,027,000 during the three months ended June 30, 2019 to $4,750,000 during the current period. Stock compensation expense, a non-cash expense, increased by $13,275,000 from $4,824,000 during the nine months ended June 30, 2019 to $18,099,000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expense is primarily due to the timing of the achievement of certain performance-based awards in each period and a mix of higher grant date fair values of awards amortizing during the periods due to the Company’s stock price at the time of the grants.</w:t>
      </w:r>
    </w:p>
    <w:p>
      <w:pPr>
        <w:spacing w:after="0" w:line="170" w:lineRule="exact"/>
        <w:rPr>
          <w:sz w:val="20"/>
          <w:szCs w:val="20"/>
          <w:color w:val="auto"/>
        </w:rPr>
      </w:pPr>
    </w:p>
    <w:p>
      <w:pPr>
        <w:ind w:right="40" w:firstLine="511"/>
        <w:spacing w:after="0" w:line="273" w:lineRule="auto"/>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 by the Company. Professional/outside services expense increased by $350,000 from $1,670,000 during the three months ended June 30, 2019 to $2,020,000 during the current period. Professional/outside services expense increased by $1,267,000 from $4,252,000 during the nine months ended June 30, 2019 to $5,519,000 during the current period. The increases in the expense in the three and nine month periods are primarily related certain patent-related expenses.</w:t>
      </w:r>
    </w:p>
    <w:p>
      <w:pPr>
        <w:spacing w:after="0" w:line="165" w:lineRule="exact"/>
        <w:rPr>
          <w:sz w:val="20"/>
          <w:szCs w:val="20"/>
          <w:color w:val="auto"/>
        </w:rPr>
      </w:pPr>
    </w:p>
    <w:p>
      <w:pPr>
        <w:ind w:firstLine="511"/>
        <w:spacing w:after="0" w:line="253" w:lineRule="auto"/>
        <w:rPr>
          <w:sz w:val="20"/>
          <w:szCs w:val="20"/>
          <w:color w:val="auto"/>
        </w:rPr>
      </w:pPr>
      <w:r>
        <w:rPr>
          <w:rFonts w:ascii="Arial" w:cs="Arial" w:eastAsia="Arial" w:hAnsi="Arial"/>
          <w:sz w:val="17"/>
          <w:szCs w:val="17"/>
          <w:color w:val="auto"/>
        </w:rPr>
        <w:t>Facilities-related expense increased by $205,000 from $241,000 during the three months ended June 30, 2019 to $446,000 during the current period. Facilities-related expense increased by $854,000 from $803,000 during the nine months ended June 30, 2019 to $1,657,000 during the current period. This category primarily includes rental costs for our corporate headquarters in Pasadena, California. The increase in the expense is primarily related to costs incurred as we moved into our new corporate headquarters during the current period.</w:t>
      </w:r>
    </w:p>
    <w:p>
      <w:pPr>
        <w:spacing w:after="0" w:line="178" w:lineRule="exact"/>
        <w:rPr>
          <w:sz w:val="20"/>
          <w:szCs w:val="20"/>
          <w:color w:val="auto"/>
        </w:rPr>
      </w:pPr>
    </w:p>
    <w:p>
      <w:pPr>
        <w:ind w:right="20" w:firstLine="511"/>
        <w:spacing w:after="0" w:line="337" w:lineRule="auto"/>
        <w:rPr>
          <w:sz w:val="20"/>
          <w:szCs w:val="20"/>
          <w:color w:val="auto"/>
        </w:rPr>
      </w:pPr>
      <w:r>
        <w:rPr>
          <w:rFonts w:ascii="Arial" w:cs="Arial" w:eastAsia="Arial" w:hAnsi="Arial"/>
          <w:sz w:val="14"/>
          <w:szCs w:val="14"/>
          <w:color w:val="auto"/>
        </w:rPr>
        <w:t>Depreciation and amortization expense, a noncash expense, increased by $149,000 from $5,000 during the three months ended June 30, 2019 to $154,000 during the current period. Depreciation and amortization expense, a noncash expense, increased by $440,000 from $16,000 during the nine months ended June 30, 2019 to $456,000 during the current period. The increase in the expense is primarily related to amortization of leasehold improvements for our new corporate headquarters.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4" w:name="page25"/>
    <w:bookmarkEnd w:id="24"/>
    <w:p>
      <w:pPr>
        <w:ind w:right="240" w:firstLine="511"/>
        <w:spacing w:after="0" w:line="273" w:lineRule="auto"/>
        <w:rPr>
          <w:sz w:val="20"/>
          <w:szCs w:val="20"/>
          <w:color w:val="auto"/>
        </w:rPr>
      </w:pPr>
      <w:r>
        <w:rPr>
          <w:rFonts w:ascii="Arial" w:cs="Arial" w:eastAsia="Arial" w:hAnsi="Arial"/>
          <w:sz w:val="16"/>
          <w:szCs w:val="16"/>
          <w:color w:val="auto"/>
        </w:rPr>
        <w:t>Other G&amp;A expense increased by $121,000 from $625,000 during the three months ended June 30, 2019 to $746,000 during the current period. Other G&amp;A expense increased by $1,047,000 from $1,484,000 during the nine months ended June 30, 2019 to $2,531,000 during the current period. This category consists primarily of travel, communication and technology, office expenses, and franchise and property tax expenses. The increase in the expense was due to increased communication and technology and office expenses associated with our new corporate headquarters.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 Expense</w:t>
      </w:r>
    </w:p>
    <w:p>
      <w:pPr>
        <w:spacing w:after="0" w:line="105" w:lineRule="exact"/>
        <w:rPr>
          <w:sz w:val="20"/>
          <w:szCs w:val="20"/>
          <w:color w:val="auto"/>
        </w:rPr>
      </w:pPr>
    </w:p>
    <w:p>
      <w:pPr>
        <w:jc w:val="both"/>
        <w:ind w:firstLine="511"/>
        <w:spacing w:after="0" w:line="306" w:lineRule="auto"/>
        <w:rPr>
          <w:sz w:val="20"/>
          <w:szCs w:val="20"/>
          <w:color w:val="auto"/>
        </w:rPr>
      </w:pPr>
      <w:r>
        <w:rPr>
          <w:rFonts w:ascii="Arial" w:cs="Arial" w:eastAsia="Arial" w:hAnsi="Arial"/>
          <w:sz w:val="15"/>
          <w:szCs w:val="15"/>
          <w:color w:val="auto"/>
        </w:rPr>
        <w:t>Other income / expense was income of $2,334,649 and $1,739,959 during the three months ended June 30, 2020 and 2019, respectively. Other income / expense was income of $6,919,200 and $4,717,359 during the nine months ended June 30, 2020 and 2019, respectively. Other income / expense in the both periods was interest income earned on the Company’s investments. This interest income has increased in the current periods as our investment holdings have grown.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Cash Resources</w:t>
      </w:r>
    </w:p>
    <w:p>
      <w:pPr>
        <w:spacing w:after="0" w:line="109" w:lineRule="exact"/>
        <w:rPr>
          <w:sz w:val="20"/>
          <w:szCs w:val="20"/>
          <w:color w:val="auto"/>
        </w:rPr>
      </w:pPr>
    </w:p>
    <w:p>
      <w:pPr>
        <w:jc w:val="both"/>
        <w:ind w:right="20" w:firstLine="511"/>
        <w:spacing w:after="0" w:line="267" w:lineRule="auto"/>
        <w:rPr>
          <w:sz w:val="20"/>
          <w:szCs w:val="20"/>
          <w:color w:val="auto"/>
        </w:rPr>
      </w:pPr>
      <w:r>
        <w:rPr>
          <w:rFonts w:ascii="Arial" w:cs="Arial" w:eastAsia="Arial" w:hAnsi="Arial"/>
          <w:sz w:val="17"/>
          <w:szCs w:val="17"/>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66" w:lineRule="exact"/>
        <w:rPr>
          <w:sz w:val="20"/>
          <w:szCs w:val="20"/>
          <w:color w:val="auto"/>
        </w:rPr>
      </w:pPr>
    </w:p>
    <w:p>
      <w:pPr>
        <w:ind w:right="40" w:firstLine="511"/>
        <w:spacing w:after="0" w:line="253" w:lineRule="auto"/>
        <w:rPr>
          <w:sz w:val="20"/>
          <w:szCs w:val="20"/>
          <w:color w:val="auto"/>
        </w:rPr>
      </w:pPr>
      <w:r>
        <w:rPr>
          <w:rFonts w:ascii="Arial" w:cs="Arial" w:eastAsia="Arial" w:hAnsi="Arial"/>
          <w:sz w:val="17"/>
          <w:szCs w:val="17"/>
          <w:color w:val="auto"/>
        </w:rPr>
        <w:t>At June 30, 2020, the Company had cash on hand of approximately $219.3 million as compared to $221.8 million at September 30, 2019. Excess cash invested in short-term fixed income securities was $67.7 million at June 30, 2020, compared to $36.9 million at September 30, 2019. Excess cash invested in long-term fixed income securities was $177.5 million at June 30, 2020, compared to $44.2 million at September 30, 2019. The Company believes its current financial resources are sufficient to fund its operations through at least the next twelve months.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cash flows for the nine months ended June 30, 2020 and 2019 is as follows:</w:t>
      </w:r>
    </w:p>
    <w:p>
      <w:pPr>
        <w:spacing w:after="0" w:line="374" w:lineRule="exact"/>
        <w:rPr>
          <w:sz w:val="20"/>
          <w:szCs w:val="20"/>
          <w:color w:val="auto"/>
        </w:rPr>
      </w:pPr>
    </w:p>
    <w:tbl>
      <w:tblPr>
        <w:tblLayout w:type="fixed"/>
        <w:tblInd w:w="1580" w:type="dxa"/>
        <w:tblCellMar>
          <w:top w:w="0" w:type="dxa"/>
          <w:left w:w="0" w:type="dxa"/>
          <w:bottom w:w="0" w:type="dxa"/>
          <w:right w:w="0" w:type="dxa"/>
        </w:tblCellMar>
      </w:tblPr>
      <w:tr>
        <w:trPr>
          <w:trHeight w:val="149"/>
        </w:trPr>
        <w:tc>
          <w:tcPr>
            <w:tcW w:w="3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Nine Months Ended</w:t>
            </w:r>
          </w:p>
        </w:tc>
      </w:tr>
      <w:tr>
        <w:trPr>
          <w:trHeight w:val="158"/>
        </w:trPr>
        <w:tc>
          <w:tcPr>
            <w:tcW w:w="3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June 30, 2020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June 30, 2019</w:t>
            </w:r>
          </w:p>
        </w:tc>
      </w:tr>
      <w:tr>
        <w:trPr>
          <w:trHeight w:val="205"/>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Flow from Continuing Operations:</w:t>
            </w:r>
          </w:p>
        </w:tc>
        <w:tc>
          <w:tcPr>
            <w:tcW w:w="3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13"/>
        </w:trPr>
        <w:tc>
          <w:tcPr>
            <w:tcW w:w="3760" w:type="dxa"/>
            <w:vAlign w:val="bottom"/>
          </w:tcPr>
          <w:p>
            <w:pPr>
              <w:spacing w:after="0"/>
              <w:rPr>
                <w:sz w:val="20"/>
                <w:szCs w:val="20"/>
                <w:color w:val="auto"/>
              </w:rPr>
            </w:pPr>
            <w:r>
              <w:rPr>
                <w:rFonts w:ascii="Arial" w:cs="Arial" w:eastAsia="Arial" w:hAnsi="Arial"/>
                <w:sz w:val="17"/>
                <w:szCs w:val="17"/>
                <w:color w:val="auto"/>
              </w:rPr>
              <w:t>Operating Activities</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7"/>
                <w:szCs w:val="17"/>
                <w:color w:val="auto"/>
              </w:rPr>
              <w:t>(84,541,545)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159,225,017</w:t>
            </w:r>
          </w:p>
        </w:tc>
        <w:tc>
          <w:tcPr>
            <w:tcW w:w="80" w:type="dxa"/>
            <w:vAlign w:val="bottom"/>
          </w:tcPr>
          <w:p>
            <w:pPr>
              <w:spacing w:after="0"/>
              <w:rPr>
                <w:sz w:val="18"/>
                <w:szCs w:val="18"/>
                <w:color w:val="auto"/>
              </w:rPr>
            </w:pPr>
          </w:p>
        </w:tc>
      </w:tr>
      <w:tr>
        <w:trPr>
          <w:trHeight w:val="213"/>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Investing Activities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(174,883,363)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(64,575,067)</w:t>
            </w:r>
          </w:p>
        </w:tc>
      </w:tr>
      <w:tr>
        <w:trPr>
          <w:trHeight w:val="213"/>
        </w:trPr>
        <w:tc>
          <w:tcPr>
            <w:tcW w:w="3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Financing Activities</w:t>
            </w:r>
          </w:p>
        </w:tc>
        <w:tc>
          <w:tcPr>
            <w:tcW w:w="3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256,943,397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64,548,584</w:t>
            </w:r>
          </w:p>
        </w:tc>
        <w:tc>
          <w:tcPr>
            <w:tcW w:w="80" w:type="dxa"/>
            <w:vAlign w:val="bottom"/>
            <w:tcBorders>
              <w:bottom w:val="single" w:sz="8" w:color="CFF0FC"/>
            </w:tcBorders>
          </w:tcPr>
          <w:p>
            <w:pPr>
              <w:spacing w:after="0"/>
              <w:rPr>
                <w:sz w:val="18"/>
                <w:szCs w:val="18"/>
                <w:color w:val="auto"/>
              </w:rPr>
            </w:pPr>
          </w:p>
        </w:tc>
      </w:tr>
      <w:tr>
        <w:trPr>
          <w:trHeight w:val="206"/>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Net Increase (Decrease) in Cash</w:t>
            </w: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(2,481,511)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159,198,534</w:t>
            </w:r>
          </w:p>
        </w:tc>
        <w:tc>
          <w:tcPr>
            <w:tcW w:w="80" w:type="dxa"/>
            <w:vAlign w:val="bottom"/>
            <w:shd w:val="clear" w:color="auto" w:fill="CFF0FC"/>
          </w:tcPr>
          <w:p>
            <w:pPr>
              <w:spacing w:after="0"/>
              <w:rPr>
                <w:sz w:val="17"/>
                <w:szCs w:val="17"/>
                <w:color w:val="auto"/>
              </w:rPr>
            </w:pPr>
          </w:p>
        </w:tc>
      </w:tr>
      <w:tr>
        <w:trPr>
          <w:trHeight w:val="213"/>
        </w:trPr>
        <w:tc>
          <w:tcPr>
            <w:tcW w:w="37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w w:val="97"/>
              </w:rPr>
              <w:t>Cash and Cash Equivalents at Beginning of Period</w:t>
            </w:r>
          </w:p>
        </w:tc>
        <w:tc>
          <w:tcPr>
            <w:tcW w:w="3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221,804,128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30,133,213</w:t>
            </w:r>
          </w:p>
        </w:tc>
        <w:tc>
          <w:tcPr>
            <w:tcW w:w="80" w:type="dxa"/>
            <w:vAlign w:val="bottom"/>
            <w:tcBorders>
              <w:bottom w:val="single" w:sz="8" w:color="CFF0FC"/>
            </w:tcBorders>
          </w:tcPr>
          <w:p>
            <w:pPr>
              <w:spacing w:after="0"/>
              <w:rPr>
                <w:sz w:val="18"/>
                <w:szCs w:val="18"/>
                <w:color w:val="auto"/>
              </w:rPr>
            </w:pPr>
          </w:p>
        </w:tc>
      </w:tr>
      <w:tr>
        <w:trPr>
          <w:trHeight w:val="205"/>
        </w:trPr>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219,322,617</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189,331,747</w:t>
            </w:r>
          </w:p>
        </w:tc>
        <w:tc>
          <w:tcPr>
            <w:tcW w:w="80" w:type="dxa"/>
            <w:vAlign w:val="bottom"/>
            <w:shd w:val="clear" w:color="auto" w:fill="CFF0FC"/>
          </w:tcPr>
          <w:p>
            <w:pPr>
              <w:spacing w:after="0"/>
              <w:rPr>
                <w:sz w:val="17"/>
                <w:szCs w:val="17"/>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13" w:lineRule="exact"/>
        <w:rPr>
          <w:sz w:val="20"/>
          <w:szCs w:val="20"/>
          <w:color w:val="auto"/>
        </w:rPr>
      </w:pPr>
    </w:p>
    <w:p>
      <w:pPr>
        <w:ind w:right="100" w:firstLine="511"/>
        <w:spacing w:after="0" w:line="270" w:lineRule="auto"/>
        <w:rPr>
          <w:sz w:val="20"/>
          <w:szCs w:val="20"/>
          <w:color w:val="auto"/>
        </w:rPr>
      </w:pPr>
      <w:r>
        <w:rPr>
          <w:rFonts w:ascii="Arial" w:cs="Arial" w:eastAsia="Arial" w:hAnsi="Arial"/>
          <w:sz w:val="16"/>
          <w:szCs w:val="16"/>
          <w:color w:val="auto"/>
        </w:rPr>
        <w:t>During the nine months ended June 30, 2020, the Company used $84.5 million in cash from operating activities, which was primarily related to the ongoing expenses of the Company’s research and development programs and general and administrative expenses. Cash used in investing activities was $174.9 million, which was primarily related to the purchase of fixed-income investments of $194.0 million and property and equipment of $10.1 million, partially offset by maturities of fixed-income securities of $29.1 million. Cash provided by financing activities of $256.9 million was driven by the securities financing in December 2019, which generated $250.5 million in net cash proceeds, as well as $6.5 million in cash received from stock option exercises.</w:t>
      </w:r>
    </w:p>
    <w:p>
      <w:pPr>
        <w:spacing w:after="0" w:line="167" w:lineRule="exact"/>
        <w:rPr>
          <w:sz w:val="20"/>
          <w:szCs w:val="20"/>
          <w:color w:val="auto"/>
        </w:rPr>
      </w:pPr>
    </w:p>
    <w:p>
      <w:pPr>
        <w:ind w:right="80" w:firstLine="511"/>
        <w:spacing w:after="0" w:line="268" w:lineRule="auto"/>
        <w:rPr>
          <w:sz w:val="20"/>
          <w:szCs w:val="20"/>
          <w:color w:val="auto"/>
        </w:rPr>
      </w:pPr>
      <w:r>
        <w:rPr>
          <w:rFonts w:ascii="Arial" w:cs="Arial" w:eastAsia="Arial" w:hAnsi="Arial"/>
          <w:sz w:val="16"/>
          <w:szCs w:val="16"/>
          <w:color w:val="auto"/>
        </w:rPr>
        <w:t>During the nine months ended June 30, 2019, the Company generated $159.2 million in cash from operating activities, which was primarily related to the $175.0 million upfront payment and the $25.0 million milestone payment received from Janssen, and the premium JJDC paid on the Company’s common stock during the period. These inflows were partially offset by approximately $55 million of cash used for the ongoing expenses of the Company’s research and development programs and general and administrative expenses. Cash used in investing activities was $64.6 million, which was primarily related to purchases of fixed-income investments of $90.3 million partially offset by maturities of fixed-income investments of $30.0 million. Cash provided by financing activities of $64.5 million was driven by the equity investment the Company received from JJDC during the period.</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have any off-balance sheet arrangements or relationships.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20"/>
          </w:cols>
          <w:pgMar w:left="320" w:top="327" w:right="35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9" w:lineRule="exact"/>
        <w:rPr>
          <w:sz w:val="20"/>
          <w:szCs w:val="20"/>
          <w:color w:val="auto"/>
        </w:rPr>
      </w:pPr>
    </w:p>
    <w:p>
      <w:pPr>
        <w:ind w:right="440" w:firstLine="511"/>
        <w:spacing w:after="0" w:line="267" w:lineRule="auto"/>
        <w:rPr>
          <w:sz w:val="20"/>
          <w:szCs w:val="20"/>
          <w:color w:val="auto"/>
        </w:rPr>
      </w:pPr>
      <w:r>
        <w:rPr>
          <w:rFonts w:ascii="Arial" w:cs="Arial" w:eastAsia="Arial" w:hAnsi="Arial"/>
          <w:sz w:val="17"/>
          <w:szCs w:val="17"/>
          <w:color w:val="auto"/>
        </w:rPr>
        <w:t>There has been no material change in our exposure to market risk from that described in Item 7A of our Annual Report on Form 10-K for the year ended September 30, 2019.</w:t>
      </w: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9" w:lineRule="exact"/>
        <w:rPr>
          <w:sz w:val="20"/>
          <w:szCs w:val="20"/>
          <w:color w:val="auto"/>
        </w:rPr>
      </w:pPr>
    </w:p>
    <w:p>
      <w:pPr>
        <w:ind w:firstLine="511"/>
        <w:spacing w:after="0" w:line="290" w:lineRule="auto"/>
        <w:rPr>
          <w:sz w:val="20"/>
          <w:szCs w:val="20"/>
          <w:color w:val="auto"/>
        </w:rPr>
      </w:pPr>
      <w:r>
        <w:rPr>
          <w:rFonts w:ascii="Arial" w:cs="Arial" w:eastAsia="Arial" w:hAnsi="Arial"/>
          <w:sz w:val="15"/>
          <w:szCs w:val="15"/>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52" w:lineRule="exact"/>
        <w:rPr>
          <w:sz w:val="20"/>
          <w:szCs w:val="20"/>
          <w:color w:val="auto"/>
        </w:rPr>
      </w:pPr>
    </w:p>
    <w:p>
      <w:pPr>
        <w:ind w:right="180" w:firstLine="511"/>
        <w:spacing w:after="0" w:line="334" w:lineRule="auto"/>
        <w:rPr>
          <w:sz w:val="20"/>
          <w:szCs w:val="20"/>
          <w:color w:val="auto"/>
        </w:rPr>
      </w:pPr>
      <w:r>
        <w:rPr>
          <w:rFonts w:ascii="Arial" w:cs="Arial" w:eastAsia="Arial" w:hAnsi="Arial"/>
          <w:sz w:val="15"/>
          <w:szCs w:val="15"/>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09" w:lineRule="exact"/>
        <w:rPr>
          <w:sz w:val="20"/>
          <w:szCs w:val="20"/>
          <w:color w:val="auto"/>
        </w:rPr>
      </w:pPr>
    </w:p>
    <w:p>
      <w:pPr>
        <w:ind w:firstLine="511"/>
        <w:spacing w:after="0" w:line="253" w:lineRule="auto"/>
        <w:rPr>
          <w:sz w:val="20"/>
          <w:szCs w:val="20"/>
          <w:color w:val="auto"/>
        </w:rPr>
      </w:pPr>
      <w:r>
        <w:rPr>
          <w:rFonts w:ascii="Arial" w:cs="Arial" w:eastAsia="Arial" w:hAnsi="Arial"/>
          <w:sz w:val="17"/>
          <w:szCs w:val="17"/>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2019.</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9" w:lineRule="exact"/>
        <w:rPr>
          <w:sz w:val="20"/>
          <w:szCs w:val="20"/>
          <w:color w:val="auto"/>
        </w:rPr>
      </w:pPr>
    </w:p>
    <w:p>
      <w:pPr>
        <w:ind w:right="20" w:firstLine="511"/>
        <w:spacing w:after="0" w:line="250" w:lineRule="auto"/>
        <w:rPr>
          <w:sz w:val="20"/>
          <w:szCs w:val="20"/>
          <w:color w:val="auto"/>
        </w:rPr>
      </w:pPr>
      <w:r>
        <w:rPr>
          <w:rFonts w:ascii="Arial" w:cs="Arial" w:eastAsia="Arial" w:hAnsi="Arial"/>
          <w:sz w:val="17"/>
          <w:szCs w:val="17"/>
          <w:color w:val="auto"/>
        </w:rPr>
        <w:t>The disclosure below supplements the risk factors described in our Annual Report on Form 10-K for the year ended September 30, 2019. Please carefully consider the information set forth in this Quarterly Report on Form 10-Q and the risk factors discussed in Part I, “Item 1A. Risk Factors” in our Annual Report on Form 10-K for the year ended September 30, 2019,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results of operations and financial condition may be adversely affected by the novel coronavirus (COVID-19) pandemic and other public health epidemics.</w:t>
      </w:r>
    </w:p>
    <w:p>
      <w:pPr>
        <w:spacing w:after="0" w:line="140" w:lineRule="exact"/>
        <w:rPr>
          <w:sz w:val="20"/>
          <w:szCs w:val="20"/>
          <w:color w:val="auto"/>
        </w:rPr>
      </w:pPr>
    </w:p>
    <w:p>
      <w:pPr>
        <w:ind w:firstLine="511"/>
        <w:spacing w:after="0" w:line="285" w:lineRule="auto"/>
        <w:rPr>
          <w:sz w:val="20"/>
          <w:szCs w:val="20"/>
          <w:color w:val="auto"/>
        </w:rPr>
      </w:pPr>
      <w:r>
        <w:rPr>
          <w:rFonts w:ascii="Arial" w:cs="Arial" w:eastAsia="Arial" w:hAnsi="Arial"/>
          <w:sz w:val="15"/>
          <w:szCs w:val="15"/>
          <w:color w:val="auto"/>
        </w:rPr>
        <w:t>Our business and its operations, including but not limited to our research and development activities and our supply chain, could be adversely affected by health epidemics in regions where we have business operations, and such health epidemics could cause significant disruption in the operations of third parties upon whom we rely. In December 2019, a novel strain of coronavirus, SARS-CoV-2, causing a disease referred to as COVID-19, was reported to have surfaced in Wuhan, China. Since then, COVID-19 has spread to other countries, including the United States, and has been declared a pandemic by the World Health Organization. In response to public health directives and orders related to COVID-19, we have implemented work-from-home policies for substantially all of our employees to the extent work can be performed effectively at home. The effects of executive and similar government orders, shelter-in-place orders and our work-from-home policies may negatively impact our productivity, disrupt our business, increase our expenses, including costs associated with preventive and precautionary measures that we, companies with which we conduct business, and governments are taking, and delay our clinical trials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results of operations and financial condition.</w:t>
      </w:r>
    </w:p>
    <w:p>
      <w:pPr>
        <w:spacing w:after="0" w:line="156" w:lineRule="exact"/>
        <w:rPr>
          <w:sz w:val="20"/>
          <w:szCs w:val="20"/>
          <w:color w:val="auto"/>
        </w:rPr>
      </w:pPr>
    </w:p>
    <w:p>
      <w:pPr>
        <w:ind w:right="100" w:firstLine="511"/>
        <w:spacing w:after="0" w:line="306" w:lineRule="auto"/>
        <w:rPr>
          <w:sz w:val="20"/>
          <w:szCs w:val="20"/>
          <w:color w:val="auto"/>
        </w:rPr>
      </w:pPr>
      <w:r>
        <w:rPr>
          <w:rFonts w:ascii="Arial" w:cs="Arial" w:eastAsia="Arial" w:hAnsi="Arial"/>
          <w:sz w:val="15"/>
          <w:szCs w:val="15"/>
          <w:color w:val="auto"/>
        </w:rPr>
        <w:t>Quarantines, shelter-in-place, executive and similar government orders, or the perception that such orders, shutdowns or other restrictions on the conduct of business operations could occur, related to COVID-19 or other infectious diseases, have impacted and may continue to impact personnel at our business partners in the United States and other countries, or our access to raw materials for our research and development facility discovery efforts, which would disrupt our supply chain.</w:t>
      </w:r>
    </w:p>
    <w:p>
      <w:pPr>
        <w:spacing w:after="0" w:line="142" w:lineRule="exact"/>
        <w:rPr>
          <w:sz w:val="20"/>
          <w:szCs w:val="20"/>
          <w:color w:val="auto"/>
        </w:rPr>
      </w:pPr>
    </w:p>
    <w:p>
      <w:pPr>
        <w:ind w:right="40" w:firstLine="511"/>
        <w:spacing w:after="0" w:line="250" w:lineRule="auto"/>
        <w:rPr>
          <w:sz w:val="20"/>
          <w:szCs w:val="20"/>
          <w:color w:val="auto"/>
        </w:rPr>
      </w:pPr>
      <w:r>
        <w:rPr>
          <w:rFonts w:ascii="Arial" w:cs="Arial" w:eastAsia="Arial" w:hAnsi="Arial"/>
          <w:sz w:val="17"/>
          <w:szCs w:val="17"/>
          <w:color w:val="auto"/>
        </w:rPr>
        <w:t>In addition, our clinical trials have been and may continue to be affected by the COVID-19 pandemic. For example, during fiscal year 2020, we temporarily paused enrollment in our two ARO-AAT studies: SEQUOIA and the ARO-AAT 2002 study. As of June 30, 2020, enrollment in both of these studies has resumed. Additional delays have occurred in the Company’s earlier stage programs, but we do not expect a material impact to any program’s anticipated timelines. Several of the Company’s other clinical candidates are in the start-up stage (ARO-HSD, ARO-HIF2 and ARO-ENaC), during which significant clinical costs will continue to be incurred. If COVID-19 continues to spread in the United States and elsewhere, we may experience additional disruptions that could severely impact our business, preclinical studies and clinical trials, including:</w:t>
      </w:r>
    </w:p>
    <w:p>
      <w:pPr>
        <w:spacing w:after="0" w:line="81" w:lineRule="exact"/>
        <w:rPr>
          <w:sz w:val="20"/>
          <w:szCs w:val="20"/>
          <w:color w:val="auto"/>
        </w:rPr>
      </w:pPr>
    </w:p>
    <w:p>
      <w:pPr>
        <w:ind w:left="1000" w:hanging="499"/>
        <w:spacing w:after="0"/>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delays in receiving authorization from local regulatory authorities to initiate any planned clinical trials;</w:t>
      </w:r>
    </w:p>
    <w:p>
      <w:pPr>
        <w:spacing w:after="0" w:line="105" w:lineRule="exact"/>
        <w:rPr>
          <w:rFonts w:ascii="Arial" w:cs="Arial" w:eastAsia="Arial" w:hAnsi="Arial"/>
          <w:sz w:val="17"/>
          <w:szCs w:val="17"/>
          <w:color w:val="231F20"/>
        </w:rPr>
      </w:pPr>
    </w:p>
    <w:p>
      <w:pPr>
        <w:ind w:left="1000" w:hanging="499"/>
        <w:spacing w:after="0"/>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delays or difficulties in enrolling patients in our clinical trials;</w:t>
      </w:r>
    </w:p>
    <w:p>
      <w:pPr>
        <w:spacing w:after="0" w:line="105" w:lineRule="exact"/>
        <w:rPr>
          <w:rFonts w:ascii="Arial" w:cs="Arial" w:eastAsia="Arial" w:hAnsi="Arial"/>
          <w:sz w:val="17"/>
          <w:szCs w:val="17"/>
          <w:color w:val="231F20"/>
        </w:rPr>
      </w:pPr>
    </w:p>
    <w:p>
      <w:pPr>
        <w:ind w:left="1000" w:hanging="499"/>
        <w:spacing w:after="0"/>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105" w:lineRule="exact"/>
        <w:rPr>
          <w:rFonts w:ascii="Arial" w:cs="Arial" w:eastAsia="Arial" w:hAnsi="Arial"/>
          <w:sz w:val="17"/>
          <w:szCs w:val="17"/>
          <w:color w:val="231F20"/>
        </w:rPr>
      </w:pPr>
    </w:p>
    <w:p>
      <w:pPr>
        <w:ind w:left="1000" w:right="80" w:hanging="499"/>
        <w:spacing w:after="0" w:line="267" w:lineRule="auto"/>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delays in clinical sites receiving the supplies and materials needed to conduct our clinical trials, including interruption in global shipping that may affect the transport of clinical trial materials;</w:t>
      </w:r>
    </w:p>
    <w:p>
      <w:pPr>
        <w:spacing w:after="0" w:line="66" w:lineRule="exact"/>
        <w:rPr>
          <w:rFonts w:ascii="Arial" w:cs="Arial" w:eastAsia="Arial" w:hAnsi="Arial"/>
          <w:sz w:val="17"/>
          <w:szCs w:val="17"/>
          <w:color w:val="231F20"/>
        </w:rPr>
      </w:pPr>
    </w:p>
    <w:p>
      <w:pPr>
        <w:ind w:left="1000" w:right="240" w:hanging="499"/>
        <w:spacing w:after="0" w:line="267" w:lineRule="auto"/>
        <w:tabs>
          <w:tab w:leader="none" w:pos="1000" w:val="left"/>
        </w:tabs>
        <w:numPr>
          <w:ilvl w:val="0"/>
          <w:numId w:val="3"/>
        </w:numPr>
        <w:rPr>
          <w:rFonts w:ascii="Arial" w:cs="Arial" w:eastAsia="Arial" w:hAnsi="Arial"/>
          <w:sz w:val="17"/>
          <w:szCs w:val="17"/>
          <w:color w:val="231F20"/>
        </w:rPr>
      </w:pPr>
      <w:r>
        <w:rPr>
          <w:rFonts w:ascii="Arial" w:cs="Arial" w:eastAsia="Arial" w:hAnsi="Arial"/>
          <w:sz w:val="17"/>
          <w:szCs w:val="17"/>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ind w:left="1000" w:right="480" w:hanging="499"/>
        <w:spacing w:after="0" w:line="267"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66" w:lineRule="exact"/>
        <w:rPr>
          <w:rFonts w:ascii="Arial" w:cs="Arial" w:eastAsia="Arial" w:hAnsi="Arial"/>
          <w:sz w:val="17"/>
          <w:szCs w:val="17"/>
          <w:color w:val="231F20"/>
        </w:rPr>
      </w:pPr>
    </w:p>
    <w:p>
      <w:pPr>
        <w:ind w:left="1000" w:right="120" w:hanging="499"/>
        <w:spacing w:after="0" w:line="280" w:lineRule="auto"/>
        <w:tabs>
          <w:tab w:leader="none" w:pos="1000" w:val="left"/>
        </w:tabs>
        <w:numPr>
          <w:ilvl w:val="0"/>
          <w:numId w:val="4"/>
        </w:numPr>
        <w:rPr>
          <w:rFonts w:ascii="Arial" w:cs="Arial" w:eastAsia="Arial" w:hAnsi="Arial"/>
          <w:sz w:val="16"/>
          <w:szCs w:val="16"/>
          <w:color w:val="231F20"/>
        </w:rPr>
      </w:pPr>
      <w:r>
        <w:rPr>
          <w:rFonts w:ascii="Arial" w:cs="Arial" w:eastAsia="Arial" w:hAnsi="Arial"/>
          <w:sz w:val="16"/>
          <w:szCs w:val="16"/>
          <w:color w:val="auto"/>
        </w:rPr>
        <w:t>interruption of key clinical trial activities, such as clinical trial site monitoring and data entry and verification, due to limitations on travel imposed or recommended by federal or state governments, employers and others, or interruption of clinical trial subject visits and study procedures, the occurrence of which could affect the completeness and integrity of clinical trial data and, as a result, the determine the outcomes of the trial;</w:t>
      </w:r>
    </w:p>
    <w:p>
      <w:pPr>
        <w:spacing w:after="0" w:line="57" w:lineRule="exact"/>
        <w:rPr>
          <w:rFonts w:ascii="Arial" w:cs="Arial" w:eastAsia="Arial" w:hAnsi="Arial"/>
          <w:sz w:val="16"/>
          <w:szCs w:val="16"/>
          <w:color w:val="231F20"/>
        </w:rPr>
      </w:pPr>
    </w:p>
    <w:p>
      <w:pPr>
        <w:ind w:left="1000" w:right="520" w:hanging="499"/>
        <w:spacing w:after="0" w:line="267"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66" w:lineRule="exact"/>
        <w:rPr>
          <w:rFonts w:ascii="Arial" w:cs="Arial" w:eastAsia="Arial" w:hAnsi="Arial"/>
          <w:sz w:val="17"/>
          <w:szCs w:val="17"/>
          <w:color w:val="231F20"/>
        </w:rPr>
      </w:pPr>
    </w:p>
    <w:p>
      <w:pPr>
        <w:ind w:left="1000" w:right="600" w:hanging="499"/>
        <w:spacing w:after="0" w:line="267"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risk that participants enrolled in our clinical trials will not be able to travel to our clinical trial sites as a result of quarantines or other restrictions resulting from COVID-19;</w:t>
      </w:r>
    </w:p>
    <w:p>
      <w:pPr>
        <w:spacing w:after="0" w:line="66" w:lineRule="exact"/>
        <w:rPr>
          <w:rFonts w:ascii="Arial" w:cs="Arial" w:eastAsia="Arial" w:hAnsi="Arial"/>
          <w:sz w:val="17"/>
          <w:szCs w:val="17"/>
          <w:color w:val="231F20"/>
        </w:rPr>
      </w:pPr>
    </w:p>
    <w:p>
      <w:pPr>
        <w:ind w:left="1000" w:right="400" w:hanging="499"/>
        <w:spacing w:after="0" w:line="267"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risk that participants enrolled in our clinical trials will not be able to comply with clinical trial protocols if quarantines impede patient movement or interrupt healthcare services;</w:t>
      </w:r>
    </w:p>
    <w:p>
      <w:pPr>
        <w:spacing w:after="0" w:line="66" w:lineRule="exact"/>
        <w:rPr>
          <w:rFonts w:ascii="Arial" w:cs="Arial" w:eastAsia="Arial" w:hAnsi="Arial"/>
          <w:sz w:val="17"/>
          <w:szCs w:val="17"/>
          <w:color w:val="231F20"/>
        </w:rPr>
      </w:pPr>
    </w:p>
    <w:p>
      <w:pPr>
        <w:ind w:left="1000" w:hanging="499"/>
        <w:spacing w:after="0"/>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interruptions or delays in preclinical studies due to restricted or limited operations at our research and development laboratory facilities;</w:t>
      </w:r>
    </w:p>
    <w:p>
      <w:pPr>
        <w:spacing w:after="0" w:line="105" w:lineRule="exact"/>
        <w:rPr>
          <w:rFonts w:ascii="Arial" w:cs="Arial" w:eastAsia="Arial" w:hAnsi="Arial"/>
          <w:sz w:val="17"/>
          <w:szCs w:val="17"/>
          <w:color w:val="231F20"/>
        </w:rPr>
      </w:pPr>
    </w:p>
    <w:p>
      <w:pPr>
        <w:ind w:left="1000" w:right="320" w:hanging="499"/>
        <w:spacing w:after="0" w:line="267"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delays in necessary interactions with local regulators, ethics committees and other important agencies and contractors due to limitations in employee resources or forced furlough of government employees;</w:t>
      </w:r>
    </w:p>
    <w:p>
      <w:pPr>
        <w:spacing w:after="0" w:line="66" w:lineRule="exact"/>
        <w:rPr>
          <w:rFonts w:ascii="Arial" w:cs="Arial" w:eastAsia="Arial" w:hAnsi="Arial"/>
          <w:sz w:val="17"/>
          <w:szCs w:val="17"/>
          <w:color w:val="231F20"/>
        </w:rPr>
      </w:pPr>
    </w:p>
    <w:p>
      <w:pPr>
        <w:ind w:left="1000" w:right="220" w:hanging="499"/>
        <w:spacing w:after="0" w:line="267"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6" w:lineRule="exact"/>
        <w:rPr>
          <w:rFonts w:ascii="Arial" w:cs="Arial" w:eastAsia="Arial" w:hAnsi="Arial"/>
          <w:sz w:val="17"/>
          <w:szCs w:val="17"/>
          <w:color w:val="231F20"/>
        </w:rPr>
      </w:pPr>
    </w:p>
    <w:p>
      <w:pPr>
        <w:ind w:left="1000" w:hanging="499"/>
        <w:spacing w:after="0"/>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refusal of the FDA to accept data from clinical trials in affected geographies; and</w:t>
      </w:r>
    </w:p>
    <w:p>
      <w:pPr>
        <w:spacing w:after="0" w:line="105" w:lineRule="exact"/>
        <w:rPr>
          <w:rFonts w:ascii="Arial" w:cs="Arial" w:eastAsia="Arial" w:hAnsi="Arial"/>
          <w:sz w:val="17"/>
          <w:szCs w:val="17"/>
          <w:color w:val="231F20"/>
        </w:rPr>
      </w:pPr>
    </w:p>
    <w:p>
      <w:pPr>
        <w:ind w:left="1000" w:hanging="499"/>
        <w:spacing w:after="0"/>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auto"/>
        </w:rPr>
        <w:t>interruption or delays to our clinical activities.</w:t>
      </w:r>
    </w:p>
    <w:p>
      <w:pPr>
        <w:spacing w:after="0" w:line="205" w:lineRule="exact"/>
        <w:rPr>
          <w:sz w:val="20"/>
          <w:szCs w:val="20"/>
          <w:color w:val="auto"/>
        </w:rPr>
      </w:pPr>
    </w:p>
    <w:p>
      <w:pPr>
        <w:ind w:right="200" w:firstLine="511"/>
        <w:spacing w:after="0" w:line="297" w:lineRule="auto"/>
        <w:rPr>
          <w:sz w:val="20"/>
          <w:szCs w:val="20"/>
          <w:color w:val="auto"/>
        </w:rPr>
      </w:pPr>
      <w:r>
        <w:rPr>
          <w:rFonts w:ascii="Arial" w:cs="Arial" w:eastAsia="Arial" w:hAnsi="Arial"/>
          <w:sz w:val="15"/>
          <w:szCs w:val="15"/>
          <w:color w:val="auto"/>
        </w:rPr>
        <w:t>The spread of COVID-19, which has caused a broad impact globally, may materially affect us economically. While the potential economic impact brought by COVID-19, and the duration of such impact, may be difficult to assess or predict, the widespread pandemic has resulted in significant disruption of global financial markets, which could reduce our ability to access capital and negatively affect our future liquidity. In addition, a recession or market correction resulting from the spread of COVID-19 and related government orders and restrictions could materially affect our business and the value of our common stock.</w:t>
      </w:r>
    </w:p>
    <w:p>
      <w:pPr>
        <w:spacing w:after="0" w:line="148" w:lineRule="exact"/>
        <w:rPr>
          <w:sz w:val="20"/>
          <w:szCs w:val="20"/>
          <w:color w:val="auto"/>
        </w:rPr>
      </w:pPr>
    </w:p>
    <w:p>
      <w:pPr>
        <w:jc w:val="both"/>
        <w:ind w:firstLine="511"/>
        <w:spacing w:after="0" w:line="306" w:lineRule="auto"/>
        <w:rPr>
          <w:sz w:val="20"/>
          <w:szCs w:val="20"/>
          <w:color w:val="auto"/>
        </w:rPr>
      </w:pPr>
      <w:r>
        <w:rPr>
          <w:rFonts w:ascii="Arial" w:cs="Arial" w:eastAsia="Arial" w:hAnsi="Arial"/>
          <w:sz w:val="15"/>
          <w:szCs w:val="15"/>
          <w:color w:val="auto"/>
        </w:rPr>
        <w:t>The COVID-19 pandemic continues to evolve rapidly. The ultimate impact of the COVID-19 pandemic or a similar public health emergency is highly uncertain and subject to change. We do not yet know the full extent of potential delays or impacts on our business, our clinical trials, healthcare systems, or the global economy as a whole. However, any one or a combination of these events could have an adverse effect on our results of operations and financial condition.</w:t>
      </w:r>
    </w:p>
    <w:p>
      <w:pPr>
        <w:spacing w:after="0" w:line="238"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3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None.</w:t>
      </w:r>
    </w:p>
    <w:p>
      <w:pPr>
        <w:spacing w:after="0" w:line="3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Not Applicable.</w:t>
      </w:r>
    </w:p>
    <w:p>
      <w:pPr>
        <w:spacing w:after="0" w:line="30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At-The-Market Offering</w:t>
      </w:r>
    </w:p>
    <w:p>
      <w:pPr>
        <w:spacing w:after="0" w:line="109" w:lineRule="exact"/>
        <w:rPr>
          <w:sz w:val="20"/>
          <w:szCs w:val="20"/>
          <w:color w:val="auto"/>
        </w:rPr>
      </w:pPr>
    </w:p>
    <w:p>
      <w:pPr>
        <w:ind w:right="80" w:firstLine="511"/>
        <w:spacing w:after="0" w:line="251" w:lineRule="auto"/>
        <w:rPr>
          <w:sz w:val="20"/>
          <w:szCs w:val="20"/>
          <w:color w:val="auto"/>
        </w:rPr>
      </w:pPr>
      <w:r>
        <w:rPr>
          <w:rFonts w:ascii="Arial" w:cs="Arial" w:eastAsia="Arial" w:hAnsi="Arial"/>
          <w:sz w:val="17"/>
          <w:szCs w:val="17"/>
          <w:color w:val="auto"/>
        </w:rPr>
        <w:t>Effective August 5, 2020, we entered into an Open Market Sale Agreement (the “ATM Agreement”), pursuant to which we may, from time to time, sell up to $250,000,000 in shares of our common stock through Jefferies, acting as the sales agent and/or principal, in an ATM Offering. We are not required to sell shares under the ATM Agreement. We will pay Jefferies a commission of up to 3.0% of the aggregate gross proceeds we receive from all sales of our common stock under the ATM Agreement. Unless otherwise terminated, the ATM Agreement continues until the earlier of selling all shares available under the ATM Agreement or December 2, 2022. No sales have been made under the ATM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right="520" w:firstLine="511"/>
        <w:spacing w:after="0" w:line="298" w:lineRule="auto"/>
        <w:rPr>
          <w:sz w:val="20"/>
          <w:szCs w:val="20"/>
          <w:color w:val="auto"/>
        </w:rPr>
      </w:pPr>
      <w:r>
        <w:rPr>
          <w:rFonts w:ascii="Arial" w:cs="Arial" w:eastAsia="Arial" w:hAnsi="Arial"/>
          <w:sz w:val="16"/>
          <w:szCs w:val="16"/>
          <w:color w:val="auto"/>
        </w:rPr>
        <w:t>The ATM Offering is being made under a prospectus supplement filed on August 5, 2020, and related prospectus filed with the SEC pursuant to our automatically effective shelf registration statement on Form S-3 (File No. 333-235324), filed with the SEC on December 2, 2019.</w:t>
      </w:r>
    </w:p>
    <w:p>
      <w:pPr>
        <w:spacing w:after="0" w:line="144" w:lineRule="exact"/>
        <w:rPr>
          <w:sz w:val="20"/>
          <w:szCs w:val="20"/>
          <w:color w:val="auto"/>
        </w:rPr>
      </w:pPr>
    </w:p>
    <w:p>
      <w:pPr>
        <w:jc w:val="both"/>
        <w:ind w:firstLine="511"/>
        <w:spacing w:after="0" w:line="256" w:lineRule="auto"/>
        <w:rPr>
          <w:sz w:val="20"/>
          <w:szCs w:val="20"/>
          <w:color w:val="auto"/>
        </w:rPr>
      </w:pPr>
      <w:r>
        <w:rPr>
          <w:rFonts w:ascii="Arial" w:cs="Arial" w:eastAsia="Arial" w:hAnsi="Arial"/>
          <w:sz w:val="17"/>
          <w:szCs w:val="17"/>
          <w:color w:val="auto"/>
        </w:rPr>
        <w:t>A copy of the ATM Agreement is attached as Exhibit 1.1 to this Quarterly Report. The foregoing description of the ATM Agreement does not purport to be complete and is qualified in its entirety by reference to Exhibit 1.1. A copy of the opinion of Gibson, Dunn &amp; Crutcher LLP relating to the validity of the securities issued in the ATM Offering is filed as Exhibit 5.1 to this Quarterly Report.</w:t>
      </w:r>
    </w:p>
    <w:p>
      <w:pPr>
        <w:spacing w:after="0" w:line="17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0900"/>
          </w:cols>
          <w:pgMar w:left="320" w:top="327" w:right="6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7"/>
        </w:trPr>
        <w:tc>
          <w:tcPr>
            <w:tcW w:w="66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100" w:type="dxa"/>
            <w:vAlign w:val="bottom"/>
          </w:tcPr>
          <w:p>
            <w:pPr>
              <w:spacing w:after="0"/>
              <w:rPr>
                <w:sz w:val="18"/>
                <w:szCs w:val="18"/>
                <w:color w:val="auto"/>
              </w:rPr>
            </w:pPr>
          </w:p>
        </w:tc>
        <w:tc>
          <w:tcPr>
            <w:tcW w:w="10480" w:type="dxa"/>
            <w:vAlign w:val="bottom"/>
            <w:gridSpan w:val="4"/>
          </w:tcPr>
          <w:p>
            <w:pPr>
              <w:ind w:left="40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343"/>
        </w:trPr>
        <w:tc>
          <w:tcPr>
            <w:tcW w:w="660" w:type="dxa"/>
            <w:vAlign w:val="bottom"/>
          </w:tcPr>
          <w:p>
            <w:pPr>
              <w:ind w:left="12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24"/>
                <w:szCs w:val="24"/>
                <w:color w:val="auto"/>
              </w:rPr>
            </w:pPr>
          </w:p>
        </w:tc>
        <w:tc>
          <w:tcPr>
            <w:tcW w:w="1048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Document Description</w:t>
            </w:r>
          </w:p>
        </w:tc>
        <w:tc>
          <w:tcPr>
            <w:tcW w:w="0" w:type="dxa"/>
            <w:vAlign w:val="bottom"/>
          </w:tcPr>
          <w:p>
            <w:pPr>
              <w:spacing w:after="0"/>
              <w:rPr>
                <w:sz w:val="1"/>
                <w:szCs w:val="1"/>
                <w:color w:val="auto"/>
              </w:rPr>
            </w:pPr>
          </w:p>
        </w:tc>
      </w:tr>
      <w:tr>
        <w:trPr>
          <w:trHeight w:val="158"/>
        </w:trPr>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3"/>
                <w:szCs w:val="13"/>
                <w:color w:val="auto"/>
              </w:rPr>
            </w:pPr>
          </w:p>
        </w:tc>
        <w:tc>
          <w:tcPr>
            <w:tcW w:w="104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660" w:type="dxa"/>
            <w:vAlign w:val="bottom"/>
          </w:tcPr>
          <w:p>
            <w:pPr>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4"/>
                <w:szCs w:val="24"/>
                <w:color w:val="auto"/>
              </w:rPr>
            </w:pPr>
          </w:p>
        </w:tc>
        <w:tc>
          <w:tcPr>
            <w:tcW w:w="10480" w:type="dxa"/>
            <w:vAlign w:val="bottom"/>
            <w:gridSpan w:val="4"/>
          </w:tcPr>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Open Market Sale Agreement, dated as of August 5, 2020, by and between Arrowhead Pharmaceuticals, Inc. and Jefferies LLC*</w:t>
              </w:r>
            </w:hyperlink>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4"/>
                <w:szCs w:val="24"/>
                <w:color w:val="auto"/>
              </w:rPr>
            </w:pPr>
          </w:p>
        </w:tc>
        <w:tc>
          <w:tcPr>
            <w:tcW w:w="10480" w:type="dxa"/>
            <w:vAlign w:val="bottom"/>
            <w:gridSpan w:val="4"/>
          </w:tcPr>
          <w:p>
            <w:pPr>
              <w:spacing w:after="0"/>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Opinion of Gibson, Dunn, and Crutcher, LLP*</w:t>
              </w:r>
            </w:hyperlink>
          </w:p>
        </w:tc>
        <w:tc>
          <w:tcPr>
            <w:tcW w:w="0" w:type="dxa"/>
            <w:vAlign w:val="bottom"/>
          </w:tcPr>
          <w:p>
            <w:pPr>
              <w:spacing w:after="0"/>
              <w:rPr>
                <w:sz w:val="1"/>
                <w:szCs w:val="1"/>
                <w:color w:val="auto"/>
              </w:rPr>
            </w:pPr>
          </w:p>
        </w:tc>
      </w:tr>
      <w:tr>
        <w:trPr>
          <w:trHeight w:val="276"/>
        </w:trPr>
        <w:tc>
          <w:tcPr>
            <w:tcW w:w="660" w:type="dxa"/>
            <w:vAlign w:val="bottom"/>
          </w:tcPr>
          <w:p>
            <w:pPr>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3"/>
                <w:szCs w:val="23"/>
                <w:color w:val="auto"/>
              </w:rPr>
            </w:pPr>
          </w:p>
        </w:tc>
        <w:tc>
          <w:tcPr>
            <w:tcW w:w="10080" w:type="dxa"/>
            <w:vAlign w:val="bottom"/>
            <w:tcBorders>
              <w:bottom w:val="single" w:sz="8" w:color="0000EE"/>
            </w:tcBorders>
            <w:gridSpan w:val="3"/>
          </w:tcPr>
          <w:p>
            <w:pPr>
              <w:spacing w:after="0"/>
              <w:rPr>
                <w:rFonts w:ascii="Arial" w:cs="Arial" w:eastAsia="Arial" w:hAnsi="Arial"/>
                <w:sz w:val="17"/>
                <w:szCs w:val="17"/>
                <w:color w:val="0000EE"/>
                <w:w w:val="89"/>
              </w:rPr>
            </w:pPr>
            <w:hyperlink w:anchor="page72">
              <w:r>
                <w:rPr>
                  <w:rFonts w:ascii="Arial" w:cs="Arial" w:eastAsia="Arial" w:hAnsi="Arial"/>
                  <w:sz w:val="17"/>
                  <w:szCs w:val="17"/>
                  <w:color w:val="0000EE"/>
                  <w:w w:val="89"/>
                </w:rPr>
                <w:t>Certification of Chief Executive Officer pursuant to Rule 13a-14(a) of the Securities Exchange Act of 1934, as Adopted Pursuant to Section 302 of the</w:t>
              </w:r>
            </w:hyperlink>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bottom w:val="single" w:sz="8" w:color="0000EE"/>
            </w:tcBorders>
          </w:tcPr>
          <w:p>
            <w:pPr>
              <w:spacing w:after="0" w:line="180" w:lineRule="exact"/>
              <w:rPr>
                <w:rFonts w:ascii="Arial" w:cs="Arial" w:eastAsia="Arial" w:hAnsi="Arial"/>
                <w:sz w:val="17"/>
                <w:szCs w:val="17"/>
                <w:color w:val="0000EE"/>
                <w:w w:val="90"/>
              </w:rPr>
            </w:pPr>
            <w:hyperlink w:anchor="page72">
              <w:r>
                <w:rPr>
                  <w:rFonts w:ascii="Arial" w:cs="Arial" w:eastAsia="Arial" w:hAnsi="Arial"/>
                  <w:sz w:val="17"/>
                  <w:szCs w:val="17"/>
                  <w:color w:val="0000EE"/>
                  <w:w w:val="90"/>
                </w:rPr>
                <w:t>Sarbanes-Oxley Act of 2002*</w:t>
              </w:r>
            </w:hyperlink>
          </w:p>
        </w:tc>
        <w:tc>
          <w:tcPr>
            <w:tcW w:w="84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660" w:type="dxa"/>
            <w:vAlign w:val="bottom"/>
          </w:tcPr>
          <w:p>
            <w:pPr>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24"/>
                <w:szCs w:val="24"/>
                <w:color w:val="auto"/>
              </w:rPr>
            </w:pPr>
          </w:p>
        </w:tc>
        <w:tc>
          <w:tcPr>
            <w:tcW w:w="10480" w:type="dxa"/>
            <w:vAlign w:val="bottom"/>
            <w:gridSpan w:val="4"/>
          </w:tcPr>
          <w:p>
            <w:pPr>
              <w:spacing w:after="0"/>
              <w:rPr>
                <w:rFonts w:ascii="Arial" w:cs="Arial" w:eastAsia="Arial" w:hAnsi="Arial"/>
                <w:sz w:val="17"/>
                <w:szCs w:val="17"/>
                <w:color w:val="0000EE"/>
                <w:w w:val="93"/>
              </w:rPr>
            </w:pPr>
            <w:hyperlink w:anchor="page73">
              <w:r>
                <w:rPr>
                  <w:rFonts w:ascii="Arial" w:cs="Arial" w:eastAsia="Arial" w:hAnsi="Arial"/>
                  <w:sz w:val="17"/>
                  <w:szCs w:val="17"/>
                  <w:color w:val="0000EE"/>
                  <w:w w:val="93"/>
                </w:rPr>
                <w:t>Certification of Chief Financial Officer pursuant to Rule 13a-14(a) of the Securities Exchange Act of 1934, as Adopted Pursuant to Section 302 of the</w:t>
              </w:r>
            </w:hyperlink>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top w:val="single" w:sz="8" w:color="0000EE"/>
              <w:bottom w:val="single" w:sz="8" w:color="0000EE"/>
            </w:tcBorders>
          </w:tcPr>
          <w:p>
            <w:pPr>
              <w:spacing w:after="0" w:line="180" w:lineRule="exact"/>
              <w:rPr>
                <w:rFonts w:ascii="Arial" w:cs="Arial" w:eastAsia="Arial" w:hAnsi="Arial"/>
                <w:sz w:val="17"/>
                <w:szCs w:val="17"/>
                <w:color w:val="0000EE"/>
                <w:w w:val="90"/>
              </w:rPr>
            </w:pPr>
            <w:hyperlink w:anchor="page73">
              <w:r>
                <w:rPr>
                  <w:rFonts w:ascii="Arial" w:cs="Arial" w:eastAsia="Arial" w:hAnsi="Arial"/>
                  <w:sz w:val="17"/>
                  <w:szCs w:val="17"/>
                  <w:color w:val="0000EE"/>
                  <w:w w:val="90"/>
                </w:rPr>
                <w:t>Sarbanes-Oxley Act of 2002*</w:t>
              </w:r>
            </w:hyperlink>
          </w:p>
        </w:tc>
        <w:tc>
          <w:tcPr>
            <w:tcW w:w="8020" w:type="dxa"/>
            <w:vAlign w:val="bottom"/>
            <w:tcBorders>
              <w:top w:val="single" w:sz="8" w:color="0000EE"/>
            </w:tcBorders>
          </w:tcPr>
          <w:p>
            <w:pPr>
              <w:spacing w:after="0"/>
              <w:rPr>
                <w:sz w:val="15"/>
                <w:szCs w:val="15"/>
                <w:color w:val="auto"/>
              </w:rPr>
            </w:pPr>
          </w:p>
        </w:tc>
        <w:tc>
          <w:tcPr>
            <w:tcW w:w="4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660" w:type="dxa"/>
            <w:vAlign w:val="bottom"/>
          </w:tcPr>
          <w:p>
            <w:pPr>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4"/>
                <w:szCs w:val="24"/>
                <w:color w:val="auto"/>
              </w:rPr>
            </w:pPr>
          </w:p>
        </w:tc>
        <w:tc>
          <w:tcPr>
            <w:tcW w:w="10480" w:type="dxa"/>
            <w:vAlign w:val="bottom"/>
            <w:gridSpan w:val="4"/>
          </w:tcPr>
          <w:p>
            <w:pPr>
              <w:spacing w:after="0"/>
              <w:rPr>
                <w:rFonts w:ascii="Arial" w:cs="Arial" w:eastAsia="Arial" w:hAnsi="Arial"/>
                <w:sz w:val="17"/>
                <w:szCs w:val="17"/>
                <w:u w:val="single" w:color="auto"/>
                <w:color w:val="0000EE"/>
                <w:w w:val="93"/>
              </w:rPr>
            </w:pPr>
            <w:hyperlink w:anchor="page74">
              <w:r>
                <w:rPr>
                  <w:rFonts w:ascii="Arial" w:cs="Arial" w:eastAsia="Arial" w:hAnsi="Arial"/>
                  <w:sz w:val="17"/>
                  <w:szCs w:val="17"/>
                  <w:u w:val="single" w:color="auto"/>
                  <w:color w:val="0000EE"/>
                  <w:w w:val="93"/>
                </w:rPr>
                <w:t>Certification of Chief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4"/>
                <w:szCs w:val="24"/>
                <w:color w:val="auto"/>
              </w:rPr>
            </w:pPr>
          </w:p>
        </w:tc>
        <w:tc>
          <w:tcPr>
            <w:tcW w:w="10480" w:type="dxa"/>
            <w:vAlign w:val="bottom"/>
            <w:gridSpan w:val="4"/>
          </w:tcPr>
          <w:p>
            <w:pPr>
              <w:spacing w:after="0"/>
              <w:rPr>
                <w:rFonts w:ascii="Arial" w:cs="Arial" w:eastAsia="Arial" w:hAnsi="Arial"/>
                <w:sz w:val="17"/>
                <w:szCs w:val="17"/>
                <w:u w:val="single" w:color="auto"/>
                <w:color w:val="0000EE"/>
                <w:w w:val="94"/>
              </w:rPr>
            </w:pPr>
            <w:hyperlink w:anchor="page75">
              <w:r>
                <w:rPr>
                  <w:rFonts w:ascii="Arial" w:cs="Arial" w:eastAsia="Arial" w:hAnsi="Arial"/>
                  <w:sz w:val="17"/>
                  <w:szCs w:val="17"/>
                  <w:u w:val="single" w:color="auto"/>
                  <w:color w:val="0000EE"/>
                  <w:w w:val="94"/>
                </w:rPr>
                <w:t>Certification of Chief Financial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7"/>
                <w:szCs w:val="17"/>
                <w:color w:val="auto"/>
                <w:w w:val="92"/>
              </w:rPr>
              <w:t>101.SCH</w:t>
            </w:r>
          </w:p>
        </w:tc>
        <w:tc>
          <w:tcPr>
            <w:tcW w:w="100" w:type="dxa"/>
            <w:vAlign w:val="bottom"/>
          </w:tcPr>
          <w:p>
            <w:pPr>
              <w:spacing w:after="0"/>
              <w:rPr>
                <w:sz w:val="24"/>
                <w:szCs w:val="24"/>
                <w:color w:val="auto"/>
              </w:rPr>
            </w:pPr>
          </w:p>
        </w:tc>
        <w:tc>
          <w:tcPr>
            <w:tcW w:w="10480" w:type="dxa"/>
            <w:vAlign w:val="bottom"/>
            <w:gridSpan w:val="4"/>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7"/>
                <w:szCs w:val="17"/>
                <w:color w:val="auto"/>
                <w:w w:val="96"/>
              </w:rPr>
              <w:t>101.CAL</w:t>
            </w:r>
          </w:p>
        </w:tc>
        <w:tc>
          <w:tcPr>
            <w:tcW w:w="100" w:type="dxa"/>
            <w:vAlign w:val="bottom"/>
          </w:tcPr>
          <w:p>
            <w:pPr>
              <w:spacing w:after="0"/>
              <w:rPr>
                <w:sz w:val="24"/>
                <w:szCs w:val="24"/>
                <w:color w:val="auto"/>
              </w:rPr>
            </w:pPr>
          </w:p>
        </w:tc>
        <w:tc>
          <w:tcPr>
            <w:tcW w:w="10480" w:type="dxa"/>
            <w:vAlign w:val="bottom"/>
            <w:gridSpan w:val="4"/>
          </w:tcPr>
          <w:p>
            <w:pPr>
              <w:spacing w:after="0"/>
              <w:rPr>
                <w:sz w:val="20"/>
                <w:szCs w:val="20"/>
                <w:color w:val="auto"/>
              </w:rPr>
            </w:pPr>
            <w:r>
              <w:rPr>
                <w:rFonts w:ascii="Arial" w:cs="Arial" w:eastAsia="Arial" w:hAnsi="Arial"/>
                <w:sz w:val="17"/>
                <w:szCs w:val="17"/>
                <w:color w:val="212529"/>
              </w:rPr>
              <w:t>XBRL Taxonomy Extension Calculation Linkbase Document*</w:t>
            </w:r>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7"/>
                <w:szCs w:val="17"/>
                <w:color w:val="auto"/>
                <w:w w:val="98"/>
              </w:rPr>
              <w:t>101.LAB</w:t>
            </w:r>
          </w:p>
        </w:tc>
        <w:tc>
          <w:tcPr>
            <w:tcW w:w="100" w:type="dxa"/>
            <w:vAlign w:val="bottom"/>
          </w:tcPr>
          <w:p>
            <w:pPr>
              <w:spacing w:after="0"/>
              <w:rPr>
                <w:sz w:val="24"/>
                <w:szCs w:val="24"/>
                <w:color w:val="auto"/>
              </w:rPr>
            </w:pPr>
          </w:p>
        </w:tc>
        <w:tc>
          <w:tcPr>
            <w:tcW w:w="10480" w:type="dxa"/>
            <w:vAlign w:val="bottom"/>
            <w:gridSpan w:val="4"/>
          </w:tcPr>
          <w:p>
            <w:pPr>
              <w:spacing w:after="0"/>
              <w:rPr>
                <w:sz w:val="20"/>
                <w:szCs w:val="20"/>
                <w:color w:val="auto"/>
              </w:rPr>
            </w:pPr>
            <w:r>
              <w:rPr>
                <w:rFonts w:ascii="Arial" w:cs="Arial" w:eastAsia="Arial" w:hAnsi="Arial"/>
                <w:sz w:val="17"/>
                <w:szCs w:val="17"/>
                <w:color w:val="212529"/>
              </w:rPr>
              <w:t>XBRL Taxonomy Extension Label Linkbase Document*</w:t>
            </w:r>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7"/>
                <w:szCs w:val="17"/>
                <w:color w:val="auto"/>
                <w:w w:val="93"/>
              </w:rPr>
              <w:t>101.PRE</w:t>
            </w:r>
          </w:p>
        </w:tc>
        <w:tc>
          <w:tcPr>
            <w:tcW w:w="100" w:type="dxa"/>
            <w:vAlign w:val="bottom"/>
          </w:tcPr>
          <w:p>
            <w:pPr>
              <w:spacing w:after="0"/>
              <w:rPr>
                <w:sz w:val="24"/>
                <w:szCs w:val="24"/>
                <w:color w:val="auto"/>
              </w:rPr>
            </w:pPr>
          </w:p>
        </w:tc>
        <w:tc>
          <w:tcPr>
            <w:tcW w:w="10480" w:type="dxa"/>
            <w:vAlign w:val="bottom"/>
            <w:gridSpan w:val="4"/>
          </w:tcPr>
          <w:p>
            <w:pPr>
              <w:spacing w:after="0"/>
              <w:rPr>
                <w:sz w:val="20"/>
                <w:szCs w:val="20"/>
                <w:color w:val="auto"/>
              </w:rPr>
            </w:pPr>
            <w:r>
              <w:rPr>
                <w:rFonts w:ascii="Arial" w:cs="Arial" w:eastAsia="Arial" w:hAnsi="Arial"/>
                <w:sz w:val="17"/>
                <w:szCs w:val="17"/>
                <w:color w:val="212529"/>
              </w:rPr>
              <w:t>XBRL Taxonomy Extension Presentation Linkbase Document*</w:t>
            </w:r>
          </w:p>
        </w:tc>
        <w:tc>
          <w:tcPr>
            <w:tcW w:w="0" w:type="dxa"/>
            <w:vAlign w:val="bottom"/>
          </w:tcPr>
          <w:p>
            <w:pPr>
              <w:spacing w:after="0"/>
              <w:rPr>
                <w:sz w:val="1"/>
                <w:szCs w:val="1"/>
                <w:color w:val="auto"/>
              </w:rPr>
            </w:pPr>
          </w:p>
        </w:tc>
      </w:tr>
      <w:tr>
        <w:trPr>
          <w:trHeight w:val="313"/>
        </w:trPr>
        <w:tc>
          <w:tcPr>
            <w:tcW w:w="660" w:type="dxa"/>
            <w:vAlign w:val="bottom"/>
          </w:tcPr>
          <w:p>
            <w:pPr>
              <w:spacing w:after="0"/>
              <w:rPr>
                <w:sz w:val="20"/>
                <w:szCs w:val="20"/>
                <w:color w:val="auto"/>
              </w:rPr>
            </w:pPr>
            <w:r>
              <w:rPr>
                <w:rFonts w:ascii="Arial" w:cs="Arial" w:eastAsia="Arial" w:hAnsi="Arial"/>
                <w:sz w:val="17"/>
                <w:szCs w:val="17"/>
                <w:color w:val="auto"/>
                <w:w w:val="95"/>
              </w:rPr>
              <w:t>101.DEF</w:t>
            </w:r>
          </w:p>
        </w:tc>
        <w:tc>
          <w:tcPr>
            <w:tcW w:w="100" w:type="dxa"/>
            <w:vAlign w:val="bottom"/>
          </w:tcPr>
          <w:p>
            <w:pPr>
              <w:spacing w:after="0"/>
              <w:rPr>
                <w:sz w:val="24"/>
                <w:szCs w:val="24"/>
                <w:color w:val="auto"/>
              </w:rPr>
            </w:pPr>
          </w:p>
        </w:tc>
        <w:tc>
          <w:tcPr>
            <w:tcW w:w="10480" w:type="dxa"/>
            <w:vAlign w:val="bottom"/>
            <w:gridSpan w:val="4"/>
          </w:tcPr>
          <w:p>
            <w:pPr>
              <w:spacing w:after="0"/>
              <w:rPr>
                <w:sz w:val="20"/>
                <w:szCs w:val="20"/>
                <w:color w:val="auto"/>
              </w:rPr>
            </w:pPr>
            <w:r>
              <w:rPr>
                <w:rFonts w:ascii="Arial" w:cs="Arial" w:eastAsia="Arial" w:hAnsi="Arial"/>
                <w:sz w:val="17"/>
                <w:szCs w:val="17"/>
                <w:color w:val="212529"/>
              </w:rPr>
              <w:t>XBRL Taxonomy Extension Definition Linkbase Document*</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760" w:right="240" w:hanging="760"/>
        <w:spacing w:after="0" w:line="267"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212529"/>
        </w:rPr>
        <w:t>The cover page from the Company’s Quarterly Report on Form 10-Q for the quarter ended June 30, 2020,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9544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121" w:lineRule="exact"/>
        <w:rPr>
          <w:sz w:val="20"/>
          <w:szCs w:val="20"/>
          <w:color w:val="auto"/>
        </w:rPr>
      </w:pPr>
    </w:p>
    <w:p>
      <w:pPr>
        <w:ind w:left="500" w:hanging="50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7" w:lineRule="exact"/>
        <w:rPr>
          <w:sz w:val="20"/>
          <w:szCs w:val="20"/>
          <w:color w:val="auto"/>
        </w:rPr>
      </w:pPr>
    </w:p>
    <w:p>
      <w:pPr>
        <w:ind w:left="500" w:hanging="50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248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jc w:val="center"/>
        <w:ind w:right="-379"/>
        <w:spacing w:after="0"/>
        <w:rPr>
          <w:sz w:val="20"/>
          <w:szCs w:val="20"/>
          <w:color w:val="auto"/>
        </w:rPr>
      </w:pPr>
      <w:r>
        <w:rPr>
          <w:rFonts w:ascii="Arial" w:cs="Arial" w:eastAsia="Arial" w:hAnsi="Arial"/>
          <w:sz w:val="17"/>
          <w:szCs w:val="17"/>
          <w:b w:val="1"/>
          <w:bCs w:val="1"/>
          <w:u w:val="single" w:color="auto"/>
          <w:color w:val="auto"/>
        </w:rPr>
        <w:t>SIGNATURE</w:t>
      </w:r>
    </w:p>
    <w:p>
      <w:pPr>
        <w:spacing w:after="0" w:line="209" w:lineRule="exact"/>
        <w:rPr>
          <w:sz w:val="20"/>
          <w:szCs w:val="20"/>
          <w:color w:val="auto"/>
        </w:rPr>
      </w:pPr>
    </w:p>
    <w:p>
      <w:pPr>
        <w:ind w:firstLine="511"/>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Quarterly Report on Form 10-Q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Dated: August 5, 2020</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ARROWHEAD PHARMACEUTICALS, INC.</w:t>
      </w:r>
    </w:p>
    <w:p>
      <w:pPr>
        <w:spacing w:after="0" w:line="23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By:</w:t>
        <w:tab/>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10795</wp:posOffset>
            </wp:positionV>
            <wp:extent cx="25533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53335"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7"/>
          <w:szCs w:val="17"/>
          <w:color w:val="auto"/>
        </w:rPr>
        <w:t>Kenneth A. Myszkowski</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Chief Financial Officer</w:t>
      </w:r>
    </w:p>
    <w:p>
      <w:pPr>
        <w:spacing w:after="0" w:line="39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60"/>
          </w:cols>
          <w:pgMar w:left="320" w:top="123" w:right="719" w:bottom="1440" w:gutter="0" w:footer="0" w:header="0"/>
        </w:sectPr>
      </w:pPr>
    </w:p>
    <w:bookmarkStart w:id="31" w:name="page32"/>
    <w:bookmarkEnd w:id="31"/>
    <w:p>
      <w:pPr>
        <w:jc w:val="right"/>
        <w:spacing w:after="0"/>
        <w:rPr>
          <w:sz w:val="20"/>
          <w:szCs w:val="20"/>
          <w:color w:val="auto"/>
        </w:rPr>
      </w:pPr>
      <w:r>
        <w:rPr>
          <w:rFonts w:ascii="Arial" w:cs="Arial" w:eastAsia="Arial" w:hAnsi="Arial"/>
          <w:sz w:val="27"/>
          <w:szCs w:val="27"/>
          <w:b w:val="1"/>
          <w:bCs w:val="1"/>
          <w:color w:val="auto"/>
        </w:rPr>
        <w:t>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OPEN MARKET SALE AGREEMENT</w:t>
      </w:r>
      <w:r>
        <w:rPr>
          <w:rFonts w:ascii="Arial" w:cs="Arial" w:eastAsia="Arial" w:hAnsi="Arial"/>
          <w:sz w:val="17"/>
          <w:szCs w:val="17"/>
          <w:b w:val="1"/>
          <w:bCs w:val="1"/>
          <w:color w:val="auto"/>
        </w:rPr>
        <w:t>SM</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August 5, 2020</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JEFFERIES LLC</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20"/>
          <w:szCs w:val="20"/>
          <w:color w:val="auto"/>
        </w:rPr>
        <w:t>520 Madison Avenue</w:t>
      </w:r>
    </w:p>
    <w:p>
      <w:pPr>
        <w:spacing w:after="0"/>
        <w:rPr>
          <w:sz w:val="20"/>
          <w:szCs w:val="20"/>
          <w:color w:val="auto"/>
        </w:rPr>
      </w:pPr>
      <w:r>
        <w:rPr>
          <w:rFonts w:ascii="Arial" w:cs="Arial" w:eastAsia="Arial" w:hAnsi="Arial"/>
          <w:sz w:val="20"/>
          <w:szCs w:val="20"/>
          <w:color w:val="auto"/>
        </w:rPr>
        <w:t>New York, New York 10022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865"/>
        <w:spacing w:after="0" w:line="245" w:lineRule="auto"/>
        <w:rPr>
          <w:sz w:val="20"/>
          <w:szCs w:val="20"/>
          <w:color w:val="auto"/>
        </w:rPr>
      </w:pPr>
      <w:r>
        <w:rPr>
          <w:rFonts w:ascii="Arial" w:cs="Arial" w:eastAsia="Arial" w:hAnsi="Arial"/>
          <w:sz w:val="20"/>
          <w:szCs w:val="20"/>
          <w:color w:val="auto"/>
        </w:rPr>
        <w:t>Arrowhead Pharmaceuticals,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proposes, subject to the terms and conditions stated herein, to issue and sell from time to time through Jefferies LLC, as sales agent and/or principal (the “</w:t>
      </w:r>
      <w:r>
        <w:rPr>
          <w:rFonts w:ascii="Arial" w:cs="Arial" w:eastAsia="Arial" w:hAnsi="Arial"/>
          <w:sz w:val="20"/>
          <w:szCs w:val="20"/>
          <w:b w:val="1"/>
          <w:bCs w:val="1"/>
          <w:color w:val="auto"/>
        </w:rPr>
        <w:t>Agent</w:t>
      </w:r>
      <w:r>
        <w:rPr>
          <w:rFonts w:ascii="Arial" w:cs="Arial" w:eastAsia="Arial" w:hAnsi="Arial"/>
          <w:sz w:val="20"/>
          <w:szCs w:val="20"/>
          <w:color w:val="auto"/>
        </w:rPr>
        <w:t>”), shares of the Company’s common stock, par value $0.001 per share (the “</w:t>
      </w:r>
      <w:r>
        <w:rPr>
          <w:rFonts w:ascii="Arial" w:cs="Arial" w:eastAsia="Arial" w:hAnsi="Arial"/>
          <w:sz w:val="20"/>
          <w:szCs w:val="20"/>
          <w:b w:val="1"/>
          <w:bCs w:val="1"/>
          <w:color w:val="auto"/>
        </w:rPr>
        <w:t>Common Shares</w:t>
      </w:r>
      <w:r>
        <w:rPr>
          <w:rFonts w:ascii="Arial" w:cs="Arial" w:eastAsia="Arial" w:hAnsi="Arial"/>
          <w:sz w:val="20"/>
          <w:szCs w:val="20"/>
          <w:color w:val="auto"/>
        </w:rPr>
        <w:t>”), having an aggregate offering price of up to $250,000,000 on the terms set forth in this agreement (this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DEFINITIONS</w:t>
      </w:r>
    </w:p>
    <w:p>
      <w:pPr>
        <w:spacing w:after="0" w:line="200" w:lineRule="exact"/>
        <w:rPr>
          <w:sz w:val="20"/>
          <w:szCs w:val="20"/>
          <w:color w:val="auto"/>
        </w:rPr>
      </w:pPr>
    </w:p>
    <w:p>
      <w:pPr>
        <w:ind w:firstLine="865"/>
        <w:spacing w:after="0" w:line="263" w:lineRule="auto"/>
        <w:tabs>
          <w:tab w:leader="none" w:pos="229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 For purposes of this Agreement, capitalized terms used herein and not otherwise defined shall have the following respective meanings:</w:t>
      </w:r>
    </w:p>
    <w:p>
      <w:pPr>
        <w:spacing w:after="0" w:line="143" w:lineRule="exact"/>
        <w:rPr>
          <w:sz w:val="20"/>
          <w:szCs w:val="20"/>
          <w:color w:val="auto"/>
        </w:rPr>
      </w:pPr>
    </w:p>
    <w:p>
      <w:pPr>
        <w:jc w:val="both"/>
        <w:ind w:firstLine="865"/>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45" w:lineRule="exact"/>
        <w:rPr>
          <w:sz w:val="20"/>
          <w:szCs w:val="20"/>
          <w:color w:val="auto"/>
        </w:rPr>
      </w:pPr>
    </w:p>
    <w:p>
      <w:pPr>
        <w:jc w:val="both"/>
        <w:ind w:firstLine="865"/>
        <w:spacing w:after="0" w:line="25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Agency Period</w:t>
      </w:r>
      <w:r>
        <w:rPr>
          <w:rFonts w:ascii="Arial" w:cs="Arial" w:eastAsia="Arial" w:hAnsi="Arial"/>
          <w:sz w:val="20"/>
          <w:szCs w:val="20"/>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20"/>
          <w:szCs w:val="20"/>
          <w:u w:val="single" w:color="auto"/>
          <w:color w:val="auto"/>
        </w:rPr>
        <w:t>Section 7</w:t>
      </w:r>
      <w:r>
        <w:rPr>
          <w:rFonts w:ascii="Arial" w:cs="Arial" w:eastAsia="Arial" w:hAnsi="Arial"/>
          <w:sz w:val="20"/>
          <w:szCs w:val="20"/>
          <w:color w:val="auto"/>
        </w:rPr>
        <w:t>.</w:t>
      </w:r>
    </w:p>
    <w:p>
      <w:pPr>
        <w:spacing w:after="0" w:line="15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Commission</w:t>
      </w:r>
      <w:r>
        <w:rPr>
          <w:rFonts w:ascii="Arial" w:cs="Arial" w:eastAsia="Arial" w:hAnsi="Arial"/>
          <w:sz w:val="20"/>
          <w:szCs w:val="20"/>
          <w:color w:val="auto"/>
        </w:rPr>
        <w:t>” means the U.S. Securities and Exchange Commission.</w:t>
      </w:r>
    </w:p>
    <w:p>
      <w:pPr>
        <w:spacing w:after="0" w:line="196"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and the rules and regulations of the Commission thereunder.</w:t>
      </w:r>
    </w:p>
    <w:p>
      <w:pPr>
        <w:spacing w:after="0" w:line="140"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Floor Price</w:t>
      </w:r>
      <w:r>
        <w:rPr>
          <w:rFonts w:ascii="Arial" w:cs="Arial" w:eastAsia="Arial" w:hAnsi="Arial"/>
          <w:sz w:val="19"/>
          <w:szCs w:val="19"/>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SM </w:t>
      </w:r>
      <w:r>
        <w:rPr>
          <w:rFonts w:ascii="Arial" w:cs="Arial" w:eastAsia="Arial" w:hAnsi="Arial"/>
          <w:sz w:val="16"/>
          <w:szCs w:val="16"/>
          <w:color w:val="auto"/>
        </w:rPr>
        <w:t>“Open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423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36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384810</wp:posOffset>
            </wp:positionV>
            <wp:extent cx="715835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than $1.00 without the prior written consent of the Agent, which may be withheld in the Agent’s sole discretion.</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19"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Issuance Notice</w:t>
      </w:r>
      <w:r>
        <w:rPr>
          <w:rFonts w:ascii="Arial" w:cs="Arial" w:eastAsia="Arial" w:hAnsi="Arial"/>
          <w:sz w:val="20"/>
          <w:szCs w:val="20"/>
          <w:color w:val="auto"/>
        </w:rPr>
        <w:t xml:space="preserve">” means a written notice delivered to the Agent by the Company in accordance with this Agreement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that is executed by its Chief Executive Officer, President or Chief Financial Officer.</w:t>
      </w:r>
    </w:p>
    <w:p>
      <w:pPr>
        <w:spacing w:after="0" w:line="140"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Issuance Notice Date</w:t>
      </w:r>
      <w:r>
        <w:rPr>
          <w:rFonts w:ascii="Arial" w:cs="Arial" w:eastAsia="Arial" w:hAnsi="Arial"/>
          <w:sz w:val="20"/>
          <w:szCs w:val="20"/>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454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Issuance Price</w:t>
      </w:r>
      <w:r>
        <w:rPr>
          <w:rFonts w:ascii="Arial" w:cs="Arial" w:eastAsia="Arial" w:hAnsi="Arial"/>
          <w:sz w:val="20"/>
          <w:szCs w:val="20"/>
          <w:color w:val="auto"/>
        </w:rPr>
        <w:t>” means the Sales Price less the Selling Commission.</w:t>
      </w:r>
    </w:p>
    <w:p>
      <w:pPr>
        <w:spacing w:after="0" w:line="196" w:lineRule="exact"/>
        <w:rPr>
          <w:sz w:val="20"/>
          <w:szCs w:val="20"/>
          <w:color w:val="auto"/>
        </w:rPr>
      </w:pPr>
    </w:p>
    <w:p>
      <w:pPr>
        <w:jc w:val="both"/>
        <w:ind w:firstLine="865"/>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40"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or a corporation, partnership, limited liability company, trust, incorporated or unincorporated association, joint venture, joint stock company, governmental authority or other entity of any kind.</w:t>
      </w:r>
    </w:p>
    <w:p>
      <w:pPr>
        <w:spacing w:after="0" w:line="140"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Principal Market</w:t>
      </w:r>
      <w:r>
        <w:rPr>
          <w:rFonts w:ascii="Arial" w:cs="Arial" w:eastAsia="Arial" w:hAnsi="Arial"/>
          <w:sz w:val="20"/>
          <w:szCs w:val="20"/>
          <w:color w:val="auto"/>
        </w:rPr>
        <w:t>” means the Nasdaq Global Select Market or such other national securities exchange on which the Common Shares, including any Shares, are then listed.</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Sales Price</w:t>
      </w:r>
      <w:r>
        <w:rPr>
          <w:rFonts w:ascii="Arial" w:cs="Arial" w:eastAsia="Arial" w:hAnsi="Arial"/>
          <w:sz w:val="20"/>
          <w:szCs w:val="20"/>
          <w:color w:val="auto"/>
        </w:rPr>
        <w:t>” means the actual sale execution price of each Share placed by the Agent pursuant to this Agreement.</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19" w:lineRule="exact"/>
        <w:rPr>
          <w:sz w:val="20"/>
          <w:szCs w:val="20"/>
          <w:color w:val="auto"/>
        </w:rPr>
      </w:pPr>
    </w:p>
    <w:p>
      <w:pPr>
        <w:jc w:val="both"/>
        <w:ind w:firstLine="865"/>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Selling Commission</w:t>
      </w:r>
      <w:r>
        <w:rPr>
          <w:rFonts w:ascii="Arial" w:cs="Arial" w:eastAsia="Arial" w:hAnsi="Arial"/>
          <w:sz w:val="19"/>
          <w:szCs w:val="19"/>
          <w:color w:val="auto"/>
        </w:rPr>
        <w:t>” means up to three percent (3%) of the gross proceeds of Shares sold pursuant to this Agreement, or as otherwise agreed between the Company and the Agent with respect to any Shares sold pursuant to this Agreement.</w:t>
      </w:r>
    </w:p>
    <w:p>
      <w:pPr>
        <w:spacing w:after="0" w:line="118" w:lineRule="exact"/>
        <w:rPr>
          <w:sz w:val="20"/>
          <w:szCs w:val="20"/>
          <w:color w:val="auto"/>
        </w:rPr>
      </w:pPr>
    </w:p>
    <w:p>
      <w:pPr>
        <w:jc w:val="both"/>
        <w:ind w:firstLine="86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Date</w:t>
      </w:r>
      <w:r>
        <w:rPr>
          <w:rFonts w:ascii="Arial" w:cs="Arial" w:eastAsia="Arial" w:hAnsi="Arial"/>
          <w:sz w:val="19"/>
          <w:szCs w:val="19"/>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3" w:name="page34"/>
    <w:bookmarkEnd w:id="33"/>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Shares</w:t>
      </w:r>
      <w:r>
        <w:rPr>
          <w:rFonts w:ascii="Arial" w:cs="Arial" w:eastAsia="Arial" w:hAnsi="Arial"/>
          <w:sz w:val="20"/>
          <w:szCs w:val="20"/>
          <w:color w:val="auto"/>
        </w:rPr>
        <w:t>” means the Company’s Common Shares issued or issuable pursuant to this Agreement.</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Trading Day</w:t>
      </w:r>
      <w:r>
        <w:rPr>
          <w:rFonts w:ascii="Arial" w:cs="Arial" w:eastAsia="Arial" w:hAnsi="Arial"/>
          <w:sz w:val="20"/>
          <w:szCs w:val="20"/>
          <w:color w:val="auto"/>
        </w:rPr>
        <w:t>” means any day on which the Principal Market is open for trading.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REPRESENTATIONS AND WARRANTIES OF THE COMPANY</w:t>
      </w:r>
    </w:p>
    <w:p>
      <w:pPr>
        <w:spacing w:after="0" w:line="200" w:lineRule="exact"/>
        <w:rPr>
          <w:sz w:val="20"/>
          <w:szCs w:val="20"/>
          <w:color w:val="auto"/>
        </w:rPr>
      </w:pPr>
    </w:p>
    <w:p>
      <w:pPr>
        <w:jc w:val="both"/>
        <w:ind w:firstLine="865"/>
        <w:spacing w:after="0" w:line="280" w:lineRule="auto"/>
        <w:rPr>
          <w:sz w:val="20"/>
          <w:szCs w:val="20"/>
          <w:color w:val="auto"/>
        </w:rPr>
      </w:pPr>
      <w:r>
        <w:rPr>
          <w:rFonts w:ascii="Arial" w:cs="Arial" w:eastAsia="Arial" w:hAnsi="Arial"/>
          <w:sz w:val="18"/>
          <w:szCs w:val="18"/>
          <w:color w:val="auto"/>
        </w:rPr>
        <w:t>The Company represents and warrants to, and agrees with, the Agent that as of (1) the date of this Agreement, (2) each Issuance Notice Date, (3) each Settlement Date, (4) each Triggering Event Date (as defined below) and (5) as of each Time of Sale (as defined below) (each of the times referenced above is referred to herein as a “</w:t>
      </w:r>
      <w:r>
        <w:rPr>
          <w:rFonts w:ascii="Arial" w:cs="Arial" w:eastAsia="Arial" w:hAnsi="Arial"/>
          <w:sz w:val="18"/>
          <w:szCs w:val="18"/>
          <w:b w:val="1"/>
          <w:bCs w:val="1"/>
          <w:color w:val="auto"/>
        </w:rPr>
        <w:t>Representation Date</w:t>
      </w:r>
      <w:r>
        <w:rPr>
          <w:rFonts w:ascii="Arial" w:cs="Arial" w:eastAsia="Arial" w:hAnsi="Arial"/>
          <w:sz w:val="18"/>
          <w:szCs w:val="18"/>
          <w:color w:val="auto"/>
        </w:rPr>
        <w:t>”), except as may be disclosed in the Prospectus (including any documents incorporated by reference therein and any supplements thereto) on or before a Representation Date:</w:t>
      </w:r>
    </w:p>
    <w:p>
      <w:pPr>
        <w:spacing w:after="0" w:line="136" w:lineRule="exact"/>
        <w:rPr>
          <w:sz w:val="20"/>
          <w:szCs w:val="20"/>
          <w:color w:val="auto"/>
        </w:rPr>
      </w:pPr>
    </w:p>
    <w:p>
      <w:pPr>
        <w:jc w:val="both"/>
        <w:ind w:firstLine="865"/>
        <w:spacing w:after="0" w:line="265" w:lineRule="auto"/>
        <w:tabs>
          <w:tab w:leader="none" w:pos="229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has prepared and filed with the Commission a shelf registration statement on Form S-3 (File No. 333-235324) that contains a base prospectus.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8"/>
          <w:szCs w:val="18"/>
          <w:b w:val="1"/>
          <w:bCs w:val="1"/>
          <w:color w:val="auto"/>
        </w:rPr>
        <w:t>Prospectus</w:t>
      </w:r>
      <w:r>
        <w:rPr>
          <w:rFonts w:ascii="Arial" w:cs="Arial" w:eastAsia="Arial" w:hAnsi="Arial"/>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8"/>
          <w:szCs w:val="18"/>
          <w:b w:val="1"/>
          <w:bCs w:val="1"/>
          <w:color w:val="auto"/>
        </w:rPr>
        <w:t>Prospectus</w:t>
      </w:r>
      <w:r>
        <w:rPr>
          <w:rFonts w:ascii="Arial" w:cs="Arial" w:eastAsia="Arial" w:hAnsi="Arial"/>
          <w:sz w:val="18"/>
          <w:szCs w:val="18"/>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8"/>
          <w:szCs w:val="18"/>
          <w:b w:val="1"/>
          <w:bCs w:val="1"/>
          <w:color w:val="auto"/>
        </w:rPr>
        <w:t>Original Registration Statement</w:t>
      </w:r>
      <w:r>
        <w:rPr>
          <w:rFonts w:ascii="Arial" w:cs="Arial" w:eastAsia="Arial" w:hAnsi="Arial"/>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48" w:lineRule="exact"/>
        <w:rPr>
          <w:sz w:val="20"/>
          <w:szCs w:val="20"/>
          <w:color w:val="auto"/>
        </w:rPr>
      </w:pPr>
    </w:p>
    <w:p>
      <w:pPr>
        <w:jc w:val="both"/>
        <w:ind w:firstLine="865"/>
        <w:spacing w:after="0" w:line="272"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20"/>
          <w:szCs w:val="20"/>
          <w:color w:val="auto"/>
        </w:rPr>
        <w:t>or is deemed to be incorporated by reference in or otherwise deemed under the Securities Act to be a part of or included in the Registration Statement or the Prospectus, as the case may be, as of any specified date.</w:t>
      </w:r>
    </w:p>
    <w:p>
      <w:pPr>
        <w:spacing w:after="0" w:line="147" w:lineRule="exact"/>
        <w:rPr>
          <w:sz w:val="20"/>
          <w:szCs w:val="20"/>
          <w:color w:val="auto"/>
        </w:rPr>
      </w:pPr>
    </w:p>
    <w:p>
      <w:pPr>
        <w:jc w:val="both"/>
        <w:ind w:firstLine="865"/>
        <w:spacing w:after="0" w:line="244" w:lineRule="auto"/>
        <w:rPr>
          <w:sz w:val="20"/>
          <w:szCs w:val="20"/>
          <w:color w:val="auto"/>
        </w:rPr>
      </w:pPr>
      <w:r>
        <w:rPr>
          <w:rFonts w:ascii="Arial" w:cs="Arial" w:eastAsia="Arial" w:hAnsi="Arial"/>
          <w:sz w:val="20"/>
          <w:szCs w:val="20"/>
          <w:color w:val="auto"/>
        </w:rPr>
        <w:t>At the time the Registration Statement originally became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67" w:lineRule="exact"/>
        <w:rPr>
          <w:sz w:val="20"/>
          <w:szCs w:val="20"/>
          <w:color w:val="auto"/>
        </w:rPr>
      </w:pPr>
    </w:p>
    <w:p>
      <w:pPr>
        <w:jc w:val="both"/>
        <w:ind w:firstLine="865"/>
        <w:spacing w:after="0" w:line="275" w:lineRule="auto"/>
        <w:tabs>
          <w:tab w:leader="none" w:pos="230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each become effective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42" w:lineRule="exact"/>
        <w:rPr>
          <w:sz w:val="20"/>
          <w:szCs w:val="20"/>
          <w:color w:val="auto"/>
        </w:rPr>
      </w:pPr>
    </w:p>
    <w:p>
      <w:pPr>
        <w:jc w:val="both"/>
        <w:ind w:firstLine="865"/>
        <w:spacing w:after="0" w:line="227" w:lineRule="exact"/>
        <w:rPr>
          <w:sz w:val="20"/>
          <w:szCs w:val="20"/>
          <w:color w:val="auto"/>
        </w:rPr>
      </w:pPr>
      <w:r>
        <w:rPr>
          <w:rFonts w:ascii="Arial" w:cs="Arial" w:eastAsia="Arial" w:hAnsi="Arial"/>
          <w:sz w:val="18"/>
          <w:szCs w:val="18"/>
          <w:color w:val="auto"/>
        </w:rPr>
        <w:t>The Prospectus when filed complied in all material respects with the Securities Act and, if filed with the Commission through its Electronic Data Gathering, Analysis and Retrieval system (except as may be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8"/>
          <w:szCs w:val="18"/>
          <w:b w:val="1"/>
          <w:bCs w:val="1"/>
          <w:color w:val="auto"/>
        </w:rPr>
        <w:t>Time of Sale Information</w:t>
      </w:r>
      <w:r>
        <w:rPr>
          <w:rFonts w:ascii="Arial" w:cs="Arial" w:eastAsia="Arial" w:hAnsi="Arial"/>
          <w:sz w:val="18"/>
          <w:szCs w:val="18"/>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Section 6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-455930</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5" w:name="page36"/>
    <w:bookmarkEnd w:id="35"/>
    <w:p>
      <w:pPr>
        <w:jc w:val="both"/>
        <w:ind w:firstLine="865"/>
        <w:spacing w:after="0" w:line="267" w:lineRule="auto"/>
        <w:tabs>
          <w:tab w:leader="none" w:pos="229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Ineligible Issuer Status</w:t>
      </w:r>
      <w:r>
        <w:rPr>
          <w:rFonts w:ascii="Arial" w:cs="Arial" w:eastAsia="Arial" w:hAnsi="Arial"/>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147" w:lineRule="exact"/>
        <w:rPr>
          <w:rFonts w:ascii="Arial" w:cs="Arial" w:eastAsia="Arial" w:hAnsi="Arial"/>
          <w:sz w:val="18"/>
          <w:szCs w:val="18"/>
          <w:color w:val="auto"/>
        </w:rPr>
      </w:pPr>
    </w:p>
    <w:p>
      <w:pPr>
        <w:jc w:val="both"/>
        <w:ind w:firstLine="865"/>
        <w:spacing w:after="0" w:line="242" w:lineRule="auto"/>
        <w:tabs>
          <w:tab w:leader="none" w:pos="2301"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Incorporated Documents</w:t>
      </w:r>
      <w:r>
        <w:rPr>
          <w:rFonts w:ascii="Arial" w:cs="Arial" w:eastAsia="Arial" w:hAnsi="Arial"/>
          <w:sz w:val="20"/>
          <w:szCs w:val="20"/>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68" w:lineRule="exact"/>
        <w:rPr>
          <w:rFonts w:ascii="Arial" w:cs="Arial" w:eastAsia="Arial" w:hAnsi="Arial"/>
          <w:sz w:val="20"/>
          <w:szCs w:val="20"/>
          <w:color w:val="auto"/>
        </w:rPr>
      </w:pPr>
    </w:p>
    <w:p>
      <w:pPr>
        <w:jc w:val="both"/>
        <w:ind w:firstLine="865"/>
        <w:spacing w:after="0" w:line="254" w:lineRule="auto"/>
        <w:tabs>
          <w:tab w:leader="none" w:pos="229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59" w:lineRule="exact"/>
        <w:rPr>
          <w:rFonts w:ascii="Arial" w:cs="Arial" w:eastAsia="Arial" w:hAnsi="Arial"/>
          <w:sz w:val="19"/>
          <w:szCs w:val="19"/>
          <w:color w:val="auto"/>
        </w:rPr>
      </w:pPr>
    </w:p>
    <w:p>
      <w:pPr>
        <w:ind w:left="2260" w:hanging="1395"/>
        <w:spacing w:after="0"/>
        <w:tabs>
          <w:tab w:leader="none" w:pos="226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This Agreement</w:t>
      </w:r>
      <w:r>
        <w:rPr>
          <w:rFonts w:ascii="Arial" w:cs="Arial" w:eastAsia="Arial" w:hAnsi="Arial"/>
          <w:sz w:val="20"/>
          <w:szCs w:val="20"/>
          <w:color w:val="auto"/>
        </w:rPr>
        <w:t>. This Agreement has been duly authorized, executed and delivered by the Company.</w:t>
      </w:r>
    </w:p>
    <w:p>
      <w:pPr>
        <w:spacing w:after="0" w:line="195" w:lineRule="exact"/>
        <w:rPr>
          <w:rFonts w:ascii="Arial" w:cs="Arial" w:eastAsia="Arial" w:hAnsi="Arial"/>
          <w:sz w:val="20"/>
          <w:szCs w:val="20"/>
          <w:color w:val="auto"/>
        </w:rPr>
      </w:pPr>
    </w:p>
    <w:p>
      <w:pPr>
        <w:jc w:val="both"/>
        <w:ind w:firstLine="865"/>
        <w:spacing w:after="0" w:line="244" w:lineRule="auto"/>
        <w:tabs>
          <w:tab w:leader="none" w:pos="2301"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Authorization of the Shares</w:t>
      </w:r>
      <w:r>
        <w:rPr>
          <w:rFonts w:ascii="Arial" w:cs="Arial" w:eastAsia="Arial" w:hAnsi="Arial"/>
          <w:sz w:val="20"/>
          <w:szCs w:val="20"/>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66" w:lineRule="exact"/>
        <w:rPr>
          <w:rFonts w:ascii="Arial" w:cs="Arial" w:eastAsia="Arial" w:hAnsi="Arial"/>
          <w:sz w:val="20"/>
          <w:szCs w:val="20"/>
          <w:color w:val="auto"/>
        </w:rPr>
      </w:pPr>
    </w:p>
    <w:p>
      <w:pPr>
        <w:jc w:val="both"/>
        <w:ind w:firstLine="865"/>
        <w:spacing w:after="0" w:line="249" w:lineRule="auto"/>
        <w:tabs>
          <w:tab w:leader="none" w:pos="2301"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No Applicable Registration or Other Similar Rights</w:t>
      </w:r>
      <w:r>
        <w:rPr>
          <w:rFonts w:ascii="Arial" w:cs="Arial" w:eastAsia="Arial" w:hAnsi="Arial"/>
          <w:sz w:val="20"/>
          <w:szCs w:val="20"/>
          <w:color w:val="auto"/>
        </w:rPr>
        <w:t>. There are no persons with registration or other similar rights to have any equity or debt securities registered for sale under the Registration Statement or included in the offering contemplated by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6" w:name="page37"/>
    <w:bookmarkEnd w:id="36"/>
    <w:p>
      <w:pPr>
        <w:jc w:val="both"/>
        <w:ind w:firstLine="865"/>
        <w:spacing w:after="0" w:line="265" w:lineRule="auto"/>
        <w:tabs>
          <w:tab w:leader="none" w:pos="225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material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157" w:lineRule="exact"/>
        <w:rPr>
          <w:rFonts w:ascii="Arial" w:cs="Arial" w:eastAsia="Arial" w:hAnsi="Arial"/>
          <w:sz w:val="18"/>
          <w:szCs w:val="18"/>
          <w:color w:val="auto"/>
        </w:rPr>
      </w:pPr>
    </w:p>
    <w:p>
      <w:pPr>
        <w:jc w:val="both"/>
        <w:ind w:firstLine="865"/>
        <w:spacing w:after="0" w:line="272" w:lineRule="auto"/>
        <w:tabs>
          <w:tab w:leader="none" w:pos="225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Rose, Snyder &amp; Jacobs,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Exchange Act, and the rules of the Public Company Accounting Oversight Board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45" w:lineRule="exact"/>
        <w:rPr>
          <w:rFonts w:ascii="Arial" w:cs="Arial" w:eastAsia="Arial" w:hAnsi="Arial"/>
          <w:sz w:val="18"/>
          <w:szCs w:val="18"/>
          <w:color w:val="auto"/>
        </w:rPr>
      </w:pPr>
    </w:p>
    <w:p>
      <w:pPr>
        <w:jc w:val="both"/>
        <w:ind w:firstLine="865"/>
        <w:spacing w:after="0" w:line="266" w:lineRule="auto"/>
        <w:tabs>
          <w:tab w:leader="none" w:pos="230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filed with the Commission as a part of the Registration Statement and the Prospectus present fairly the consolidated financial position of the Company and its subsidiaries as of the dates indicated and the results of their operations, changes in stockholders’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All disclosures, if any, contained in the Registration Statement,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7" w:name="page38"/>
    <w:bookmarkEnd w:id="37"/>
    <w:p>
      <w:pPr>
        <w:spacing w:after="0" w:line="289" w:lineRule="auto"/>
        <w:rPr>
          <w:sz w:val="20"/>
          <w:szCs w:val="20"/>
          <w:color w:val="auto"/>
        </w:rPr>
      </w:pPr>
      <w:r>
        <w:rPr>
          <w:rFonts w:ascii="Arial" w:cs="Arial" w:eastAsia="Arial" w:hAnsi="Arial"/>
          <w:sz w:val="19"/>
          <w:szCs w:val="19"/>
          <w:color w:val="auto"/>
        </w:rPr>
        <w:t>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25" w:lineRule="exact"/>
        <w:rPr>
          <w:sz w:val="20"/>
          <w:szCs w:val="20"/>
          <w:color w:val="auto"/>
        </w:rPr>
      </w:pPr>
    </w:p>
    <w:p>
      <w:pPr>
        <w:jc w:val="both"/>
        <w:ind w:firstLine="865"/>
        <w:spacing w:after="0" w:line="252" w:lineRule="auto"/>
        <w:tabs>
          <w:tab w:leader="none" w:pos="2256"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Company’s Accounting System</w:t>
      </w:r>
      <w:r>
        <w:rPr>
          <w:rFonts w:ascii="Arial" w:cs="Arial" w:eastAsia="Arial" w:hAnsi="Arial"/>
          <w:sz w:val="19"/>
          <w:szCs w:val="19"/>
          <w:color w:val="auto"/>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64" w:lineRule="exact"/>
        <w:rPr>
          <w:rFonts w:ascii="Arial" w:cs="Arial" w:eastAsia="Arial" w:hAnsi="Arial"/>
          <w:sz w:val="19"/>
          <w:szCs w:val="19"/>
          <w:color w:val="auto"/>
        </w:rPr>
      </w:pPr>
    </w:p>
    <w:p>
      <w:pPr>
        <w:jc w:val="both"/>
        <w:ind w:firstLine="865"/>
        <w:spacing w:after="0" w:line="251" w:lineRule="auto"/>
        <w:tabs>
          <w:tab w:leader="none" w:pos="2356"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Disclosure Controls and Procedures; Deficiencies in or Changes to Internal Control Over Financial Reporting</w:t>
      </w:r>
      <w:r>
        <w:rPr>
          <w:rFonts w:ascii="Arial" w:cs="Arial" w:eastAsia="Arial" w:hAnsi="Arial"/>
          <w:sz w:val="19"/>
          <w:szCs w:val="19"/>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3" w:lineRule="exact"/>
        <w:rPr>
          <w:rFonts w:ascii="Arial" w:cs="Arial" w:eastAsia="Arial" w:hAnsi="Arial"/>
          <w:sz w:val="19"/>
          <w:szCs w:val="19"/>
          <w:color w:val="auto"/>
        </w:rPr>
      </w:pPr>
    </w:p>
    <w:p>
      <w:pPr>
        <w:jc w:val="both"/>
        <w:ind w:firstLine="865"/>
        <w:spacing w:after="0" w:line="254" w:lineRule="auto"/>
        <w:tabs>
          <w:tab w:leader="none" w:pos="2301"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Incorporation and Good Standing of the Company</w:t>
      </w:r>
      <w:r>
        <w:rPr>
          <w:rFonts w:ascii="Arial" w:cs="Arial" w:eastAsia="Arial" w:hAnsi="Arial"/>
          <w:sz w:val="19"/>
          <w:szCs w:val="19"/>
          <w:color w:val="auto"/>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to be so qualified and in good standing could not be expected, individually or in the aggregate, to result in a Material Adverse Change.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8" w:name="page39"/>
    <w:bookmarkEnd w:id="38"/>
    <w:p>
      <w:pPr>
        <w:jc w:val="both"/>
        <w:ind w:firstLine="865"/>
        <w:spacing w:after="0" w:line="266" w:lineRule="auto"/>
        <w:tabs>
          <w:tab w:leader="none" w:pos="230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if applicable,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and in good standing could not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except as disclosed in the Registration Statement and the Prospectus, are owned by the Company, directly or through subsidiaries, free and clear of any security interest, mortgage, pledge, lien, encumbrance or adverse claim. The Company does not own or control, directly or indirectly, any corporation, association or other entity other than the subsidiaries listed in Exhibit 21.1 to the Company’s most recent Annual Report on Form 10-K.</w:t>
      </w:r>
    </w:p>
    <w:p>
      <w:pPr>
        <w:spacing w:after="0" w:line="148" w:lineRule="exact"/>
        <w:rPr>
          <w:rFonts w:ascii="Arial" w:cs="Arial" w:eastAsia="Arial" w:hAnsi="Arial"/>
          <w:sz w:val="18"/>
          <w:szCs w:val="18"/>
          <w:color w:val="auto"/>
        </w:rPr>
      </w:pPr>
    </w:p>
    <w:p>
      <w:pPr>
        <w:jc w:val="both"/>
        <w:ind w:firstLine="865"/>
        <w:spacing w:after="0" w:line="266" w:lineRule="auto"/>
        <w:tabs>
          <w:tab w:leader="none" w:pos="230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Capitalization and Other Capital Stock Matters</w:t>
      </w:r>
      <w:r>
        <w:rPr>
          <w:rFonts w:ascii="Arial" w:cs="Arial" w:eastAsia="Arial" w:hAnsi="Arial"/>
          <w:sz w:val="18"/>
          <w:szCs w:val="18"/>
          <w:color w:val="auto"/>
        </w:rPr>
        <w:t>. The authorized, issued and outstanding capital stock of the Company is as set forth in the Registration Statement and the Prospectus under the captions “The Offering” and “Description of Securities” (other than for subsequent issuances, if any, pursuant to employee benefit plans, upon the exercise of outstanding options or warrants or the vesting of restricted stock units, in each case as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148" w:lineRule="exact"/>
        <w:rPr>
          <w:rFonts w:ascii="Arial" w:cs="Arial" w:eastAsia="Arial" w:hAnsi="Arial"/>
          <w:sz w:val="18"/>
          <w:szCs w:val="18"/>
          <w:color w:val="auto"/>
        </w:rPr>
      </w:pPr>
    </w:p>
    <w:p>
      <w:pPr>
        <w:jc w:val="both"/>
        <w:ind w:firstLine="865"/>
        <w:spacing w:after="0" w:line="258" w:lineRule="auto"/>
        <w:tabs>
          <w:tab w:leader="none" w:pos="2301"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Stock Exchange Listing</w:t>
      </w:r>
      <w:r>
        <w:rPr>
          <w:rFonts w:ascii="Arial" w:cs="Arial" w:eastAsia="Arial" w:hAnsi="Arial"/>
          <w:sz w:val="19"/>
          <w:szCs w:val="19"/>
          <w:color w:val="auto"/>
        </w:rPr>
        <w:t>. The Common Shares are registered pursuant to Section 12(b)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9" w:name="page40"/>
    <w:bookmarkEnd w:id="39"/>
    <w:p>
      <w:pPr>
        <w:jc w:val="both"/>
        <w:ind w:firstLine="865"/>
        <w:spacing w:after="0" w:line="263" w:lineRule="auto"/>
        <w:tabs>
          <w:tab w:leader="none" w:pos="226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Non-Contravention of Existing Instruments; No Further Authorizations or Approvals Required</w:t>
      </w:r>
      <w:r>
        <w:rPr>
          <w:rFonts w:ascii="Arial" w:cs="Arial" w:eastAsia="Arial" w:hAnsi="Arial"/>
          <w:sz w:val="18"/>
          <w:szCs w:val="18"/>
          <w:color w:val="auto"/>
        </w:rPr>
        <w:t>. Neither the Company nor any of its subsidiaries is in violation of its charter or by-laws, partnership agreement or operating agreement or similar organizational documents, as applicable, or is in default (or, with the giving of notice or lapse of time, would be in default) (“</w:t>
      </w:r>
      <w:r>
        <w:rPr>
          <w:rFonts w:ascii="Arial" w:cs="Arial" w:eastAsia="Arial" w:hAnsi="Arial"/>
          <w:sz w:val="18"/>
          <w:szCs w:val="18"/>
          <w:b w:val="1"/>
          <w:bCs w:val="1"/>
          <w:color w:val="auto"/>
        </w:rPr>
        <w:t>Default</w:t>
      </w:r>
      <w:r>
        <w:rPr>
          <w:rFonts w:ascii="Arial" w:cs="Arial" w:eastAsia="Arial" w:hAnsi="Arial"/>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8"/>
          <w:szCs w:val="18"/>
          <w:b w:val="1"/>
          <w:bCs w:val="1"/>
          <w:color w:val="auto"/>
        </w:rPr>
        <w:t>Existing Instrument</w:t>
      </w:r>
      <w:r>
        <w:rPr>
          <w:rFonts w:ascii="Arial" w:cs="Arial" w:eastAsia="Arial" w:hAnsi="Arial"/>
          <w:sz w:val="18"/>
          <w:szCs w:val="18"/>
          <w:color w:val="auto"/>
        </w:rPr>
        <w:t>”), except for such Defaults as could not be expected, individually or in the aggregate, to have a material adverse effect on the condition (financial or other), earnings, business, properties, operations, assets, liabilities or prospects of the Company and its subsidiaries, considered as one entity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or as otherwise disclosed in the Registration Statement and the Prospectus. The Company’s execution, delivery and performance of this Agreement, consummation of the transactions contemplated hereby and by the Registration Statement and the Prospectus and the issuance and sale of the Shares (i) have been duly authorized by all necessary corporate action and will not result in any violation of the provisions of the charter or by-laws,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case of each of clauses (ii) and (iii) (but only in respect of laws other than federal securities laws and of administrative regulations or administrative or court decrees other than under federal securities laws) above, for any such conflict, breach, violation, Default, lien, charge or encumbrance that could not be expected, individually or in the aggregate, to result in a Material Adverse Effect or materially and adversely affect the consummation of the transactions contemplated by this Agreement or the performance by the Company of its obligations hereunder.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As used herein, a “</w:t>
      </w:r>
      <w:r>
        <w:rPr>
          <w:rFonts w:ascii="Arial" w:cs="Arial" w:eastAsia="Arial" w:hAnsi="Arial"/>
          <w:sz w:val="18"/>
          <w:szCs w:val="18"/>
          <w:b w:val="1"/>
          <w:bCs w:val="1"/>
          <w:color w:val="auto"/>
        </w:rPr>
        <w:t>Debt Repayment Triggering Event</w:t>
      </w:r>
      <w:r>
        <w:rPr>
          <w:rFonts w:ascii="Arial" w:cs="Arial" w:eastAsia="Arial" w:hAnsi="Arial"/>
          <w:sz w:val="18"/>
          <w:szCs w:val="18"/>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60" w:lineRule="exact"/>
        <w:rPr>
          <w:rFonts w:ascii="Arial" w:cs="Arial" w:eastAsia="Arial" w:hAnsi="Arial"/>
          <w:sz w:val="18"/>
          <w:szCs w:val="18"/>
          <w:color w:val="auto"/>
        </w:rPr>
      </w:pPr>
    </w:p>
    <w:p>
      <w:pPr>
        <w:jc w:val="both"/>
        <w:ind w:firstLine="865"/>
        <w:spacing w:after="0" w:line="249" w:lineRule="auto"/>
        <w:tabs>
          <w:tab w:leader="none" w:pos="2279"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Company and its subsidiaries have been and are in compliance with all applicable laws, rules and regulations, and all administrative or court decrees, if any, applicable to them, except where failure to be so in compliance could not be expected, individually or in the aggregate, to have a Material Adverse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0" w:name="page41"/>
    <w:bookmarkEnd w:id="40"/>
    <w:p>
      <w:pPr>
        <w:jc w:val="both"/>
        <w:ind w:firstLine="865"/>
        <w:spacing w:after="0" w:line="252" w:lineRule="auto"/>
        <w:tabs>
          <w:tab w:leader="none" w:pos="225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 Material Actions or Proceedings</w:t>
      </w:r>
      <w:r>
        <w:rPr>
          <w:rFonts w:ascii="Arial" w:cs="Arial" w:eastAsia="Arial" w:hAnsi="Arial"/>
          <w:sz w:val="19"/>
          <w:szCs w:val="19"/>
          <w:color w:val="auto"/>
        </w:rPr>
        <w:t>. Except as otherwise disclosed in the Registration Statement and the Prospectus, there is no action, suit, proceeding, inquiry or investigation brought by or before any governmental entity now pending or, to the knowledge of the Company, threatened, against or affecting the Company or any of its subsidiaries, which could be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could not be expected to have a Material Adverse Effect. No material labor dispute with the employees of the Company or any of its subsidiaries, nor, to the Company’s knowledge, with the employees of any principal supplier, manufacturer, customer or contractor of the Company, exists or, to the knowledge of the Company, is threatened or imminent.</w:t>
      </w:r>
    </w:p>
    <w:p>
      <w:pPr>
        <w:spacing w:after="0" w:line="160" w:lineRule="exact"/>
        <w:rPr>
          <w:rFonts w:ascii="Arial" w:cs="Arial" w:eastAsia="Arial" w:hAnsi="Arial"/>
          <w:sz w:val="19"/>
          <w:szCs w:val="19"/>
          <w:color w:val="auto"/>
        </w:rPr>
      </w:pPr>
    </w:p>
    <w:p>
      <w:pPr>
        <w:jc w:val="both"/>
        <w:ind w:firstLine="865"/>
        <w:spacing w:after="0" w:line="264" w:lineRule="auto"/>
        <w:tabs>
          <w:tab w:leader="none" w:pos="230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or as currently proposed to be conducted (collectively, “</w:t>
      </w:r>
      <w:r>
        <w:rPr>
          <w:rFonts w:ascii="Arial" w:cs="Arial" w:eastAsia="Arial" w:hAnsi="Arial"/>
          <w:sz w:val="18"/>
          <w:szCs w:val="18"/>
          <w:u w:val="single" w:color="auto"/>
          <w:color w:val="auto"/>
        </w:rPr>
        <w:t>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in all material respects with the terms of each agreement pursuant to which Intellectual Property has been licensed to the Company or any subsidiary, and all such agreements are in full force and effect. The product candidates described in the Registration Statement and the Prospectus as under development by the Company or any subsidiary fall within the scope of the claims of one or more patents owned by, or exclusively licensed to, the Company or any subsidiary.</w:t>
      </w:r>
    </w:p>
    <w:p>
      <w:pPr>
        <w:spacing w:after="0" w:line="158" w:lineRule="exact"/>
        <w:rPr>
          <w:rFonts w:ascii="Arial" w:cs="Arial" w:eastAsia="Arial" w:hAnsi="Arial"/>
          <w:sz w:val="18"/>
          <w:szCs w:val="18"/>
          <w:color w:val="auto"/>
        </w:rPr>
      </w:pPr>
    </w:p>
    <w:p>
      <w:pPr>
        <w:jc w:val="both"/>
        <w:ind w:firstLine="865"/>
        <w:spacing w:after="0" w:line="268" w:lineRule="auto"/>
        <w:tabs>
          <w:tab w:leader="none" w:pos="2301"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All Necessary Permits, etc</w:t>
      </w:r>
      <w:r>
        <w:rPr>
          <w:rFonts w:ascii="Arial" w:cs="Arial" w:eastAsia="Arial" w:hAnsi="Arial"/>
          <w:sz w:val="19"/>
          <w:szCs w:val="19"/>
          <w:color w:val="auto"/>
        </w:rPr>
        <w:t>. The Company and its subsidiaries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Arial" w:cs="Arial" w:eastAsia="Arial" w:hAnsi="Arial"/>
          <w:sz w:val="19"/>
          <w:szCs w:val="19"/>
          <w:b w:val="1"/>
          <w:bCs w:val="1"/>
          <w:color w:val="auto"/>
        </w:rPr>
        <w:t>Permits</w:t>
      </w:r>
      <w:r>
        <w:rPr>
          <w:rFonts w:ascii="Arial" w:cs="Arial" w:eastAsia="Arial" w:hAnsi="Arial"/>
          <w:sz w:val="19"/>
          <w:szCs w:val="19"/>
          <w:color w:val="auto"/>
        </w:rPr>
        <w:t>”), except for such certificates,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1" w:name="page42"/>
    <w:bookmarkEnd w:id="41"/>
    <w:p>
      <w:pPr>
        <w:jc w:val="both"/>
        <w:spacing w:after="0"/>
        <w:rPr>
          <w:sz w:val="20"/>
          <w:szCs w:val="20"/>
          <w:color w:val="auto"/>
        </w:rPr>
      </w:pPr>
      <w:r>
        <w:rPr>
          <w:rFonts w:ascii="Arial" w:cs="Arial" w:eastAsia="Arial" w:hAnsi="Arial"/>
          <w:sz w:val="20"/>
          <w:szCs w:val="20"/>
          <w:color w:val="auto"/>
        </w:rPr>
        <w:t>authorizations or permits whose failure to obtain could not be expected, individually or in the aggregate, to have a Material Adverse Effect. Neither the Company nor any of its subsidiaries (x) is in violation of, or in default under, any of the Permits (except for such violations or defaults that could not be expected, individually or in the aggregate, to have a Material Adverse Effect) or (y) has received any notice of proceedings relating to the revocation or modification of, or non-compliance with, any such certificate, authorization or permit, which, if the subject of an unfavorable decision, ruling or finding, could be expected, individually or in the aggregate, to have a Material Adverse Effect.</w:t>
      </w:r>
    </w:p>
    <w:p>
      <w:pPr>
        <w:spacing w:after="0" w:line="173" w:lineRule="exact"/>
        <w:rPr>
          <w:sz w:val="20"/>
          <w:szCs w:val="20"/>
          <w:color w:val="auto"/>
        </w:rPr>
      </w:pPr>
    </w:p>
    <w:p>
      <w:pPr>
        <w:jc w:val="both"/>
        <w:ind w:firstLine="865"/>
        <w:spacing w:after="0" w:line="253" w:lineRule="auto"/>
        <w:tabs>
          <w:tab w:leader="none" w:pos="2345"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Title to Properties</w:t>
      </w:r>
      <w:r>
        <w:rPr>
          <w:rFonts w:ascii="Arial" w:cs="Arial" w:eastAsia="Arial" w:hAnsi="Arial"/>
          <w:sz w:val="19"/>
          <w:szCs w:val="19"/>
          <w:i w:val="1"/>
          <w:iCs w:val="1"/>
          <w:color w:val="auto"/>
        </w:rPr>
        <w:t>.</w:t>
      </w:r>
      <w:r>
        <w:rPr>
          <w:rFonts w:ascii="Arial" w:cs="Arial" w:eastAsia="Arial" w:hAnsi="Arial"/>
          <w:sz w:val="19"/>
          <w:szCs w:val="19"/>
          <w:color w:val="auto"/>
        </w:rPr>
        <w:t xml:space="preserve"> The Company and its subsidiaries have good and marketable title to all of the real and personal property and other assets reflected as owned in the financial statements referred to in Section 2(k) above (or elsewhere in the Registration Statement or the Prospectus), in each case free and clear of any security interests, mortgages, liens, encumbrances, equities, adverse claims and other defects, except such as do not materially and adversely affect the value of such property and do not materially interfere with the use made or proposed to be made of such property by the Company or any of its subsidiaries.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61" w:lineRule="exact"/>
        <w:rPr>
          <w:rFonts w:ascii="Arial" w:cs="Arial" w:eastAsia="Arial" w:hAnsi="Arial"/>
          <w:sz w:val="19"/>
          <w:szCs w:val="19"/>
          <w:color w:val="auto"/>
        </w:rPr>
      </w:pPr>
    </w:p>
    <w:p>
      <w:pPr>
        <w:jc w:val="both"/>
        <w:ind w:firstLine="865"/>
        <w:spacing w:after="0" w:line="254" w:lineRule="auto"/>
        <w:tabs>
          <w:tab w:leader="none" w:pos="230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Tax Law Compliance</w:t>
      </w:r>
      <w:r>
        <w:rPr>
          <w:rFonts w:ascii="Arial" w:cs="Arial" w:eastAsia="Arial" w:hAnsi="Arial"/>
          <w:sz w:val="19"/>
          <w:szCs w:val="19"/>
          <w:color w:val="auto"/>
        </w:rPr>
        <w:t>. The Company and its subsidiaries have filed all necessary federal, state and foreign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and except for such exceptions as could not be expected, individually or in the aggregate, to have a Material Adverse Effect. The Company has made adequate charges, accruals and reserves in the applicable financial statements referred to in Section 2(k) above in respect of all federal, state and foreign income and franchise taxes for all periods as to which the tax liability of the Company or any of its subsidiaries has not been finally determined.</w:t>
      </w:r>
    </w:p>
    <w:p>
      <w:pPr>
        <w:spacing w:after="0" w:line="159" w:lineRule="exact"/>
        <w:rPr>
          <w:rFonts w:ascii="Arial" w:cs="Arial" w:eastAsia="Arial" w:hAnsi="Arial"/>
          <w:sz w:val="19"/>
          <w:szCs w:val="19"/>
          <w:color w:val="auto"/>
        </w:rPr>
      </w:pPr>
    </w:p>
    <w:p>
      <w:pPr>
        <w:jc w:val="both"/>
        <w:ind w:firstLine="865"/>
        <w:spacing w:after="0" w:line="268" w:lineRule="auto"/>
        <w:tabs>
          <w:tab w:leader="none" w:pos="230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Except as otherwise disclosed in the Prospectus, each of the Company and its subsidiaries is insured by recognized, financially sound and reputable institutions with policies in such amounts and with such deductibles and covering such risks as, in the reasonable judgment of the Company, are generally deemed adequate and customary for their businesses including, but not limited to, policies covering real and personal property owned or leased by the Company and its subsidiaries against theft, damage, destruction and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be expected to have a Material Adverse Effect. Neither the Company nor any of its subsidiaries has been denied any insurance coverage which it has sought or for which it has applied.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2" w:name="page43"/>
    <w:bookmarkEnd w:id="42"/>
    <w:p>
      <w:pPr>
        <w:jc w:val="both"/>
        <w:ind w:firstLine="865"/>
        <w:spacing w:after="0" w:line="250" w:lineRule="auto"/>
        <w:tabs>
          <w:tab w:leader="none" w:pos="229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Compliance with Environmental Laws</w:t>
      </w:r>
      <w:r>
        <w:rPr>
          <w:rFonts w:ascii="Arial" w:cs="Arial" w:eastAsia="Arial" w:hAnsi="Arial"/>
          <w:sz w:val="19"/>
          <w:szCs w:val="19"/>
          <w:color w:val="auto"/>
        </w:rPr>
        <w:t>. Except as described in the Prospectus and except as could not be expected, individually or in the aggregate, to have a Material 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9"/>
          <w:szCs w:val="19"/>
          <w:b w:val="1"/>
          <w:bCs w:val="1"/>
          <w:color w:val="auto"/>
        </w:rPr>
        <w:t>Hazardous</w:t>
      </w:r>
      <w:r>
        <w:rPr>
          <w:rFonts w:ascii="Arial" w:cs="Arial" w:eastAsia="Arial" w:hAnsi="Arial"/>
          <w:sz w:val="19"/>
          <w:szCs w:val="19"/>
          <w:color w:val="auto"/>
        </w:rPr>
        <w:t xml:space="preserve"> </w:t>
      </w:r>
      <w:r>
        <w:rPr>
          <w:rFonts w:ascii="Arial" w:cs="Arial" w:eastAsia="Arial" w:hAnsi="Arial"/>
          <w:sz w:val="19"/>
          <w:szCs w:val="19"/>
          <w:b w:val="1"/>
          <w:bCs w:val="1"/>
          <w:color w:val="auto"/>
        </w:rPr>
        <w:t>Materials</w:t>
      </w:r>
      <w:r>
        <w:rPr>
          <w:rFonts w:ascii="Arial" w:cs="Arial" w:eastAsia="Arial" w:hAnsi="Arial"/>
          <w:sz w:val="19"/>
          <w:szCs w:val="19"/>
          <w:color w:val="auto"/>
        </w:rPr>
        <w:t>”) or to the manufacture, processing, distribution, use, treatment, storage, disposal, transport or handling of Hazardous Materials</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(collectively, “</w:t>
      </w:r>
      <w:r>
        <w:rPr>
          <w:rFonts w:ascii="Arial" w:cs="Arial" w:eastAsia="Arial" w:hAnsi="Arial"/>
          <w:sz w:val="19"/>
          <w:szCs w:val="19"/>
          <w:b w:val="1"/>
          <w:bCs w:val="1"/>
          <w:color w:val="auto"/>
        </w:rPr>
        <w:t>Environmental Laws</w:t>
      </w:r>
      <w:r>
        <w:rPr>
          <w:rFonts w:ascii="Arial" w:cs="Arial" w:eastAsia="Arial" w:hAnsi="Arial"/>
          <w:sz w:val="19"/>
          <w:szCs w:val="19"/>
          <w:color w:val="auto"/>
        </w:rPr>
        <w:t>”);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68" w:lineRule="exact"/>
        <w:rPr>
          <w:sz w:val="20"/>
          <w:szCs w:val="20"/>
          <w:color w:val="auto"/>
        </w:rPr>
      </w:pPr>
    </w:p>
    <w:p>
      <w:pPr>
        <w:jc w:val="both"/>
        <w:ind w:firstLine="865"/>
        <w:spacing w:after="0" w:line="239" w:lineRule="auto"/>
        <w:tabs>
          <w:tab w:leader="none" w:pos="2379"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Periodic Review of Costs of Environmental Compliance</w:t>
      </w:r>
      <w:r>
        <w:rPr>
          <w:rFonts w:ascii="Arial" w:cs="Arial" w:eastAsia="Arial" w:hAnsi="Arial"/>
          <w:sz w:val="20"/>
          <w:szCs w:val="20"/>
          <w:color w:val="auto"/>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have a Material Adverse Effect.</w:t>
      </w:r>
    </w:p>
    <w:p>
      <w:pPr>
        <w:spacing w:after="0" w:line="175" w:lineRule="exact"/>
        <w:rPr>
          <w:rFonts w:ascii="Arial" w:cs="Arial" w:eastAsia="Arial" w:hAnsi="Arial"/>
          <w:sz w:val="20"/>
          <w:szCs w:val="20"/>
          <w:color w:val="auto"/>
        </w:rPr>
      </w:pPr>
    </w:p>
    <w:p>
      <w:pPr>
        <w:jc w:val="both"/>
        <w:ind w:firstLine="865"/>
        <w:spacing w:after="0" w:line="267" w:lineRule="auto"/>
        <w:tabs>
          <w:tab w:leader="none" w:pos="240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ERISA Compliance</w:t>
      </w:r>
      <w:r>
        <w:rPr>
          <w:rFonts w:ascii="Arial" w:cs="Arial" w:eastAsia="Arial" w:hAnsi="Arial"/>
          <w:sz w:val="18"/>
          <w:szCs w:val="18"/>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8"/>
          <w:szCs w:val="18"/>
          <w:b w:val="1"/>
          <w:bCs w:val="1"/>
          <w:color w:val="auto"/>
        </w:rPr>
        <w:t>ERISA</w:t>
      </w:r>
      <w:r>
        <w:rPr>
          <w:rFonts w:ascii="Arial" w:cs="Arial" w:eastAsia="Arial" w:hAnsi="Arial"/>
          <w:sz w:val="18"/>
          <w:szCs w:val="18"/>
          <w:color w:val="auto"/>
        </w:rPr>
        <w:t>”)) established or maintained by the Company, its subsidiaries or their “ERISA Affiliates” (as defined below) are in compliance in all material respects with ERISA. “</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8"/>
          <w:szCs w:val="18"/>
          <w:b w:val="1"/>
          <w:bCs w:val="1"/>
          <w:color w:val="auto"/>
        </w:rPr>
        <w:t>Code</w:t>
      </w:r>
      <w:r>
        <w:rPr>
          <w:rFonts w:ascii="Arial" w:cs="Arial" w:eastAsia="Arial" w:hAnsi="Arial"/>
          <w:sz w:val="18"/>
          <w:szCs w:val="18"/>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color w:val="auto"/>
        </w:rPr>
        <w:t>incur any liability under (i) Title IV of ERISA with respect to termination of, or withdrawal from, any “employee benefit plan” or</w:t>
      </w:r>
    </w:p>
    <w:p>
      <w:pPr>
        <w:spacing w:after="0" w:line="13" w:lineRule="exact"/>
        <w:rPr>
          <w:sz w:val="20"/>
          <w:szCs w:val="20"/>
          <w:color w:val="auto"/>
        </w:rPr>
      </w:pPr>
    </w:p>
    <w:p>
      <w:pPr>
        <w:jc w:val="both"/>
        <w:spacing w:after="0" w:line="239" w:lineRule="auto"/>
        <w:tabs>
          <w:tab w:leader="none" w:pos="295" w:val="left"/>
        </w:tabs>
        <w:numPr>
          <w:ilvl w:val="0"/>
          <w:numId w:val="20"/>
        </w:numPr>
        <w:rPr>
          <w:rFonts w:ascii="Arial" w:cs="Arial" w:eastAsia="Arial" w:hAnsi="Arial"/>
          <w:sz w:val="20"/>
          <w:szCs w:val="20"/>
          <w:color w:val="auto"/>
        </w:rPr>
      </w:pPr>
      <w:r>
        <w:rPr>
          <w:rFonts w:ascii="Arial" w:cs="Arial" w:eastAsia="Arial" w:hAnsi="Arial"/>
          <w:sz w:val="20"/>
          <w:szCs w:val="20"/>
          <w:color w:val="auto"/>
        </w:rPr>
        <w:t>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71" w:lineRule="exact"/>
        <w:rPr>
          <w:rFonts w:ascii="Arial" w:cs="Arial" w:eastAsia="Arial" w:hAnsi="Arial"/>
          <w:sz w:val="20"/>
          <w:szCs w:val="20"/>
          <w:color w:val="auto"/>
        </w:rPr>
      </w:pPr>
    </w:p>
    <w:p>
      <w:pPr>
        <w:jc w:val="both"/>
        <w:ind w:firstLine="865"/>
        <w:spacing w:after="0" w:line="244" w:lineRule="auto"/>
        <w:tabs>
          <w:tab w:leader="none" w:pos="2379"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Company Not an “Investment Company</w:t>
      </w:r>
      <w:r>
        <w:rPr>
          <w:rFonts w:ascii="Arial" w:cs="Arial" w:eastAsia="Arial" w:hAnsi="Arial"/>
          <w:sz w:val="20"/>
          <w:szCs w:val="20"/>
          <w:color w:val="auto"/>
        </w:rPr>
        <w:t>.”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20"/>
          <w:szCs w:val="20"/>
          <w:b w:val="1"/>
          <w:bCs w:val="1"/>
          <w:color w:val="auto"/>
        </w:rPr>
        <w:t>Investment Company Act</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firstLine="865"/>
        <w:spacing w:after="0" w:line="242" w:lineRule="auto"/>
        <w:tabs>
          <w:tab w:leader="none" w:pos="2401"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No Price Stabilization or Manipulation; Compliance with Regulation M</w:t>
      </w:r>
      <w:r>
        <w:rPr>
          <w:rFonts w:ascii="Arial" w:cs="Arial" w:eastAsia="Arial" w:hAnsi="Arial"/>
          <w:sz w:val="20"/>
          <w:szCs w:val="20"/>
          <w:color w:val="auto"/>
        </w:rPr>
        <w:t>. Neither the Company nor any of its subsidiaries has taken, directly or indirectly, any action designed to or that might reasonably be expected to cause or result in stabilization or manipulation of the price of the Common Shares or of any “reference security” (as defined in Rule 100 of Regulation M under the Exchange Act (“</w:t>
      </w:r>
      <w:r>
        <w:rPr>
          <w:rFonts w:ascii="Arial" w:cs="Arial" w:eastAsia="Arial" w:hAnsi="Arial"/>
          <w:sz w:val="20"/>
          <w:szCs w:val="20"/>
          <w:b w:val="1"/>
          <w:bCs w:val="1"/>
          <w:color w:val="auto"/>
        </w:rPr>
        <w:t>Regulation M</w:t>
      </w:r>
      <w:r>
        <w:rPr>
          <w:rFonts w:ascii="Arial" w:cs="Arial" w:eastAsia="Arial" w:hAnsi="Arial"/>
          <w:sz w:val="20"/>
          <w:szCs w:val="20"/>
          <w:color w:val="auto"/>
        </w:rPr>
        <w:t>”)) with respect to the Common Shares, whether to facilitate the sale or resale of the Shares or otherwise, and has taken no action which would directly or indirectly violate Regulation M.</w:t>
      </w:r>
    </w:p>
    <w:p>
      <w:pPr>
        <w:spacing w:after="0" w:line="168" w:lineRule="exact"/>
        <w:rPr>
          <w:rFonts w:ascii="Arial" w:cs="Arial" w:eastAsia="Arial" w:hAnsi="Arial"/>
          <w:sz w:val="20"/>
          <w:szCs w:val="20"/>
          <w:color w:val="auto"/>
        </w:rPr>
      </w:pPr>
    </w:p>
    <w:p>
      <w:pPr>
        <w:jc w:val="both"/>
        <w:ind w:firstLine="865"/>
        <w:spacing w:after="0" w:line="249" w:lineRule="auto"/>
        <w:tabs>
          <w:tab w:leader="none" w:pos="2379"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Related-Party Transactions</w:t>
      </w:r>
      <w:r>
        <w:rPr>
          <w:rFonts w:ascii="Arial" w:cs="Arial" w:eastAsia="Arial" w:hAnsi="Arial"/>
          <w:sz w:val="20"/>
          <w:szCs w:val="20"/>
          <w:color w:val="auto"/>
        </w:rPr>
        <w:t>. There are no business relationships or related-party transactions involving the Company or any of its subsidiaries or any other person required to be described in the Registration Statement or the Prospectus that have not been described as required.</w:t>
      </w:r>
    </w:p>
    <w:p>
      <w:pPr>
        <w:spacing w:after="0" w:line="160" w:lineRule="exact"/>
        <w:rPr>
          <w:rFonts w:ascii="Arial" w:cs="Arial" w:eastAsia="Arial" w:hAnsi="Arial"/>
          <w:sz w:val="20"/>
          <w:szCs w:val="20"/>
          <w:color w:val="auto"/>
        </w:rPr>
      </w:pPr>
    </w:p>
    <w:p>
      <w:pPr>
        <w:jc w:val="both"/>
        <w:ind w:firstLine="865"/>
        <w:spacing w:after="0" w:line="280" w:lineRule="auto"/>
        <w:tabs>
          <w:tab w:leader="none" w:pos="233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FINRA’s rules and any letters, filings or other supplemental information provided to FINRA pursuant to FINRA Rules or NASD Conduct Rules is true, complete and correct.</w:t>
      </w:r>
    </w:p>
    <w:p>
      <w:pPr>
        <w:spacing w:after="0" w:line="136" w:lineRule="exact"/>
        <w:rPr>
          <w:rFonts w:ascii="Arial" w:cs="Arial" w:eastAsia="Arial" w:hAnsi="Arial"/>
          <w:sz w:val="18"/>
          <w:szCs w:val="18"/>
          <w:color w:val="auto"/>
        </w:rPr>
      </w:pPr>
    </w:p>
    <w:p>
      <w:pPr>
        <w:jc w:val="both"/>
        <w:ind w:firstLine="865"/>
        <w:spacing w:after="0" w:line="290" w:lineRule="auto"/>
        <w:tabs>
          <w:tab w:leader="none" w:pos="240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126" w:lineRule="exact"/>
        <w:rPr>
          <w:rFonts w:ascii="Arial" w:cs="Arial" w:eastAsia="Arial" w:hAnsi="Arial"/>
          <w:sz w:val="18"/>
          <w:szCs w:val="18"/>
          <w:color w:val="auto"/>
        </w:rPr>
      </w:pPr>
    </w:p>
    <w:p>
      <w:pPr>
        <w:jc w:val="both"/>
        <w:ind w:firstLine="865"/>
        <w:spacing w:after="0" w:line="244" w:lineRule="auto"/>
        <w:tabs>
          <w:tab w:leader="none" w:pos="2401"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Sarbanes-Oxley Act</w:t>
      </w:r>
      <w:r>
        <w:rPr>
          <w:rFonts w:ascii="Arial" w:cs="Arial" w:eastAsia="Arial" w:hAnsi="Arial"/>
          <w:sz w:val="20"/>
          <w:szCs w:val="20"/>
          <w:color w:val="auto"/>
        </w:rPr>
        <w:t>.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66" w:lineRule="exact"/>
        <w:rPr>
          <w:rFonts w:ascii="Arial" w:cs="Arial" w:eastAsia="Arial" w:hAnsi="Arial"/>
          <w:sz w:val="20"/>
          <w:szCs w:val="20"/>
          <w:color w:val="auto"/>
        </w:rPr>
      </w:pPr>
    </w:p>
    <w:p>
      <w:pPr>
        <w:jc w:val="both"/>
        <w:ind w:firstLine="865"/>
        <w:spacing w:after="0" w:line="249" w:lineRule="auto"/>
        <w:tabs>
          <w:tab w:leader="none" w:pos="2312" w:val="left"/>
        </w:tabs>
        <w:numPr>
          <w:ilvl w:val="1"/>
          <w:numId w:val="20"/>
        </w:numPr>
        <w:rPr>
          <w:rFonts w:ascii="Arial" w:cs="Arial" w:eastAsia="Arial" w:hAnsi="Arial"/>
          <w:sz w:val="20"/>
          <w:szCs w:val="20"/>
          <w:color w:val="auto"/>
        </w:rPr>
      </w:pPr>
      <w:r>
        <w:rPr>
          <w:rFonts w:ascii="Arial" w:cs="Arial" w:eastAsia="Arial" w:hAnsi="Arial"/>
          <w:sz w:val="20"/>
          <w:szCs w:val="20"/>
          <w:u w:val="single" w:color="auto"/>
          <w:color w:val="auto"/>
        </w:rPr>
        <w:t>No Unlawful Contributions or Other Payments</w:t>
      </w:r>
      <w:r>
        <w:rPr>
          <w:rFonts w:ascii="Arial" w:cs="Arial" w:eastAsia="Arial" w:hAnsi="Arial"/>
          <w:sz w:val="20"/>
          <w:szCs w:val="20"/>
          <w:color w:val="auto"/>
        </w:rPr>
        <w:t>. Except as otherwise disclosed in the Prospectus, neither the Company nor any of its subsidiaries nor, to the best of the Company’s knowledge, any employee or agent of the Company or any subsidiary, has made any contribution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20"/>
          <w:szCs w:val="20"/>
          <w:color w:val="auto"/>
        </w:rPr>
        <w:t>or other payment to any official of, or candidate for, any federal, state or foreign office in violation of any law or of the character required to be disclosed in the Registration Statement or the Prospectus.</w:t>
      </w:r>
    </w:p>
    <w:p>
      <w:pPr>
        <w:spacing w:after="0" w:line="147" w:lineRule="exact"/>
        <w:rPr>
          <w:sz w:val="20"/>
          <w:szCs w:val="20"/>
          <w:color w:val="auto"/>
        </w:rPr>
      </w:pPr>
    </w:p>
    <w:p>
      <w:pPr>
        <w:jc w:val="both"/>
        <w:ind w:firstLine="865"/>
        <w:spacing w:after="0" w:line="266" w:lineRule="auto"/>
        <w:tabs>
          <w:tab w:leader="none" w:pos="231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Anti-Corruption and Anti-Bribery Laws</w:t>
      </w:r>
      <w:r>
        <w:rPr>
          <w:rFonts w:ascii="Arial" w:cs="Arial" w:eastAsia="Arial" w:hAnsi="Arial"/>
          <w:sz w:val="18"/>
          <w:szCs w:val="18"/>
          <w:color w:val="auto"/>
        </w:rPr>
        <w:t>. Neither the Company nor any of its subsidiaries nor to the knowledge of the Company, any director, officer, employee,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52" w:lineRule="exact"/>
        <w:rPr>
          <w:rFonts w:ascii="Arial" w:cs="Arial" w:eastAsia="Arial" w:hAnsi="Arial"/>
          <w:sz w:val="18"/>
          <w:szCs w:val="18"/>
          <w:color w:val="auto"/>
        </w:rPr>
      </w:pPr>
    </w:p>
    <w:p>
      <w:pPr>
        <w:jc w:val="both"/>
        <w:ind w:firstLine="865"/>
        <w:spacing w:after="0" w:line="254" w:lineRule="auto"/>
        <w:tabs>
          <w:tab w:leader="none" w:pos="240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Money Laundering Laws</w:t>
      </w:r>
      <w:r>
        <w:rPr>
          <w:rFonts w:ascii="Arial" w:cs="Arial" w:eastAsia="Arial" w:hAnsi="Arial"/>
          <w:sz w:val="19"/>
          <w:szCs w:val="19"/>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59" w:lineRule="exact"/>
        <w:rPr>
          <w:rFonts w:ascii="Arial" w:cs="Arial" w:eastAsia="Arial" w:hAnsi="Arial"/>
          <w:sz w:val="19"/>
          <w:szCs w:val="19"/>
          <w:color w:val="auto"/>
        </w:rPr>
      </w:pPr>
    </w:p>
    <w:p>
      <w:pPr>
        <w:jc w:val="both"/>
        <w:ind w:firstLine="865"/>
        <w:spacing w:after="0" w:line="267" w:lineRule="auto"/>
        <w:tabs>
          <w:tab w:leader="none" w:pos="231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Compliance with Sanctions Laws</w:t>
      </w:r>
      <w:r>
        <w:rPr>
          <w:rFonts w:ascii="Arial" w:cs="Arial" w:eastAsia="Arial" w:hAnsi="Arial"/>
          <w:sz w:val="18"/>
          <w:szCs w:val="18"/>
          <w:color w:val="auto"/>
        </w:rPr>
        <w:t>. Neither the Company nor any of its subsidiaries, nor, to the knowledge of the Company, any director, officer, employee, agent, affiliate or other person acting on behalf of the Company or any of its subsidiaries is currently the subject or the target of any U.S. sanctions administered by the Office of Foreign Assets Control of the U.S. Department of the Treasury or the U.S. Department of State, the United Nations Security Council, the European Union, Her Majesty’s Treasury of the United Kingdom,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 is the Company or any of its subsidiaries located, organized or resident in a country or territory that is the subject or the target of Sanctions, including, without limitation, Crimea, Cuba, Iran, North Korea, and Syria (collectively, “</w:t>
      </w:r>
      <w:r>
        <w:rPr>
          <w:rFonts w:ascii="Arial" w:cs="Arial" w:eastAsia="Arial" w:hAnsi="Arial"/>
          <w:sz w:val="18"/>
          <w:szCs w:val="18"/>
          <w:b w:val="1"/>
          <w:bCs w:val="1"/>
          <w:color w:val="auto"/>
        </w:rPr>
        <w:t>Sanctioned Countries</w:t>
      </w:r>
      <w:r>
        <w:rPr>
          <w:rFonts w:ascii="Arial" w:cs="Arial" w:eastAsia="Arial" w:hAnsi="Arial"/>
          <w:sz w:val="18"/>
          <w:szCs w:val="18"/>
          <w:color w:val="auto"/>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5" w:name="page46"/>
    <w:bookmarkEnd w:id="45"/>
    <w:p>
      <w:pPr>
        <w:jc w:val="both"/>
        <w:spacing w:after="0" w:line="244" w:lineRule="auto"/>
        <w:rPr>
          <w:sz w:val="20"/>
          <w:szCs w:val="20"/>
          <w:color w:val="auto"/>
        </w:rPr>
      </w:pPr>
      <w:r>
        <w:rPr>
          <w:rFonts w:ascii="Arial" w:cs="Arial" w:eastAsia="Arial" w:hAnsi="Arial"/>
          <w:sz w:val="20"/>
          <w:szCs w:val="20"/>
          <w:color w:val="auto"/>
        </w:rPr>
        <w:t>(including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67" w:lineRule="exact"/>
        <w:rPr>
          <w:sz w:val="20"/>
          <w:szCs w:val="20"/>
          <w:color w:val="auto"/>
        </w:rPr>
      </w:pPr>
    </w:p>
    <w:p>
      <w:pPr>
        <w:jc w:val="both"/>
        <w:ind w:firstLine="865"/>
        <w:spacing w:after="0" w:line="249" w:lineRule="auto"/>
        <w:tabs>
          <w:tab w:leader="none" w:pos="2512"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Brokers</w:t>
      </w:r>
      <w:r>
        <w:rPr>
          <w:rFonts w:ascii="Arial" w:cs="Arial" w:eastAsia="Arial" w:hAnsi="Arial"/>
          <w:sz w:val="20"/>
          <w:szCs w:val="20"/>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160" w:lineRule="exact"/>
        <w:rPr>
          <w:rFonts w:ascii="Arial" w:cs="Arial" w:eastAsia="Arial" w:hAnsi="Arial"/>
          <w:sz w:val="20"/>
          <w:szCs w:val="20"/>
          <w:color w:val="auto"/>
        </w:rPr>
      </w:pPr>
    </w:p>
    <w:p>
      <w:pPr>
        <w:jc w:val="both"/>
        <w:ind w:firstLine="865"/>
        <w:spacing w:after="0" w:line="272" w:lineRule="auto"/>
        <w:tabs>
          <w:tab w:leader="none" w:pos="240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is was false or misleading.</w:t>
      </w:r>
    </w:p>
    <w:p>
      <w:pPr>
        <w:spacing w:after="0" w:line="145" w:lineRule="exact"/>
        <w:rPr>
          <w:rFonts w:ascii="Arial" w:cs="Arial" w:eastAsia="Arial" w:hAnsi="Arial"/>
          <w:sz w:val="18"/>
          <w:szCs w:val="18"/>
          <w:color w:val="auto"/>
        </w:rPr>
      </w:pPr>
    </w:p>
    <w:p>
      <w:pPr>
        <w:jc w:val="both"/>
        <w:ind w:firstLine="865"/>
        <w:spacing w:after="0" w:line="263" w:lineRule="auto"/>
        <w:tabs>
          <w:tab w:leader="none" w:pos="2401"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Cybersecurity</w:t>
      </w:r>
      <w:r>
        <w:rPr>
          <w:rFonts w:ascii="Arial" w:cs="Arial" w:eastAsia="Arial" w:hAnsi="Arial"/>
          <w:sz w:val="18"/>
          <w:szCs w:val="18"/>
          <w:color w:val="auto"/>
        </w:rPr>
        <w:t>. The Company and its subsidiaries’ information technology assets and equipment, computers, systems, networks, hardware, software, websites, applications, and databases (collectively, “</w:t>
      </w:r>
      <w:r>
        <w:rPr>
          <w:rFonts w:ascii="Arial" w:cs="Arial" w:eastAsia="Arial" w:hAnsi="Arial"/>
          <w:sz w:val="18"/>
          <w:szCs w:val="18"/>
          <w:b w:val="1"/>
          <w:bCs w:val="1"/>
          <w:color w:val="auto"/>
        </w:rPr>
        <w:t>IT Systems</w:t>
      </w:r>
      <w:r>
        <w:rPr>
          <w:rFonts w:ascii="Arial" w:cs="Arial" w:eastAsia="Arial" w:hAnsi="Arial"/>
          <w:sz w:val="18"/>
          <w:szCs w:val="18"/>
          <w:color w:val="auto"/>
        </w:rPr>
        <w:t>”) are adequate for, and operate and perform in all material respects as required in connection with the operation of the business of the Company and its subsidiaries as currently conducted, and to the Company’s knowledge,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8"/>
          <w:szCs w:val="18"/>
          <w:b w:val="1"/>
          <w:bCs w:val="1"/>
          <w:color w:val="auto"/>
        </w:rPr>
        <w:t>Personal Data</w:t>
      </w:r>
      <w:r>
        <w:rPr>
          <w:rFonts w:ascii="Arial" w:cs="Arial" w:eastAsia="Arial" w:hAnsi="Arial"/>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Arial" w:cs="Arial" w:eastAsia="Arial" w:hAnsi="Arial"/>
          <w:sz w:val="18"/>
          <w:szCs w:val="18"/>
          <w:b w:val="1"/>
          <w:bCs w:val="1"/>
          <w:color w:val="auto"/>
        </w:rPr>
        <w:t>GDPR</w:t>
      </w:r>
      <w:r>
        <w:rPr>
          <w:rFonts w:ascii="Arial" w:cs="Arial" w:eastAsia="Arial" w:hAnsi="Arial"/>
          <w:sz w:val="18"/>
          <w:szCs w:val="18"/>
          <w:color w:val="auto"/>
        </w:rPr>
        <w:t>”) (EU 2016/679);</w:t>
      </w:r>
    </w:p>
    <w:p>
      <w:pPr>
        <w:spacing w:after="0" w:line="2" w:lineRule="exact"/>
        <w:rPr>
          <w:rFonts w:ascii="Arial" w:cs="Arial" w:eastAsia="Arial" w:hAnsi="Arial"/>
          <w:sz w:val="18"/>
          <w:szCs w:val="18"/>
          <w:color w:val="auto"/>
        </w:rPr>
      </w:pPr>
    </w:p>
    <w:p>
      <w:pPr>
        <w:jc w:val="both"/>
        <w:spacing w:after="0" w:line="266" w:lineRule="auto"/>
        <w:tabs>
          <w:tab w:leader="none" w:pos="3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8"/>
          <w:szCs w:val="18"/>
          <w:b w:val="1"/>
          <w:bCs w:val="1"/>
          <w:color w:val="auto"/>
        </w:rPr>
        <w:t>HIPAA</w:t>
      </w:r>
      <w:r>
        <w:rPr>
          <w:rFonts w:ascii="Arial" w:cs="Arial" w:eastAsia="Arial" w:hAnsi="Arial"/>
          <w:sz w:val="18"/>
          <w:szCs w:val="18"/>
          <w:color w:val="auto"/>
        </w:rPr>
        <w:t>”); and (v)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6" w:name="page47"/>
    <w:bookmarkEnd w:id="46"/>
    <w:p>
      <w:pPr>
        <w:spacing w:after="0" w:line="263" w:lineRule="auto"/>
        <w:rPr>
          <w:sz w:val="20"/>
          <w:szCs w:val="20"/>
          <w:color w:val="auto"/>
        </w:rPr>
      </w:pPr>
      <w:r>
        <w:rPr>
          <w:rFonts w:ascii="Arial" w:cs="Arial" w:eastAsia="Arial" w:hAnsi="Arial"/>
          <w:sz w:val="20"/>
          <w:szCs w:val="20"/>
          <w:color w:val="auto"/>
        </w:rPr>
        <w:t>Systems and Personal Data and to the protection of such IT Systems and Personal Data from unauthorized use, access, misappropriation or modification.</w:t>
      </w:r>
    </w:p>
    <w:p>
      <w:pPr>
        <w:spacing w:after="0" w:line="147" w:lineRule="exact"/>
        <w:rPr>
          <w:sz w:val="20"/>
          <w:szCs w:val="20"/>
          <w:color w:val="auto"/>
        </w:rPr>
      </w:pPr>
    </w:p>
    <w:p>
      <w:pPr>
        <w:jc w:val="both"/>
        <w:ind w:firstLine="865"/>
        <w:spacing w:after="0" w:line="250" w:lineRule="auto"/>
        <w:tabs>
          <w:tab w:leader="none" w:pos="2401"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Compliance with Data Privacy Laws</w:t>
      </w:r>
      <w:r>
        <w:rPr>
          <w:rFonts w:ascii="Arial" w:cs="Arial" w:eastAsia="Arial" w:hAnsi="Arial"/>
          <w:sz w:val="19"/>
          <w:szCs w:val="19"/>
          <w:color w:val="auto"/>
        </w:rPr>
        <w:t>. The Company and its subsidiaries are, and at all prior times were, in material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material compliance with, GDPR (collectively, the “</w:t>
      </w:r>
      <w:r>
        <w:rPr>
          <w:rFonts w:ascii="Arial" w:cs="Arial" w:eastAsia="Arial" w:hAnsi="Arial"/>
          <w:sz w:val="19"/>
          <w:szCs w:val="19"/>
          <w:b w:val="1"/>
          <w:bCs w:val="1"/>
          <w:color w:val="auto"/>
        </w:rPr>
        <w:t>Privacy Laws</w:t>
      </w:r>
      <w:r>
        <w:rPr>
          <w:rFonts w:ascii="Arial" w:cs="Arial" w:eastAsia="Arial" w:hAnsi="Arial"/>
          <w:sz w:val="19"/>
          <w:szCs w:val="19"/>
          <w:color w:val="auto"/>
        </w:rPr>
        <w:t>”).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9"/>
          <w:szCs w:val="19"/>
          <w:b w:val="1"/>
          <w:bCs w:val="1"/>
          <w:color w:val="auto"/>
        </w:rPr>
        <w:t>Policies</w:t>
      </w:r>
      <w:r>
        <w:rPr>
          <w:rFonts w:ascii="Arial" w:cs="Arial" w:eastAsia="Arial" w:hAnsi="Arial"/>
          <w:sz w:val="19"/>
          <w:szCs w:val="19"/>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Neither the Company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70" w:lineRule="exact"/>
        <w:rPr>
          <w:rFonts w:ascii="Arial" w:cs="Arial" w:eastAsia="Arial" w:hAnsi="Arial"/>
          <w:sz w:val="19"/>
          <w:szCs w:val="19"/>
          <w:color w:val="auto"/>
        </w:rPr>
      </w:pPr>
    </w:p>
    <w:p>
      <w:pPr>
        <w:jc w:val="both"/>
        <w:ind w:firstLine="865"/>
        <w:spacing w:after="0" w:line="266" w:lineRule="auto"/>
        <w:tabs>
          <w:tab w:leader="none" w:pos="240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Clinical Data and Regulatory Compliance</w:t>
      </w:r>
      <w:r>
        <w:rPr>
          <w:rFonts w:ascii="Arial" w:cs="Arial" w:eastAsia="Arial" w:hAnsi="Arial"/>
          <w:sz w:val="18"/>
          <w:szCs w:val="18"/>
          <w:color w:val="auto"/>
        </w:rPr>
        <w:t>. The preclinical tests and clinical trials, and other studies (collectively, “</w:t>
      </w:r>
      <w:r>
        <w:rPr>
          <w:rFonts w:ascii="Arial" w:cs="Arial" w:eastAsia="Arial" w:hAnsi="Arial"/>
          <w:sz w:val="18"/>
          <w:szCs w:val="18"/>
          <w:b w:val="1"/>
          <w:bCs w:val="1"/>
          <w:color w:val="auto"/>
        </w:rPr>
        <w:t>studies</w:t>
      </w:r>
      <w:r>
        <w:rPr>
          <w:rFonts w:ascii="Arial" w:cs="Arial" w:eastAsia="Arial" w:hAnsi="Arial"/>
          <w:sz w:val="18"/>
          <w:szCs w:val="18"/>
          <w:color w:val="auto"/>
        </w:rPr>
        <w:t>”) that are described in, or the results of which are referred to in, the Registration Statement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the Company and its subsidiaries have made all such filings and obtained all such approvals as may be required by the Food and Drug Administration of the U.S. Department of Health and Human Services or any committee thereof or from any other U.S. or foreign government or drug or medical device regulatory agency, or health care facility Institutional Review Board (collectively, the “</w:t>
      </w:r>
      <w:r>
        <w:rPr>
          <w:rFonts w:ascii="Arial" w:cs="Arial" w:eastAsia="Arial" w:hAnsi="Arial"/>
          <w:sz w:val="18"/>
          <w:szCs w:val="18"/>
          <w:b w:val="1"/>
          <w:bCs w:val="1"/>
          <w:color w:val="auto"/>
        </w:rPr>
        <w:t>Regulatory Agencies</w:t>
      </w:r>
      <w:r>
        <w:rPr>
          <w:rFonts w:ascii="Arial" w:cs="Arial" w:eastAsia="Arial" w:hAnsi="Arial"/>
          <w:sz w:val="18"/>
          <w:szCs w:val="18"/>
          <w:color w:val="auto"/>
        </w:rPr>
        <w:t>”); neither the Company nor any of its subsidiaries has received any notice of, or correspondence from, any Regulatory Agency requiring the termination, suspension or modification of any clinical trials that are described or referred to in the Registration Statement or the Prospectus; and the Company and its subsidiaries have each operated and currently are in compliance in all material respects with all applicable rules, regulations and policies of the Regulatory Agencies.</w:t>
      </w:r>
    </w:p>
    <w:p>
      <w:pPr>
        <w:spacing w:after="0" w:line="148" w:lineRule="exact"/>
        <w:rPr>
          <w:rFonts w:ascii="Arial" w:cs="Arial" w:eastAsia="Arial" w:hAnsi="Arial"/>
          <w:sz w:val="18"/>
          <w:szCs w:val="18"/>
          <w:color w:val="auto"/>
        </w:rPr>
      </w:pPr>
    </w:p>
    <w:p>
      <w:pPr>
        <w:jc w:val="both"/>
        <w:ind w:firstLine="865"/>
        <w:spacing w:after="0" w:line="290" w:lineRule="auto"/>
        <w:tabs>
          <w:tab w:leader="none" w:pos="233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Compliance with Health Care Laws</w:t>
      </w:r>
      <w:r>
        <w:rPr>
          <w:rFonts w:ascii="Arial" w:cs="Arial" w:eastAsia="Arial" w:hAnsi="Arial"/>
          <w:sz w:val="18"/>
          <w:szCs w:val="18"/>
          <w:color w:val="auto"/>
        </w:rPr>
        <w:t>. The Company and its subsidiaries are, and at all times have been, in material compliance with all Health Care Laws. For purposes of this Agreement, “</w:t>
      </w:r>
      <w:r>
        <w:rPr>
          <w:rFonts w:ascii="Arial" w:cs="Arial" w:eastAsia="Arial" w:hAnsi="Arial"/>
          <w:sz w:val="18"/>
          <w:szCs w:val="18"/>
          <w:b w:val="1"/>
          <w:bCs w:val="1"/>
          <w:color w:val="auto"/>
        </w:rPr>
        <w:t>Health Care Laws</w:t>
      </w:r>
      <w:r>
        <w:rPr>
          <w:rFonts w:ascii="Arial" w:cs="Arial" w:eastAsia="Arial" w:hAnsi="Arial"/>
          <w:sz w:val="18"/>
          <w:szCs w:val="18"/>
          <w:color w:val="auto"/>
        </w:rPr>
        <w:t>” means: (i) the Federal Food, Drug, and Cosmetic Act (21 U.S.C. Section 301 et seq.), the Public Health Service Act (42 U.S.C. Section 201 et seq.), and the regulations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promulgated thereunder; (ii)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HIPAA, the Stark Law (42 U.S.C. Section 1395nn), the civil monetary penalties law (42 U.S.C. Section 1320a-7a), the exclusion law (42 U.S.C. Section 1320a-7), the Physician Payments Sunshine Act (42 U.S.C. Section 1320-7h), and applicable laws governing government funded or sponsored healthcare programs; (iii) HIPAA, as amended by the Health Information Technology for Economic and Clinical Health Act (42 U.S.C. Section 17921 et seq.); (iv) the Patient Protection and Affordable Care Act of 2010, as amended by the Health Care and Education Reconciliation Act of 2010; (v) licensure, quality, safety and accreditation requirements under applicable federal, state, local or foreign laws or regulatory bodies; and (vi) all other local, state, federal, national, supranational and foreign laws, relating to the regulation of the Company or its subsidiaries, and (vii) the directives and regulations promulgated pursuant to such statutes and any state or non-U.S. counterpart thereof to which the Company is subject.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49" w:lineRule="exact"/>
        <w:rPr>
          <w:sz w:val="20"/>
          <w:szCs w:val="20"/>
          <w:color w:val="auto"/>
        </w:rPr>
      </w:pPr>
    </w:p>
    <w:p>
      <w:pPr>
        <w:jc w:val="both"/>
        <w:ind w:right="20" w:firstLine="865"/>
        <w:spacing w:after="0" w:line="272" w:lineRule="auto"/>
        <w:tabs>
          <w:tab w:leader="none" w:pos="235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Contract Terminations</w:t>
      </w:r>
      <w:r>
        <w:rPr>
          <w:rFonts w:ascii="Arial" w:cs="Arial" w:eastAsia="Arial" w:hAnsi="Arial"/>
          <w:sz w:val="18"/>
          <w:szCs w:val="18"/>
          <w:color w:val="auto"/>
        </w:rPr>
        <w:t>. Except as otherwise disclosed in the Registration Statement or the Prospectus, neither the Company nor any of its subsidiaries has sent or received any communication regarding termination of, or intent not to renew, any of the contracts or agreements referred to or described in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45" w:lineRule="exact"/>
        <w:rPr>
          <w:rFonts w:ascii="Arial" w:cs="Arial" w:eastAsia="Arial" w:hAnsi="Arial"/>
          <w:sz w:val="18"/>
          <w:szCs w:val="18"/>
          <w:color w:val="auto"/>
        </w:rPr>
      </w:pPr>
    </w:p>
    <w:p>
      <w:pPr>
        <w:jc w:val="both"/>
        <w:ind w:right="20" w:firstLine="865"/>
        <w:spacing w:after="0" w:line="261" w:lineRule="auto"/>
        <w:tabs>
          <w:tab w:leader="none" w:pos="231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Dividend Restrictions</w:t>
      </w:r>
      <w:r>
        <w:rPr>
          <w:rFonts w:ascii="Arial" w:cs="Arial" w:eastAsia="Arial" w:hAnsi="Arial"/>
          <w:sz w:val="19"/>
          <w:szCs w:val="19"/>
          <w:color w:val="auto"/>
        </w:rPr>
        <w:t>. Except as disclosed in the Prospectus, no subsidiary of the Company is prohibited or restricted (pursuant to contract or its charter instruments)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60"/>
          </w:cols>
          <w:pgMar w:left="320" w:top="519" w:right="319" w:bottom="1440" w:gutter="0" w:footer="0" w:header="0"/>
        </w:sectPr>
      </w:pPr>
    </w:p>
    <w:bookmarkStart w:id="48" w:name="page49"/>
    <w:bookmarkEnd w:id="48"/>
    <w:p>
      <w:pPr>
        <w:spacing w:after="0"/>
        <w:rPr>
          <w:sz w:val="20"/>
          <w:szCs w:val="20"/>
          <w:color w:val="auto"/>
        </w:rPr>
      </w:pPr>
      <w:r>
        <w:rPr>
          <w:rFonts w:ascii="Arial" w:cs="Arial" w:eastAsia="Arial" w:hAnsi="Arial"/>
          <w:sz w:val="20"/>
          <w:szCs w:val="20"/>
          <w:color w:val="auto"/>
        </w:rPr>
        <w:t>from the Company or from transferring any property or assets to the Company or to any other subsidiary.</w:t>
      </w:r>
    </w:p>
    <w:p>
      <w:pPr>
        <w:spacing w:after="0" w:line="196" w:lineRule="exact"/>
        <w:rPr>
          <w:sz w:val="20"/>
          <w:szCs w:val="20"/>
          <w:color w:val="auto"/>
        </w:rPr>
      </w:pPr>
    </w:p>
    <w:p>
      <w:pPr>
        <w:jc w:val="both"/>
        <w:ind w:firstLine="865"/>
        <w:spacing w:after="0" w:line="244" w:lineRule="auto"/>
        <w:tabs>
          <w:tab w:leader="none" w:pos="240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Duties, Transfer Taxes, Etc</w:t>
      </w:r>
      <w:r>
        <w:rPr>
          <w:rFonts w:ascii="Arial" w:cs="Arial" w:eastAsia="Arial" w:hAnsi="Arial"/>
          <w:sz w:val="20"/>
          <w:szCs w:val="20"/>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66" w:lineRule="exact"/>
        <w:rPr>
          <w:rFonts w:ascii="Arial" w:cs="Arial" w:eastAsia="Arial" w:hAnsi="Arial"/>
          <w:sz w:val="20"/>
          <w:szCs w:val="20"/>
          <w:color w:val="auto"/>
        </w:rPr>
      </w:pPr>
    </w:p>
    <w:p>
      <w:pPr>
        <w:jc w:val="both"/>
        <w:ind w:firstLine="865"/>
        <w:spacing w:after="0" w:line="280" w:lineRule="auto"/>
        <w:tabs>
          <w:tab w:leader="none" w:pos="240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 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36" w:lineRule="exact"/>
        <w:rPr>
          <w:sz w:val="20"/>
          <w:szCs w:val="20"/>
          <w:color w:val="auto"/>
        </w:rPr>
      </w:pPr>
    </w:p>
    <w:p>
      <w:pPr>
        <w:jc w:val="both"/>
        <w:ind w:firstLine="865"/>
        <w:spacing w:after="0" w:line="249" w:lineRule="auto"/>
        <w:rPr>
          <w:sz w:val="20"/>
          <w:szCs w:val="20"/>
          <w:color w:val="auto"/>
        </w:rPr>
      </w:pPr>
      <w:r>
        <w:rPr>
          <w:rFonts w:ascii="Arial" w:cs="Arial" w:eastAsia="Arial" w:hAnsi="Arial"/>
          <w:sz w:val="20"/>
          <w:szCs w:val="20"/>
          <w:color w:val="auto"/>
        </w:rPr>
        <w:t xml:space="preserve">The Company acknowledges that the Agent and, for purposes of the opinions to be delivered pursuant to </w:t>
      </w:r>
      <w:r>
        <w:rPr>
          <w:rFonts w:ascii="Arial" w:cs="Arial" w:eastAsia="Arial" w:hAnsi="Arial"/>
          <w:sz w:val="20"/>
          <w:szCs w:val="20"/>
          <w:u w:val="single" w:color="auto"/>
          <w:color w:val="auto"/>
        </w:rPr>
        <w:t>Section 4(o)</w:t>
      </w:r>
      <w:r>
        <w:rPr>
          <w:rFonts w:ascii="Arial" w:cs="Arial" w:eastAsia="Arial" w:hAnsi="Arial"/>
          <w:sz w:val="20"/>
          <w:szCs w:val="20"/>
          <w:color w:val="auto"/>
        </w:rPr>
        <w:t xml:space="preserve"> hereof, counsel to the Company and counsel to the Agent, will rely upon the accuracy and truthfulness of the foregoing representations and hereby consents to such reliance.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ISSUANCE AND SALE OF COMMON SHARES</w:t>
      </w:r>
    </w:p>
    <w:p>
      <w:pPr>
        <w:spacing w:after="0" w:line="200" w:lineRule="exact"/>
        <w:rPr>
          <w:sz w:val="20"/>
          <w:szCs w:val="20"/>
          <w:color w:val="auto"/>
        </w:rPr>
      </w:pPr>
    </w:p>
    <w:p>
      <w:pPr>
        <w:jc w:val="both"/>
        <w:ind w:firstLine="865"/>
        <w:spacing w:after="0" w:line="280" w:lineRule="auto"/>
        <w:tabs>
          <w:tab w:leader="none" w:pos="229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36" w:lineRule="exact"/>
        <w:rPr>
          <w:rFonts w:ascii="Arial" w:cs="Arial" w:eastAsia="Arial" w:hAnsi="Arial"/>
          <w:sz w:val="18"/>
          <w:szCs w:val="18"/>
          <w:color w:val="auto"/>
        </w:rPr>
      </w:pPr>
    </w:p>
    <w:p>
      <w:pPr>
        <w:ind w:left="2300" w:hanging="1435"/>
        <w:spacing w:after="0"/>
        <w:tabs>
          <w:tab w:leader="none" w:pos="230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Mechanics of Issuances</w:t>
      </w:r>
      <w:r>
        <w:rPr>
          <w:rFonts w:ascii="Arial" w:cs="Arial" w:eastAsia="Arial" w:hAnsi="Arial"/>
          <w:sz w:val="20"/>
          <w:szCs w:val="20"/>
          <w:color w:val="auto"/>
        </w:rPr>
        <w:t>.</w:t>
      </w:r>
    </w:p>
    <w:p>
      <w:pPr>
        <w:spacing w:after="0" w:line="196" w:lineRule="exact"/>
        <w:rPr>
          <w:sz w:val="20"/>
          <w:szCs w:val="20"/>
          <w:color w:val="auto"/>
        </w:rPr>
      </w:pPr>
    </w:p>
    <w:p>
      <w:pPr>
        <w:jc w:val="both"/>
        <w:ind w:firstLine="865"/>
        <w:spacing w:after="0" w:line="229" w:lineRule="exact"/>
        <w:tabs>
          <w:tab w:leader="none" w:pos="115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Issuance Notice</w:t>
      </w:r>
      <w:r>
        <w:rPr>
          <w:rFonts w:ascii="Arial" w:cs="Arial" w:eastAsia="Arial" w:hAnsi="Arial"/>
          <w:sz w:val="18"/>
          <w:szCs w:val="18"/>
          <w:color w:val="auto"/>
        </w:rPr>
        <w:t xml:space="preserve">. Upon the terms and subject to the conditions set forth herein, on any Trading Day during the Agency Period on which the conditions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shall have been satisfied, the Company may exercise its right to request an issuance of Shares by delivering to the Agent an Issuance Notice;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w:t>
      </w:r>
      <w:r>
        <w:rPr>
          <w:rFonts w:ascii="MS PGothic" w:cs="MS PGothic" w:eastAsia="MS PGothic" w:hAnsi="MS PGothic"/>
          <w:sz w:val="18"/>
          <w:szCs w:val="18"/>
          <w:color w:val="auto"/>
        </w:rPr>
        <w:t>‑</w:t>
      </w:r>
      <w:r>
        <w:rPr>
          <w:rFonts w:ascii="Arial" w:cs="Arial" w:eastAsia="Arial" w:hAnsi="Arial"/>
          <w:sz w:val="18"/>
          <w:szCs w:val="18"/>
          <w:color w:val="auto"/>
        </w:rPr>
        <w:t>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72" w:lineRule="exact"/>
        <w:rPr>
          <w:rFonts w:ascii="Arial" w:cs="Arial" w:eastAsia="Arial" w:hAnsi="Arial"/>
          <w:sz w:val="18"/>
          <w:szCs w:val="18"/>
          <w:color w:val="auto"/>
        </w:rPr>
      </w:pPr>
    </w:p>
    <w:p>
      <w:pPr>
        <w:ind w:firstLine="865"/>
        <w:spacing w:after="0" w:line="263" w:lineRule="auto"/>
        <w:tabs>
          <w:tab w:leader="none" w:pos="171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Agent Efforts</w:t>
      </w:r>
      <w:r>
        <w:rPr>
          <w:rFonts w:ascii="Arial" w:cs="Arial" w:eastAsia="Arial" w:hAnsi="Arial"/>
          <w:sz w:val="20"/>
          <w:szCs w:val="20"/>
          <w:color w:val="auto"/>
        </w:rPr>
        <w:t>. Upon the terms and subject to the conditions set forth in this Agreement, upon the receipt of an Issuance Notice, the Agent will use its commercially reasonable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9" w:name="page50"/>
    <w:bookmarkEnd w:id="49"/>
    <w:p>
      <w:pPr>
        <w:jc w:val="both"/>
        <w:spacing w:after="0" w:line="280" w:lineRule="auto"/>
        <w:rPr>
          <w:sz w:val="20"/>
          <w:szCs w:val="20"/>
          <w:color w:val="auto"/>
        </w:rPr>
      </w:pPr>
      <w:r>
        <w:rPr>
          <w:rFonts w:ascii="Arial" w:cs="Arial" w:eastAsia="Arial" w:hAnsi="Arial"/>
          <w:sz w:val="18"/>
          <w:szCs w:val="18"/>
          <w:color w:val="auto"/>
        </w:rPr>
        <w:t>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36" w:lineRule="exact"/>
        <w:rPr>
          <w:sz w:val="20"/>
          <w:szCs w:val="20"/>
          <w:color w:val="auto"/>
        </w:rPr>
      </w:pPr>
    </w:p>
    <w:p>
      <w:pPr>
        <w:jc w:val="both"/>
        <w:ind w:firstLine="865"/>
        <w:spacing w:after="0"/>
        <w:tabs>
          <w:tab w:leader="none" w:pos="176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Method of Offer and Sale</w:t>
      </w:r>
      <w:r>
        <w:rPr>
          <w:rFonts w:ascii="Arial" w:cs="Arial" w:eastAsia="Arial" w:hAnsi="Arial"/>
          <w:sz w:val="20"/>
          <w:szCs w:val="20"/>
          <w:color w:val="auto"/>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73" w:lineRule="exact"/>
        <w:rPr>
          <w:rFonts w:ascii="Arial" w:cs="Arial" w:eastAsia="Arial" w:hAnsi="Arial"/>
          <w:sz w:val="20"/>
          <w:szCs w:val="20"/>
          <w:color w:val="auto"/>
        </w:rPr>
      </w:pPr>
    </w:p>
    <w:p>
      <w:pPr>
        <w:jc w:val="both"/>
        <w:ind w:firstLine="865"/>
        <w:spacing w:after="0" w:line="244" w:lineRule="auto"/>
        <w:tabs>
          <w:tab w:leader="none" w:pos="1755"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Confirmation to the Company</w:t>
      </w:r>
      <w:r>
        <w:rPr>
          <w:rFonts w:ascii="Arial" w:cs="Arial" w:eastAsia="Arial" w:hAnsi="Arial"/>
          <w:sz w:val="20"/>
          <w:szCs w:val="20"/>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66" w:lineRule="exact"/>
        <w:rPr>
          <w:rFonts w:ascii="Arial" w:cs="Arial" w:eastAsia="Arial" w:hAnsi="Arial"/>
          <w:sz w:val="20"/>
          <w:szCs w:val="20"/>
          <w:color w:val="auto"/>
        </w:rPr>
      </w:pPr>
    </w:p>
    <w:p>
      <w:pPr>
        <w:jc w:val="both"/>
        <w:ind w:firstLine="865"/>
        <w:spacing w:after="0" w:line="269"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 Sale</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jc w:val="both"/>
        <w:ind w:firstLine="865"/>
        <w:spacing w:after="0" w:line="252" w:lineRule="auto"/>
        <w:tabs>
          <w:tab w:leader="none" w:pos="1755"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Suspension or Termination of Sales</w:t>
      </w:r>
      <w:r>
        <w:rPr>
          <w:rFonts w:ascii="Arial" w:cs="Arial" w:eastAsia="Arial" w:hAnsi="Arial"/>
          <w:sz w:val="19"/>
          <w:szCs w:val="19"/>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9"/>
          <w:szCs w:val="19"/>
          <w:u w:val="single" w:color="auto"/>
          <w:color w:val="auto"/>
        </w:rPr>
        <w:t>Section 3(b)(v)</w:t>
      </w:r>
      <w:r>
        <w:rPr>
          <w:rFonts w:ascii="Arial" w:cs="Arial" w:eastAsia="Arial" w:hAnsi="Arial"/>
          <w:sz w:val="19"/>
          <w:szCs w:val="19"/>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0" w:name="page51"/>
    <w:bookmarkEnd w:id="50"/>
    <w:p>
      <w:pPr>
        <w:jc w:val="both"/>
        <w:spacing w:after="0" w:line="249" w:lineRule="auto"/>
        <w:rPr>
          <w:sz w:val="20"/>
          <w:szCs w:val="20"/>
          <w:color w:val="auto"/>
        </w:rPr>
      </w:pPr>
      <w:r>
        <w:rPr>
          <w:rFonts w:ascii="Arial" w:cs="Arial" w:eastAsia="Arial" w:hAnsi="Arial"/>
          <w:sz w:val="20"/>
          <w:szCs w:val="20"/>
          <w:color w:val="auto"/>
        </w:rPr>
        <w:t xml:space="preserve">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20"/>
          <w:szCs w:val="20"/>
          <w:u w:val="single" w:color="auto"/>
          <w:color w:val="auto"/>
        </w:rPr>
        <w:t>Section 3(b)(i)</w:t>
      </w:r>
      <w:r>
        <w:rPr>
          <w:rFonts w:ascii="Arial" w:cs="Arial" w:eastAsia="Arial" w:hAnsi="Arial"/>
          <w:sz w:val="20"/>
          <w:szCs w:val="20"/>
          <w:color w:val="auto"/>
        </w:rPr>
        <w:t>.</w:t>
      </w:r>
    </w:p>
    <w:p>
      <w:pPr>
        <w:spacing w:after="0" w:line="161" w:lineRule="exact"/>
        <w:rPr>
          <w:sz w:val="20"/>
          <w:szCs w:val="20"/>
          <w:color w:val="auto"/>
        </w:rPr>
      </w:pPr>
    </w:p>
    <w:p>
      <w:pPr>
        <w:jc w:val="both"/>
        <w:ind w:firstLine="865"/>
        <w:spacing w:after="0" w:line="244" w:lineRule="auto"/>
        <w:tabs>
          <w:tab w:leader="none" w:pos="1811"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No Guarantee of Placement, Etc.</w:t>
      </w:r>
      <w:r>
        <w:rPr>
          <w:rFonts w:ascii="Arial" w:cs="Arial" w:eastAsia="Arial" w:hAnsi="Arial"/>
          <w:sz w:val="20"/>
          <w:szCs w:val="20"/>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66" w:lineRule="exact"/>
        <w:rPr>
          <w:rFonts w:ascii="Arial" w:cs="Arial" w:eastAsia="Arial" w:hAnsi="Arial"/>
          <w:sz w:val="20"/>
          <w:szCs w:val="20"/>
          <w:color w:val="auto"/>
        </w:rPr>
      </w:pPr>
    </w:p>
    <w:p>
      <w:pPr>
        <w:jc w:val="both"/>
        <w:ind w:firstLine="865"/>
        <w:spacing w:after="0" w:line="249" w:lineRule="auto"/>
        <w:tabs>
          <w:tab w:leader="none" w:pos="1867"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Material Non-Public Information.</w:t>
      </w:r>
      <w:r>
        <w:rPr>
          <w:rFonts w:ascii="Arial" w:cs="Arial" w:eastAsia="Arial" w:hAnsi="Arial"/>
          <w:sz w:val="20"/>
          <w:szCs w:val="20"/>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61" w:lineRule="exact"/>
        <w:rPr>
          <w:sz w:val="20"/>
          <w:szCs w:val="20"/>
          <w:color w:val="auto"/>
        </w:rPr>
      </w:pPr>
    </w:p>
    <w:p>
      <w:pPr>
        <w:jc w:val="both"/>
        <w:ind w:firstLine="865"/>
        <w:spacing w:after="0" w:line="268" w:lineRule="auto"/>
        <w:tabs>
          <w:tab w:leader="none" w:pos="229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9"/>
          <w:szCs w:val="19"/>
          <w:u w:val="single" w:color="auto"/>
          <w:color w:val="auto"/>
        </w:rPr>
        <w:t>Section 3(b)(vi))</w:t>
      </w:r>
      <w:r>
        <w:rPr>
          <w:rFonts w:ascii="Arial" w:cs="Arial" w:eastAsia="Arial" w:hAnsi="Arial"/>
          <w:sz w:val="19"/>
          <w:szCs w:val="19"/>
          <w:color w:val="auto"/>
        </w:rPr>
        <w:t xml:space="preserve"> by the Agent deducting the Selling Commission from the applicable Issuance Amount.</w:t>
      </w:r>
    </w:p>
    <w:p>
      <w:pPr>
        <w:spacing w:after="0" w:line="149" w:lineRule="exact"/>
        <w:rPr>
          <w:rFonts w:ascii="Arial" w:cs="Arial" w:eastAsia="Arial" w:hAnsi="Arial"/>
          <w:sz w:val="19"/>
          <w:szCs w:val="19"/>
          <w:color w:val="auto"/>
        </w:rPr>
      </w:pPr>
    </w:p>
    <w:p>
      <w:pPr>
        <w:jc w:val="both"/>
        <w:ind w:firstLine="865"/>
        <w:spacing w:after="0" w:line="263" w:lineRule="auto"/>
        <w:tabs>
          <w:tab w:leader="none" w:pos="2281"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7"/>
          <w:szCs w:val="17"/>
          <w:b w:val="1"/>
          <w:bCs w:val="1"/>
          <w:color w:val="auto"/>
        </w:rPr>
        <w:t>Blue Sky Survey</w:t>
      </w:r>
      <w:r>
        <w:rPr>
          <w:rFonts w:ascii="Arial" w:cs="Arial" w:eastAsia="Arial" w:hAnsi="Arial"/>
          <w:sz w:val="17"/>
          <w:szCs w:val="17"/>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if the Company and the Agent mutually agree that an aircraft shall be chartered in connection with the road show, the Company shall be responsible for 50% of the costs of such chartered aircraft and the Agent shall be responsible for the remaining 50% of such costs; and (x) the fees and expenses associated with listing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color w:val="auto"/>
        </w:rPr>
        <w:t>Shares on the Principal Market. The fees and disbursements of Agent’s counsel pursuant to subsections (vi) and (vii) above shall not exceed $50,000 in the aggregate.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 ADDITIONAL COVENANTS</w:t>
      </w:r>
    </w:p>
    <w:p>
      <w:pPr>
        <w:spacing w:after="0" w:line="200" w:lineRule="exact"/>
        <w:rPr>
          <w:sz w:val="20"/>
          <w:szCs w:val="20"/>
          <w:color w:val="auto"/>
        </w:rPr>
      </w:pPr>
    </w:p>
    <w:p>
      <w:pPr>
        <w:ind w:firstLine="865"/>
        <w:spacing w:after="0" w:line="263" w:lineRule="auto"/>
        <w:rPr>
          <w:sz w:val="20"/>
          <w:szCs w:val="20"/>
          <w:color w:val="auto"/>
        </w:rPr>
      </w:pPr>
      <w:r>
        <w:rPr>
          <w:rFonts w:ascii="Arial" w:cs="Arial" w:eastAsia="Arial" w:hAnsi="Arial"/>
          <w:sz w:val="20"/>
          <w:szCs w:val="20"/>
          <w:color w:val="auto"/>
        </w:rPr>
        <w:t>The Company covenants and agrees with the Agent as follows, in addition to any other covenants and agreements made elsewhere in this Agreement:</w:t>
      </w:r>
    </w:p>
    <w:p>
      <w:pPr>
        <w:spacing w:after="0" w:line="147" w:lineRule="exact"/>
        <w:rPr>
          <w:sz w:val="20"/>
          <w:szCs w:val="20"/>
          <w:color w:val="auto"/>
        </w:rPr>
      </w:pPr>
    </w:p>
    <w:p>
      <w:pPr>
        <w:jc w:val="both"/>
        <w:ind w:firstLine="865"/>
        <w:spacing w:after="0" w:line="252" w:lineRule="auto"/>
        <w:tabs>
          <w:tab w:leader="none" w:pos="229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Exchange Act Compliance</w:t>
      </w:r>
      <w:r>
        <w:rPr>
          <w:rFonts w:ascii="Arial" w:cs="Arial" w:eastAsia="Arial" w:hAnsi="Arial"/>
          <w:sz w:val="19"/>
          <w:szCs w:val="19"/>
          <w:color w:val="auto"/>
        </w:rPr>
        <w:t>. During the Agency Period, the Company shall (i) file, on a timely basis, with the Commission all reports and documents required to be filed under Section 13, 14 or 15 of the Exchange Act in the manner and within the time periods required by the Exchange Act (taking into account any extension available under the Exchange Act); and (ii) if required by the Securities Act or the Exchange Act,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9"/>
          <w:szCs w:val="19"/>
          <w:b w:val="1"/>
          <w:bCs w:val="1"/>
          <w:color w:val="auto"/>
        </w:rPr>
        <w:t>Interim Prospectus Supplement</w:t>
      </w:r>
      <w:r>
        <w:rPr>
          <w:rFonts w:ascii="Arial" w:cs="Arial" w:eastAsia="Arial" w:hAnsi="Arial"/>
          <w:sz w:val="19"/>
          <w:szCs w:val="19"/>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64" w:lineRule="exact"/>
        <w:rPr>
          <w:rFonts w:ascii="Arial" w:cs="Arial" w:eastAsia="Arial" w:hAnsi="Arial"/>
          <w:sz w:val="19"/>
          <w:szCs w:val="19"/>
          <w:color w:val="auto"/>
        </w:rPr>
      </w:pPr>
    </w:p>
    <w:p>
      <w:pPr>
        <w:jc w:val="both"/>
        <w:ind w:firstLine="865"/>
        <w:spacing w:after="0" w:line="266" w:lineRule="auto"/>
        <w:tabs>
          <w:tab w:leader="none" w:pos="230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Securities Act Compliance</w:t>
      </w:r>
      <w:r>
        <w:rPr>
          <w:rFonts w:ascii="Arial" w:cs="Arial" w:eastAsia="Arial" w:hAnsi="Arial"/>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reasonably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48" w:lineRule="exact"/>
        <w:rPr>
          <w:rFonts w:ascii="Arial" w:cs="Arial" w:eastAsia="Arial" w:hAnsi="Arial"/>
          <w:sz w:val="18"/>
          <w:szCs w:val="18"/>
          <w:color w:val="auto"/>
        </w:rPr>
      </w:pPr>
    </w:p>
    <w:p>
      <w:pPr>
        <w:jc w:val="both"/>
        <w:ind w:firstLine="865"/>
        <w:spacing w:after="0" w:line="261" w:lineRule="auto"/>
        <w:tabs>
          <w:tab w:leader="none" w:pos="229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Amendments and Supplements to the Prospectus and Other Securities Act Matters</w:t>
      </w:r>
      <w:r>
        <w:rPr>
          <w:rFonts w:ascii="Arial" w:cs="Arial" w:eastAsia="Arial" w:hAnsi="Arial"/>
          <w:sz w:val="19"/>
          <w:szCs w:val="19"/>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2" w:name="page53"/>
    <w:bookmarkEnd w:id="52"/>
    <w:p>
      <w:pPr>
        <w:jc w:val="both"/>
        <w:spacing w:after="0" w:line="270" w:lineRule="auto"/>
        <w:rPr>
          <w:sz w:val="20"/>
          <w:szCs w:val="20"/>
          <w:color w:val="auto"/>
        </w:rPr>
      </w:pPr>
      <w:r>
        <w:rPr>
          <w:rFonts w:ascii="Arial" w:cs="Arial" w:eastAsia="Arial" w:hAnsi="Arial"/>
          <w:sz w:val="18"/>
          <w:szCs w:val="18"/>
          <w:color w:val="auto"/>
        </w:rPr>
        <w:t>opinion of the Agent or counsel for the Agent it is otherwise necessary to amend or supplement the Prospectus to comply with applicable law, including the Securities Act, the Company agrees (subject to Section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149" w:lineRule="exact"/>
        <w:rPr>
          <w:sz w:val="20"/>
          <w:szCs w:val="20"/>
          <w:color w:val="auto"/>
        </w:rPr>
      </w:pPr>
    </w:p>
    <w:p>
      <w:pPr>
        <w:jc w:val="both"/>
        <w:ind w:firstLine="865"/>
        <w:spacing w:after="0" w:line="254" w:lineRule="auto"/>
        <w:tabs>
          <w:tab w:leader="none" w:pos="2301"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Agent’s Review of Proposed Amendments and Supplements</w:t>
      </w:r>
      <w:r>
        <w:rPr>
          <w:rFonts w:ascii="Arial" w:cs="Arial" w:eastAsia="Arial" w:hAnsi="Arial"/>
          <w:sz w:val="19"/>
          <w:szCs w:val="19"/>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which shall not be unreasonably withheld, conditioned or delayed, and to file with the Commission within the applicable period specified in Rule 424(b) under the Securities Act any prospectus required to be filed pursuant to such Rule.</w:t>
      </w:r>
    </w:p>
    <w:p>
      <w:pPr>
        <w:spacing w:after="0" w:line="159" w:lineRule="exact"/>
        <w:rPr>
          <w:rFonts w:ascii="Arial" w:cs="Arial" w:eastAsia="Arial" w:hAnsi="Arial"/>
          <w:sz w:val="19"/>
          <w:szCs w:val="19"/>
          <w:color w:val="auto"/>
        </w:rPr>
      </w:pPr>
    </w:p>
    <w:p>
      <w:pPr>
        <w:jc w:val="both"/>
        <w:ind w:firstLine="865"/>
        <w:spacing w:after="0" w:line="261" w:lineRule="auto"/>
        <w:tabs>
          <w:tab w:leader="none" w:pos="229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Use of Free Writing Prospectus</w:t>
      </w:r>
      <w:r>
        <w:rPr>
          <w:rFonts w:ascii="Arial" w:cs="Arial" w:eastAsia="Arial" w:hAnsi="Arial"/>
          <w:sz w:val="19"/>
          <w:szCs w:val="19"/>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9"/>
          <w:szCs w:val="19"/>
          <w:b w:val="1"/>
          <w:bCs w:val="1"/>
          <w:color w:val="auto"/>
        </w:rPr>
        <w:t>Free Writing Prospectus</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865"/>
        <w:spacing w:after="0" w:line="266" w:lineRule="auto"/>
        <w:tabs>
          <w:tab w:leader="none" w:pos="226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Free Writing Prospectuses</w:t>
      </w:r>
      <w:r>
        <w:rPr>
          <w:rFonts w:ascii="Arial" w:cs="Arial" w:eastAsia="Arial" w:hAnsi="Arial"/>
          <w:sz w:val="18"/>
          <w:szCs w:val="18"/>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3" w:name="page54"/>
    <w:bookmarkEnd w:id="53"/>
    <w:p>
      <w:pPr>
        <w:jc w:val="both"/>
        <w:spacing w:after="0"/>
        <w:rPr>
          <w:sz w:val="20"/>
          <w:szCs w:val="20"/>
          <w:color w:val="auto"/>
        </w:rPr>
      </w:pPr>
      <w:r>
        <w:rPr>
          <w:rFonts w:ascii="Arial" w:cs="Arial" w:eastAsia="Arial" w:hAnsi="Arial"/>
          <w:sz w:val="20"/>
          <w:szCs w:val="20"/>
          <w:color w:val="auto"/>
        </w:rPr>
        <w:t xml:space="preserve">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20"/>
          <w:szCs w:val="20"/>
          <w:i w:val="1"/>
          <w:iCs w:val="1"/>
          <w:color w:val="auto"/>
        </w:rPr>
        <w:t>provided, however</w:t>
      </w:r>
      <w:r>
        <w:rPr>
          <w:rFonts w:ascii="Arial" w:cs="Arial" w:eastAsia="Arial" w:hAnsi="Arial"/>
          <w:sz w:val="20"/>
          <w:szCs w:val="20"/>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shall not be unreasonably withheld, conditioned or delayed.</w:t>
      </w:r>
    </w:p>
    <w:p>
      <w:pPr>
        <w:spacing w:after="0" w:line="173" w:lineRule="exact"/>
        <w:rPr>
          <w:sz w:val="20"/>
          <w:szCs w:val="20"/>
          <w:color w:val="auto"/>
        </w:rPr>
      </w:pPr>
    </w:p>
    <w:p>
      <w:pPr>
        <w:jc w:val="both"/>
        <w:ind w:firstLine="865"/>
        <w:spacing w:after="0" w:line="268" w:lineRule="auto"/>
        <w:tabs>
          <w:tab w:leader="none" w:pos="2301"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Filing of Agent Free Writing Prospectuses</w:t>
      </w:r>
      <w:r>
        <w:rPr>
          <w:rFonts w:ascii="Arial" w:cs="Arial" w:eastAsia="Arial" w:hAnsi="Arial"/>
          <w:sz w:val="19"/>
          <w:szCs w:val="19"/>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44" w:lineRule="exact"/>
        <w:rPr>
          <w:rFonts w:ascii="Arial" w:cs="Arial" w:eastAsia="Arial" w:hAnsi="Arial"/>
          <w:sz w:val="19"/>
          <w:szCs w:val="19"/>
          <w:color w:val="auto"/>
        </w:rPr>
      </w:pPr>
    </w:p>
    <w:p>
      <w:pPr>
        <w:jc w:val="both"/>
        <w:ind w:firstLine="865"/>
        <w:spacing w:after="0" w:line="249" w:lineRule="auto"/>
        <w:tabs>
          <w:tab w:leader="none" w:pos="2301"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Copies of Registration Statement and Prospectus</w:t>
      </w:r>
      <w:r>
        <w:rPr>
          <w:rFonts w:ascii="Arial" w:cs="Arial" w:eastAsia="Arial" w:hAnsi="Arial"/>
          <w:sz w:val="19"/>
          <w:szCs w:val="19"/>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77" w:lineRule="exact"/>
        <w:rPr>
          <w:rFonts w:ascii="Arial" w:cs="Arial" w:eastAsia="Arial" w:hAnsi="Arial"/>
          <w:sz w:val="19"/>
          <w:szCs w:val="19"/>
          <w:color w:val="auto"/>
        </w:rPr>
      </w:pPr>
    </w:p>
    <w:p>
      <w:pPr>
        <w:jc w:val="both"/>
        <w:ind w:firstLine="865"/>
        <w:spacing w:after="0" w:line="242" w:lineRule="auto"/>
        <w:tabs>
          <w:tab w:leader="none" w:pos="2256"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Blue Sky Compliance</w:t>
      </w:r>
      <w:r>
        <w:rPr>
          <w:rFonts w:ascii="Arial" w:cs="Arial" w:eastAsia="Arial" w:hAnsi="Arial"/>
          <w:sz w:val="20"/>
          <w:szCs w:val="20"/>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4" w:name="page55"/>
    <w:bookmarkEnd w:id="54"/>
    <w:p>
      <w:pPr>
        <w:jc w:val="both"/>
        <w:spacing w:after="0" w:line="258" w:lineRule="auto"/>
        <w:rPr>
          <w:sz w:val="20"/>
          <w:szCs w:val="20"/>
          <w:color w:val="auto"/>
        </w:rPr>
      </w:pPr>
      <w:r>
        <w:rPr>
          <w:rFonts w:ascii="Arial" w:cs="Arial" w:eastAsia="Arial" w:hAnsi="Arial"/>
          <w:sz w:val="19"/>
          <w:szCs w:val="19"/>
          <w:color w:val="auto"/>
        </w:rPr>
        <w:t>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reasonably practicable.</w:t>
      </w:r>
    </w:p>
    <w:p>
      <w:pPr>
        <w:spacing w:after="0" w:line="153" w:lineRule="exact"/>
        <w:rPr>
          <w:sz w:val="20"/>
          <w:szCs w:val="20"/>
          <w:color w:val="auto"/>
        </w:rPr>
      </w:pPr>
    </w:p>
    <w:p>
      <w:pPr>
        <w:jc w:val="both"/>
        <w:ind w:firstLine="865"/>
        <w:spacing w:after="0" w:line="244" w:lineRule="auto"/>
        <w:tabs>
          <w:tab w:leader="none" w:pos="2256"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Earnings Statement</w:t>
      </w:r>
      <w:r>
        <w:rPr>
          <w:rFonts w:ascii="Arial" w:cs="Arial" w:eastAsia="Arial" w:hAnsi="Arial"/>
          <w:sz w:val="20"/>
          <w:szCs w:val="20"/>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66" w:lineRule="exact"/>
        <w:rPr>
          <w:rFonts w:ascii="Arial" w:cs="Arial" w:eastAsia="Arial" w:hAnsi="Arial"/>
          <w:sz w:val="20"/>
          <w:szCs w:val="20"/>
          <w:color w:val="auto"/>
        </w:rPr>
      </w:pPr>
    </w:p>
    <w:p>
      <w:pPr>
        <w:jc w:val="both"/>
        <w:ind w:firstLine="865"/>
        <w:spacing w:after="0" w:line="249" w:lineRule="auto"/>
        <w:tabs>
          <w:tab w:leader="none" w:pos="230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Listing; Reservation of Shares</w:t>
      </w:r>
      <w:r>
        <w:rPr>
          <w:rFonts w:ascii="Arial" w:cs="Arial" w:eastAsia="Arial" w:hAnsi="Arial"/>
          <w:sz w:val="20"/>
          <w:szCs w:val="20"/>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60" w:lineRule="exact"/>
        <w:rPr>
          <w:rFonts w:ascii="Arial" w:cs="Arial" w:eastAsia="Arial" w:hAnsi="Arial"/>
          <w:sz w:val="20"/>
          <w:szCs w:val="20"/>
          <w:color w:val="auto"/>
        </w:rPr>
      </w:pPr>
    </w:p>
    <w:p>
      <w:pPr>
        <w:ind w:left="2260" w:hanging="1395"/>
        <w:spacing w:after="0"/>
        <w:tabs>
          <w:tab w:leader="none" w:pos="22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Shares.</w:t>
      </w:r>
    </w:p>
    <w:p>
      <w:pPr>
        <w:spacing w:after="0" w:line="177" w:lineRule="exact"/>
        <w:rPr>
          <w:rFonts w:ascii="Arial" w:cs="Arial" w:eastAsia="Arial" w:hAnsi="Arial"/>
          <w:sz w:val="18"/>
          <w:szCs w:val="18"/>
          <w:color w:val="auto"/>
        </w:rPr>
      </w:pPr>
    </w:p>
    <w:p>
      <w:pPr>
        <w:jc w:val="both"/>
        <w:ind w:firstLine="865"/>
        <w:spacing w:after="0" w:line="244" w:lineRule="auto"/>
        <w:tabs>
          <w:tab w:leader="none" w:pos="2356"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Due Diligence</w:t>
      </w:r>
      <w:r>
        <w:rPr>
          <w:rFonts w:ascii="Arial" w:cs="Arial" w:eastAsia="Arial" w:hAnsi="Arial"/>
          <w:sz w:val="20"/>
          <w:szCs w:val="20"/>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66" w:lineRule="exact"/>
        <w:rPr>
          <w:rFonts w:ascii="Arial" w:cs="Arial" w:eastAsia="Arial" w:hAnsi="Arial"/>
          <w:sz w:val="20"/>
          <w:szCs w:val="20"/>
          <w:color w:val="auto"/>
        </w:rPr>
      </w:pPr>
    </w:p>
    <w:p>
      <w:pPr>
        <w:jc w:val="both"/>
        <w:ind w:firstLine="865"/>
        <w:spacing w:after="0" w:line="269" w:lineRule="auto"/>
        <w:tabs>
          <w:tab w:leader="none" w:pos="230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48" w:lineRule="exact"/>
        <w:rPr>
          <w:rFonts w:ascii="Arial" w:cs="Arial" w:eastAsia="Arial" w:hAnsi="Arial"/>
          <w:sz w:val="18"/>
          <w:szCs w:val="18"/>
          <w:color w:val="auto"/>
        </w:rPr>
      </w:pPr>
    </w:p>
    <w:p>
      <w:pPr>
        <w:ind w:firstLine="865"/>
        <w:spacing w:after="0" w:line="263" w:lineRule="auto"/>
        <w:tabs>
          <w:tab w:leader="none" w:pos="230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Deliverables at Triggering Event Dates; Certificates</w:t>
      </w:r>
      <w:r>
        <w:rPr>
          <w:rFonts w:ascii="Arial" w:cs="Arial" w:eastAsia="Arial" w:hAnsi="Arial"/>
          <w:sz w:val="20"/>
          <w:szCs w:val="20"/>
          <w:color w:val="auto"/>
        </w:rPr>
        <w:t>. The Company agrees that on or prior to the date of the first Issuance Notice and, during the term of this Agreement after the date of the first Issuance Notice, upon:</w:t>
      </w:r>
    </w:p>
    <w:p>
      <w:pPr>
        <w:spacing w:after="0" w:line="147" w:lineRule="exact"/>
        <w:rPr>
          <w:sz w:val="20"/>
          <w:szCs w:val="20"/>
          <w:color w:val="auto"/>
        </w:rPr>
      </w:pPr>
    </w:p>
    <w:p>
      <w:pPr>
        <w:jc w:val="both"/>
        <w:ind w:firstLine="1466"/>
        <w:spacing w:after="0" w:line="249" w:lineRule="auto"/>
        <w:tabs>
          <w:tab w:leader="none" w:pos="2345"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filing of the Prospectus or the amendment or supplement of any Registration Statement or Prospectus (other than a prospectus supplement relating solely to an offering of securities other than the Shares or a prospectus filed pursuant to Section 4(a)(ii)(B)),</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5" w:name="page56"/>
    <w:bookmarkEnd w:id="55"/>
    <w:p>
      <w:pPr>
        <w:spacing w:after="0" w:line="263" w:lineRule="auto"/>
        <w:rPr>
          <w:sz w:val="20"/>
          <w:szCs w:val="20"/>
          <w:color w:val="auto"/>
        </w:rPr>
      </w:pPr>
      <w:r>
        <w:rPr>
          <w:rFonts w:ascii="Arial" w:cs="Arial" w:eastAsia="Arial" w:hAnsi="Arial"/>
          <w:sz w:val="20"/>
          <w:szCs w:val="20"/>
          <w:color w:val="auto"/>
        </w:rPr>
        <w:t>by means of a post-effective amendment, sticker or supplement, but not by means of incorporation of documents by reference into the Registration Statement or Prospectus;</w:t>
      </w:r>
    </w:p>
    <w:p>
      <w:pPr>
        <w:spacing w:after="0" w:line="147" w:lineRule="exact"/>
        <w:rPr>
          <w:sz w:val="20"/>
          <w:szCs w:val="20"/>
          <w:color w:val="auto"/>
        </w:rPr>
      </w:pPr>
    </w:p>
    <w:p>
      <w:pPr>
        <w:jc w:val="both"/>
        <w:ind w:firstLine="1466"/>
        <w:spacing w:after="0" w:line="249" w:lineRule="auto"/>
        <w:tabs>
          <w:tab w:leader="none" w:pos="2334"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60" w:lineRule="exact"/>
        <w:rPr>
          <w:rFonts w:ascii="Arial" w:cs="Arial" w:eastAsia="Arial" w:hAnsi="Arial"/>
          <w:sz w:val="20"/>
          <w:szCs w:val="20"/>
          <w:color w:val="auto"/>
        </w:rPr>
      </w:pPr>
    </w:p>
    <w:p>
      <w:pPr>
        <w:jc w:val="both"/>
        <w:ind w:firstLine="1466"/>
        <w:spacing w:after="0" w:line="280" w:lineRule="auto"/>
        <w:tabs>
          <w:tab w:leader="none" w:pos="2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3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(any such event, a “</w:t>
      </w:r>
      <w:r>
        <w:rPr>
          <w:rFonts w:ascii="Arial" w:cs="Arial" w:eastAsia="Arial" w:hAnsi="Arial"/>
          <w:sz w:val="18"/>
          <w:szCs w:val="18"/>
          <w:b w:val="1"/>
          <w:bCs w:val="1"/>
          <w:color w:val="auto"/>
        </w:rPr>
        <w:t>Triggering Event Date</w:t>
      </w:r>
      <w:r>
        <w:rPr>
          <w:rFonts w:ascii="Arial" w:cs="Arial" w:eastAsia="Arial" w:hAnsi="Arial"/>
          <w:sz w:val="18"/>
          <w:szCs w:val="18"/>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on the date of such certificate as if made on such date, (B) confirming that the Company has performed all of its obligations hereunder to be performed on or prior to the date of such certificate and as to the matters set forth in </w:t>
      </w:r>
      <w:r>
        <w:rPr>
          <w:rFonts w:ascii="Arial" w:cs="Arial" w:eastAsia="Arial" w:hAnsi="Arial"/>
          <w:sz w:val="18"/>
          <w:szCs w:val="18"/>
          <w:u w:val="single" w:color="auto"/>
          <w:color w:val="auto"/>
        </w:rPr>
        <w:t>Section 5(a)(iii)</w:t>
      </w:r>
      <w:r>
        <w:rPr>
          <w:rFonts w:ascii="Arial" w:cs="Arial" w:eastAsia="Arial" w:hAnsi="Arial"/>
          <w:sz w:val="18"/>
          <w:szCs w:val="18"/>
          <w:color w:val="auto"/>
        </w:rPr>
        <w:t xml:space="preserve"> hereof, and (C) containing any other certification that the Agent shall reasonably request. The requirement to provide a certificate under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58" w:lineRule="exact"/>
        <w:rPr>
          <w:sz w:val="20"/>
          <w:szCs w:val="20"/>
          <w:color w:val="auto"/>
        </w:rPr>
      </w:pPr>
    </w:p>
    <w:p>
      <w:pPr>
        <w:jc w:val="both"/>
        <w:ind w:firstLine="865"/>
        <w:spacing w:after="0" w:line="270" w:lineRule="auto"/>
        <w:tabs>
          <w:tab w:leader="none" w:pos="230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a written legal opinion of each of Gibson, Dunn &amp; Crutcher LLP, counsel to the Company and Latham &amp; Watkins LLP, counsel to the Agent, and a written legal opinion of Honigman LLC, intellectual property counsel to the Company, with respect to certain intellectual property matters, each dated the date of delivery, shall be delivered to the Agent, each in form and substance reasonably satisfactory to the Agent and its counsel, substantially similar to the form previously provided to the Agent and its counsel, modified, as necessary, to relate to the Registration Statement and the Prospectus as then amended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6" w:name="page57"/>
    <w:bookmarkEnd w:id="56"/>
    <w:p>
      <w:pPr>
        <w:jc w:val="both"/>
        <w:spacing w:after="0" w:line="244" w:lineRule="auto"/>
        <w:rPr>
          <w:sz w:val="20"/>
          <w:szCs w:val="20"/>
          <w:color w:val="auto"/>
        </w:rPr>
      </w:pPr>
      <w:r>
        <w:rPr>
          <w:rFonts w:ascii="Arial" w:cs="Arial" w:eastAsia="Arial" w:hAnsi="Arial"/>
          <w:sz w:val="20"/>
          <w:szCs w:val="20"/>
          <w:color w:val="auto"/>
        </w:rPr>
        <w:t>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67" w:lineRule="exact"/>
        <w:rPr>
          <w:sz w:val="20"/>
          <w:szCs w:val="20"/>
          <w:color w:val="auto"/>
        </w:rPr>
      </w:pPr>
    </w:p>
    <w:p>
      <w:pPr>
        <w:jc w:val="both"/>
        <w:ind w:firstLine="865"/>
        <w:spacing w:after="0" w:line="251" w:lineRule="auto"/>
        <w:tabs>
          <w:tab w:leader="none" w:pos="230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Rose, Snyder &amp; Jacobs,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163" w:lineRule="exact"/>
        <w:rPr>
          <w:rFonts w:ascii="Arial" w:cs="Arial" w:eastAsia="Arial" w:hAnsi="Arial"/>
          <w:sz w:val="19"/>
          <w:szCs w:val="19"/>
          <w:color w:val="auto"/>
        </w:rPr>
      </w:pPr>
    </w:p>
    <w:p>
      <w:pPr>
        <w:jc w:val="both"/>
        <w:ind w:firstLine="865"/>
        <w:spacing w:after="0" w:line="238" w:lineRule="auto"/>
        <w:tabs>
          <w:tab w:leader="none" w:pos="131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Secretary’s Certificate</w:t>
      </w:r>
      <w:r>
        <w:rPr>
          <w:rFonts w:ascii="Arial" w:cs="Arial" w:eastAsia="Arial" w:hAnsi="Arial"/>
          <w:sz w:val="20"/>
          <w:szCs w:val="20"/>
          <w:color w:val="auto"/>
        </w:rPr>
        <w:t>. On or prior to the date of the first Issuance Notice and on or prior to each Triggering Event Date with respect to which the Company is obligated to deliver a certificate pursuant to Section 4(o) for which no waiver is applicable,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76" w:lineRule="exact"/>
        <w:rPr>
          <w:rFonts w:ascii="Arial" w:cs="Arial" w:eastAsia="Arial" w:hAnsi="Arial"/>
          <w:sz w:val="20"/>
          <w:szCs w:val="20"/>
          <w:color w:val="auto"/>
        </w:rPr>
      </w:pPr>
    </w:p>
    <w:p>
      <w:pPr>
        <w:jc w:val="both"/>
        <w:ind w:firstLine="865"/>
        <w:spacing w:after="0" w:line="249" w:lineRule="auto"/>
        <w:tabs>
          <w:tab w:leader="none" w:pos="2279"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Agent’s Own Account; Clients’ Account</w:t>
      </w:r>
      <w:r>
        <w:rPr>
          <w:rFonts w:ascii="Arial" w:cs="Arial" w:eastAsia="Arial" w:hAnsi="Arial"/>
          <w:sz w:val="20"/>
          <w:szCs w:val="20"/>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60" w:lineRule="exact"/>
        <w:rPr>
          <w:rFonts w:ascii="Arial" w:cs="Arial" w:eastAsia="Arial" w:hAnsi="Arial"/>
          <w:sz w:val="20"/>
          <w:szCs w:val="20"/>
          <w:color w:val="auto"/>
        </w:rPr>
      </w:pPr>
    </w:p>
    <w:p>
      <w:pPr>
        <w:jc w:val="both"/>
        <w:ind w:firstLine="865"/>
        <w:spacing w:after="0" w:line="249" w:lineRule="auto"/>
        <w:tabs>
          <w:tab w:leader="none" w:pos="225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Investment Limitation</w:t>
      </w:r>
      <w:r>
        <w:rPr>
          <w:rFonts w:ascii="Arial" w:cs="Arial" w:eastAsia="Arial" w:hAnsi="Arial"/>
          <w:sz w:val="20"/>
          <w:szCs w:val="20"/>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7" w:name="page58"/>
    <w:bookmarkEnd w:id="57"/>
    <w:p>
      <w:pPr>
        <w:jc w:val="both"/>
        <w:ind w:firstLine="865"/>
        <w:spacing w:after="0" w:line="269" w:lineRule="auto"/>
        <w:tabs>
          <w:tab w:leader="none" w:pos="230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8"/>
          <w:szCs w:val="18"/>
          <w:b w:val="1"/>
          <w:bCs w:val="1"/>
          <w:color w:val="auto"/>
        </w:rPr>
        <w:t>Rule 102</w:t>
      </w:r>
      <w:r>
        <w:rPr>
          <w:rFonts w:ascii="Arial" w:cs="Arial" w:eastAsia="Arial" w:hAnsi="Arial"/>
          <w:sz w:val="18"/>
          <w:szCs w:val="18"/>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48" w:lineRule="exact"/>
        <w:rPr>
          <w:rFonts w:ascii="Arial" w:cs="Arial" w:eastAsia="Arial" w:hAnsi="Arial"/>
          <w:sz w:val="18"/>
          <w:szCs w:val="18"/>
          <w:color w:val="auto"/>
        </w:rPr>
      </w:pPr>
    </w:p>
    <w:p>
      <w:pPr>
        <w:jc w:val="both"/>
        <w:ind w:firstLine="865"/>
        <w:spacing w:after="0" w:line="264" w:lineRule="auto"/>
        <w:tabs>
          <w:tab w:leader="none" w:pos="230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 of Other Sale</w:t>
      </w:r>
      <w:r>
        <w:rPr>
          <w:rFonts w:ascii="Arial" w:cs="Arial" w:eastAsia="Arial" w:hAnsi="Arial"/>
          <w:sz w:val="18"/>
          <w:szCs w:val="18"/>
          <w:color w:val="auto"/>
        </w:rPr>
        <w:t>. Without the written consent of the Agent, the Company will not, directly or indirectly, (i)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(A) the third Trading Day immediately following the Settlement Date with respect to Shares sold pursuant to such Issuance Notice and (B) the date an Issuance Notice is cancelled if no Shares have been sold pursuant to such Issuance Notice; (ii) effect a reverse stock split, recapitalization, share consolidation, reclassification or similar transaction affecting the outstanding Common Shares; or (iii)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(w)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Principal Market rules or other compensation plan of the Company or its subsidiaries, as in effect on the date of this Agreement, (x) issuance or sale of Common Shares issuable upon exchange, conversion or redemption of securities or the exercise or vesting of warrants, options or other equity awards outstanding at the date of this Agreement or subsequently disclosed in filings by the Company available on EDGAR or otherwise in writing to the Agent, (y) issuance or sale of Common Shares or securities convertible into or exchangeable for Common Shares as consideration for mergers, acquisitions, other business combinations, joint ventures or strategic alliances occurring after the date of this Agreement which are not used for capital raising purposes, provided that the aggregate number of Common Shares issued or underlying such securities convertible into or exchangeable for Common Shares issued in connection with all such acquisitions and other transactions does not exceed 5% of the aggregate number of Common Shares outstanding as of the date of such issuance, and (z) modification of any outstanding options, warrants of any rights to purchase or acquire Common Shares.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Section 5. CONDITIONS TO DELIVERY OF ISSUANCE NOTICES AND TO SETTLEMENT</w:t>
      </w:r>
    </w:p>
    <w:p>
      <w:pPr>
        <w:spacing w:after="0" w:line="200" w:lineRule="exact"/>
        <w:rPr>
          <w:sz w:val="20"/>
          <w:szCs w:val="20"/>
          <w:color w:val="auto"/>
        </w:rPr>
      </w:pPr>
    </w:p>
    <w:p>
      <w:pPr>
        <w:jc w:val="both"/>
        <w:ind w:firstLine="865"/>
        <w:spacing w:after="0" w:line="242" w:lineRule="auto"/>
        <w:tabs>
          <w:tab w:leader="none" w:pos="2290"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Conditions Precedent to the Right of the Company to Deliver an Issuance Notice and the Obligation of the Agent to Sell Shares</w:t>
      </w:r>
      <w:r>
        <w:rPr>
          <w:rFonts w:ascii="Arial" w:cs="Arial" w:eastAsia="Arial" w:hAnsi="Arial"/>
          <w:sz w:val="20"/>
          <w:szCs w:val="20"/>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68" w:lineRule="exact"/>
        <w:rPr>
          <w:rFonts w:ascii="Arial" w:cs="Arial" w:eastAsia="Arial" w:hAnsi="Arial"/>
          <w:sz w:val="20"/>
          <w:szCs w:val="20"/>
          <w:color w:val="auto"/>
        </w:rPr>
      </w:pPr>
    </w:p>
    <w:p>
      <w:pPr>
        <w:jc w:val="both"/>
        <w:ind w:left="1720" w:hanging="856"/>
        <w:spacing w:after="0"/>
        <w:tabs>
          <w:tab w:leader="none" w:pos="1720"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Accuracy of the Company’s Representations and Warranties; Performance by the Company</w:t>
      </w:r>
      <w:r>
        <w:rPr>
          <w:rFonts w:ascii="Arial" w:cs="Arial" w:eastAsia="Arial" w:hAnsi="Arial"/>
          <w:sz w:val="20"/>
          <w:szCs w:val="20"/>
          <w:color w:val="auto"/>
        </w:rPr>
        <w:t xml:space="preserve">. The Company shall have delivered the certificate required to be delivered pursuant to </w:t>
      </w:r>
      <w:r>
        <w:rPr>
          <w:rFonts w:ascii="Arial" w:cs="Arial" w:eastAsia="Arial" w:hAnsi="Arial"/>
          <w:sz w:val="20"/>
          <w:szCs w:val="20"/>
          <w:u w:val="single" w:color="auto"/>
          <w:color w:val="auto"/>
        </w:rPr>
        <w:t>Section 4(o)</w:t>
      </w:r>
      <w:r>
        <w:rPr>
          <w:rFonts w:ascii="Arial" w:cs="Arial" w:eastAsia="Arial" w:hAnsi="Arial"/>
          <w:sz w:val="20"/>
          <w:szCs w:val="20"/>
          <w:color w:val="auto"/>
        </w:rPr>
        <w:t xml:space="preserve"> on or before the date on which delivery of such certificate is required pursuant to </w:t>
      </w:r>
      <w:r>
        <w:rPr>
          <w:rFonts w:ascii="Arial" w:cs="Arial" w:eastAsia="Arial" w:hAnsi="Arial"/>
          <w:sz w:val="20"/>
          <w:szCs w:val="20"/>
          <w:u w:val="single" w:color="auto"/>
          <w:color w:val="auto"/>
        </w:rPr>
        <w:t>Section 4(o)</w:t>
      </w:r>
      <w:r>
        <w:rPr>
          <w:rFonts w:ascii="Arial" w:cs="Arial" w:eastAsia="Arial" w:hAnsi="Arial"/>
          <w:sz w:val="20"/>
          <w:szCs w:val="20"/>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20"/>
          <w:szCs w:val="20"/>
          <w:u w:val="single" w:color="auto"/>
          <w:color w:val="auto"/>
        </w:rPr>
        <w:t>Section 4(p)</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4(q)</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4(r)</w:t>
      </w:r>
      <w:r>
        <w:rPr>
          <w:rFonts w:ascii="Arial" w:cs="Arial" w:eastAsia="Arial" w:hAnsi="Arial"/>
          <w:sz w:val="20"/>
          <w:szCs w:val="20"/>
          <w:color w:val="auto"/>
        </w:rPr>
        <w:t>.</w:t>
      </w:r>
    </w:p>
    <w:p>
      <w:pPr>
        <w:spacing w:after="0" w:line="173" w:lineRule="exact"/>
        <w:rPr>
          <w:rFonts w:ascii="Arial" w:cs="Arial" w:eastAsia="Arial" w:hAnsi="Arial"/>
          <w:sz w:val="20"/>
          <w:szCs w:val="20"/>
          <w:color w:val="auto"/>
        </w:rPr>
      </w:pPr>
    </w:p>
    <w:p>
      <w:pPr>
        <w:jc w:val="both"/>
        <w:ind w:left="1720" w:hanging="856"/>
        <w:spacing w:after="0"/>
        <w:tabs>
          <w:tab w:leader="none" w:pos="1720"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No Injunction</w:t>
      </w:r>
      <w:r>
        <w:rPr>
          <w:rFonts w:ascii="Arial" w:cs="Arial" w:eastAsia="Arial" w:hAnsi="Arial"/>
          <w:sz w:val="20"/>
          <w:szCs w:val="20"/>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73" w:lineRule="exact"/>
        <w:rPr>
          <w:rFonts w:ascii="Arial" w:cs="Arial" w:eastAsia="Arial" w:hAnsi="Arial"/>
          <w:sz w:val="20"/>
          <w:szCs w:val="20"/>
          <w:color w:val="auto"/>
        </w:rPr>
      </w:pPr>
    </w:p>
    <w:p>
      <w:pPr>
        <w:jc w:val="both"/>
        <w:ind w:left="1720" w:hanging="856"/>
        <w:spacing w:after="0" w:line="256" w:lineRule="auto"/>
        <w:tabs>
          <w:tab w:leader="none" w:pos="1720"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Material Adverse Changes</w:t>
      </w:r>
      <w:r>
        <w:rPr>
          <w:rFonts w:ascii="Arial" w:cs="Arial" w:eastAsia="Arial" w:hAnsi="Arial"/>
          <w:sz w:val="19"/>
          <w:szCs w:val="19"/>
          <w:color w:val="auto"/>
        </w:rPr>
        <w:t>. Except as disclosed in the Prospectus and the Time of Sale Information, (a) in the judgment of the Agent there shall not have occurred any Material Adverse Change; and (b) there shall not have occurred any downgrading, nor shall any notice have been received by the Company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54" w:lineRule="exact"/>
        <w:rPr>
          <w:rFonts w:ascii="Arial" w:cs="Arial" w:eastAsia="Arial" w:hAnsi="Arial"/>
          <w:sz w:val="19"/>
          <w:szCs w:val="19"/>
          <w:color w:val="auto"/>
        </w:rPr>
      </w:pPr>
    </w:p>
    <w:p>
      <w:pPr>
        <w:jc w:val="both"/>
        <w:ind w:left="1720" w:hanging="856"/>
        <w:spacing w:after="0" w:line="256" w:lineRule="auto"/>
        <w:tabs>
          <w:tab w:leader="none" w:pos="172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Suspension of Trading in or Delisting of Common Shares; Other Events</w:t>
      </w:r>
      <w:r>
        <w:rPr>
          <w:rFonts w:ascii="Arial" w:cs="Arial" w:eastAsia="Arial" w:hAnsi="Arial"/>
          <w:sz w:val="19"/>
          <w:szCs w:val="19"/>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59" w:name="page60"/>
    <w:bookmarkEnd w:id="59"/>
    <w:p>
      <w:pPr>
        <w:jc w:val="both"/>
        <w:ind w:left="1720"/>
        <w:spacing w:after="0" w:line="268" w:lineRule="auto"/>
        <w:rPr>
          <w:sz w:val="20"/>
          <w:szCs w:val="20"/>
          <w:color w:val="auto"/>
        </w:rPr>
      </w:pPr>
      <w:r>
        <w:rPr>
          <w:rFonts w:ascii="Arial" w:cs="Arial" w:eastAsia="Arial" w:hAnsi="Arial"/>
          <w:sz w:val="18"/>
          <w:szCs w:val="18"/>
          <w:color w:val="auto"/>
        </w:rPr>
        <w:t>the Company’s securities shall have been suspended or limited by the Commission or by the Principal Market or trading in securities generally on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49" w:lineRule="exact"/>
        <w:rPr>
          <w:sz w:val="20"/>
          <w:szCs w:val="20"/>
          <w:color w:val="auto"/>
        </w:rPr>
      </w:pPr>
    </w:p>
    <w:p>
      <w:pPr>
        <w:jc w:val="both"/>
        <w:ind w:firstLine="865"/>
        <w:spacing w:after="0"/>
        <w:tabs>
          <w:tab w:leader="none" w:pos="2301"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Documents Required to be Delivered on each Issuance Notice Date</w:t>
      </w:r>
      <w:r>
        <w:rPr>
          <w:rFonts w:ascii="Arial" w:cs="Arial" w:eastAsia="Arial" w:hAnsi="Arial"/>
          <w:sz w:val="20"/>
          <w:szCs w:val="20"/>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73" w:lineRule="exact"/>
        <w:rPr>
          <w:rFonts w:ascii="Arial" w:cs="Arial" w:eastAsia="Arial" w:hAnsi="Arial"/>
          <w:sz w:val="20"/>
          <w:szCs w:val="20"/>
          <w:color w:val="auto"/>
        </w:rPr>
      </w:pPr>
    </w:p>
    <w:p>
      <w:pPr>
        <w:jc w:val="both"/>
        <w:ind w:firstLine="865"/>
        <w:spacing w:after="0" w:line="261" w:lineRule="auto"/>
        <w:tabs>
          <w:tab w:leader="none" w:pos="229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The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INDEMNIFICATION AND CONTRIBUTION</w:t>
      </w:r>
    </w:p>
    <w:p>
      <w:pPr>
        <w:spacing w:after="0" w:line="200" w:lineRule="exact"/>
        <w:rPr>
          <w:sz w:val="20"/>
          <w:szCs w:val="20"/>
          <w:color w:val="auto"/>
        </w:rPr>
      </w:pPr>
    </w:p>
    <w:p>
      <w:pPr>
        <w:jc w:val="both"/>
        <w:ind w:firstLine="865"/>
        <w:spacing w:after="0" w:line="267" w:lineRule="auto"/>
        <w:tabs>
          <w:tab w:leader="none" w:pos="229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Indemnification of the Agent</w:t>
      </w:r>
      <w:r>
        <w:rPr>
          <w:rFonts w:ascii="Arial" w:cs="Arial" w:eastAsia="Arial" w:hAnsi="Arial"/>
          <w:sz w:val="18"/>
          <w:szCs w:val="18"/>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0" w:name="page61"/>
    <w:bookmarkEnd w:id="60"/>
    <w:p>
      <w:pPr>
        <w:jc w:val="both"/>
        <w:spacing w:after="0" w:line="266" w:lineRule="auto"/>
        <w:rPr>
          <w:sz w:val="20"/>
          <w:szCs w:val="20"/>
          <w:color w:val="auto"/>
        </w:rPr>
      </w:pPr>
      <w:r>
        <w:rPr>
          <w:rFonts w:ascii="Arial" w:cs="Arial" w:eastAsia="Arial" w:hAnsi="Arial"/>
          <w:sz w:val="18"/>
          <w:szCs w:val="18"/>
          <w:color w:val="auto"/>
        </w:rPr>
        <w:t>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reasonable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(the “</w:t>
      </w:r>
      <w:r>
        <w:rPr>
          <w:rFonts w:ascii="Arial" w:cs="Arial" w:eastAsia="Arial" w:hAnsi="Arial"/>
          <w:sz w:val="18"/>
          <w:szCs w:val="18"/>
          <w:b w:val="1"/>
          <w:bCs w:val="1"/>
          <w:color w:val="auto"/>
        </w:rPr>
        <w:t>Agent Information</w:t>
      </w:r>
      <w:r>
        <w:rPr>
          <w:rFonts w:ascii="Arial" w:cs="Arial" w:eastAsia="Arial" w:hAnsi="Arial"/>
          <w:sz w:val="18"/>
          <w:szCs w:val="18"/>
          <w:color w:val="auto"/>
        </w:rPr>
        <w:t xml:space="preserve">”). The indemnity agreement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6(a)</w:t>
      </w:r>
      <w:r>
        <w:rPr>
          <w:rFonts w:ascii="Arial" w:cs="Arial" w:eastAsia="Arial" w:hAnsi="Arial"/>
          <w:sz w:val="18"/>
          <w:szCs w:val="18"/>
          <w:color w:val="auto"/>
        </w:rPr>
        <w:t xml:space="preserve"> shall be in addition to any liabilities that the Company may otherwise have.</w:t>
      </w:r>
    </w:p>
    <w:p>
      <w:pPr>
        <w:spacing w:after="0" w:line="153" w:lineRule="exact"/>
        <w:rPr>
          <w:sz w:val="20"/>
          <w:szCs w:val="20"/>
          <w:color w:val="auto"/>
        </w:rPr>
      </w:pPr>
    </w:p>
    <w:p>
      <w:pPr>
        <w:jc w:val="both"/>
        <w:ind w:firstLine="865"/>
        <w:spacing w:after="0" w:line="264" w:lineRule="auto"/>
        <w:tabs>
          <w:tab w:leader="none" w:pos="23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Indemnification of the Company and Company Officers and Directors.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Agent Information, and to reimburse the Company and each such director, officer and controlling person for any and all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1" w:name="page62"/>
    <w:bookmarkEnd w:id="61"/>
    <w:p>
      <w:pPr>
        <w:spacing w:after="0" w:line="263" w:lineRule="auto"/>
        <w:rPr>
          <w:sz w:val="20"/>
          <w:szCs w:val="20"/>
          <w:color w:val="auto"/>
        </w:rPr>
      </w:pPr>
      <w:r>
        <w:rPr>
          <w:rFonts w:ascii="Arial" w:cs="Arial" w:eastAsia="Arial" w:hAnsi="Arial"/>
          <w:sz w:val="20"/>
          <w:szCs w:val="20"/>
          <w:color w:val="auto"/>
        </w:rPr>
        <w:t>action. The indemnity agreement set forth in this Section 6(b) shall be in addition to any liabilities that the Agent or the Company may otherwise have.</w:t>
      </w:r>
    </w:p>
    <w:p>
      <w:pPr>
        <w:spacing w:after="0" w:line="147" w:lineRule="exact"/>
        <w:rPr>
          <w:sz w:val="20"/>
          <w:szCs w:val="20"/>
          <w:color w:val="auto"/>
        </w:rPr>
      </w:pPr>
    </w:p>
    <w:p>
      <w:pPr>
        <w:jc w:val="both"/>
        <w:ind w:firstLine="865"/>
        <w:spacing w:after="0" w:line="263" w:lineRule="auto"/>
        <w:tabs>
          <w:tab w:leader="none" w:pos="229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Notifications and Other Indemnification Procedures</w:t>
      </w:r>
      <w:r>
        <w:rPr>
          <w:rFonts w:ascii="Arial" w:cs="Arial" w:eastAsia="Arial" w:hAnsi="Arial"/>
          <w:sz w:val="18"/>
          <w:szCs w:val="18"/>
          <w:color w:val="auto"/>
        </w:rPr>
        <w:t xml:space="preserve">. Promptly after receipt by an indemnified party under this Section 6 of notice of the commencement of any action, such indemnified party will, if a claim in respect thereof is to be made against an indemnifying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or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391" w:lineRule="exact"/>
        <w:rPr>
          <w:rFonts w:ascii="Arial" w:cs="Arial" w:eastAsia="Arial" w:hAnsi="Arial"/>
          <w:sz w:val="18"/>
          <w:szCs w:val="18"/>
          <w:color w:val="auto"/>
        </w:rPr>
      </w:pPr>
    </w:p>
    <w:p>
      <w:pPr>
        <w:jc w:val="both"/>
        <w:ind w:firstLine="865"/>
        <w:spacing w:after="0"/>
        <w:tabs>
          <w:tab w:leader="none" w:pos="2301"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Settlements</w:t>
      </w:r>
      <w:r>
        <w:rPr>
          <w:rFonts w:ascii="Arial" w:cs="Arial" w:eastAsia="Arial" w:hAnsi="Arial"/>
          <w:sz w:val="20"/>
          <w:szCs w:val="20"/>
          <w:color w:val="auto"/>
        </w:rPr>
        <w:t xml:space="preserve">.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20"/>
          <w:szCs w:val="20"/>
          <w:u w:val="single" w:color="auto"/>
          <w:color w:val="auto"/>
        </w:rPr>
        <w:t>Section 6(b)</w:t>
      </w:r>
      <w:r>
        <w:rPr>
          <w:rFonts w:ascii="Arial" w:cs="Arial" w:eastAsia="Arial" w:hAnsi="Arial"/>
          <w:sz w:val="20"/>
          <w:szCs w:val="20"/>
          <w:color w:val="auto"/>
        </w:rPr>
        <w:t xml:space="preserve"> hereof, the indemnifying party agrees that it shall be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-4449445</wp:posOffset>
            </wp:positionV>
            <wp:extent cx="4768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885" cy="8255"/>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-742950</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19"/>
          <w:szCs w:val="19"/>
          <w:color w:val="auto"/>
        </w:rPr>
        <w:t>for any settlement of any proceeding effected without its written consent if (i) such settlement is entered into more than 60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60" w:lineRule="exact"/>
        <w:rPr>
          <w:sz w:val="20"/>
          <w:szCs w:val="20"/>
          <w:color w:val="auto"/>
        </w:rPr>
      </w:pPr>
    </w:p>
    <w:p>
      <w:pPr>
        <w:jc w:val="both"/>
        <w:ind w:firstLine="865"/>
        <w:spacing w:after="0" w:line="265" w:lineRule="auto"/>
        <w:tabs>
          <w:tab w:leader="none" w:pos="229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the indemnification provided for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54" w:lineRule="exact"/>
        <w:rPr>
          <w:sz w:val="20"/>
          <w:szCs w:val="20"/>
          <w:color w:val="auto"/>
        </w:rPr>
      </w:pPr>
    </w:p>
    <w:p>
      <w:pPr>
        <w:jc w:val="both"/>
        <w:ind w:firstLine="865"/>
        <w:spacing w:after="0"/>
        <w:rPr>
          <w:sz w:val="20"/>
          <w:szCs w:val="20"/>
          <w:color w:val="auto"/>
        </w:rPr>
      </w:pPr>
      <w:r>
        <w:rPr>
          <w:rFonts w:ascii="Arial" w:cs="Arial" w:eastAsia="Arial" w:hAnsi="Arial"/>
          <w:sz w:val="20"/>
          <w:szCs w:val="20"/>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20"/>
          <w:szCs w:val="20"/>
          <w:u w:val="single" w:color="auto"/>
          <w:color w:val="auto"/>
        </w:rPr>
        <w:t>Section 6(c)</w:t>
      </w:r>
      <w:r>
        <w:rPr>
          <w:rFonts w:ascii="Arial" w:cs="Arial" w:eastAsia="Arial" w:hAnsi="Arial"/>
          <w:sz w:val="20"/>
          <w:szCs w:val="20"/>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6(c)</w:t>
      </w:r>
      <w:r>
        <w:rPr>
          <w:rFonts w:ascii="Arial" w:cs="Arial" w:eastAsia="Arial" w:hAnsi="Arial"/>
          <w:sz w:val="20"/>
          <w:szCs w:val="20"/>
          <w:color w:val="auto"/>
        </w:rPr>
        <w:t xml:space="preserve"> with respect to notice of commencement of any action shall apply if a claim for contribution is to be made under this </w:t>
      </w:r>
      <w:r>
        <w:rPr>
          <w:rFonts w:ascii="Arial" w:cs="Arial" w:eastAsia="Arial" w:hAnsi="Arial"/>
          <w:sz w:val="20"/>
          <w:szCs w:val="20"/>
          <w:u w:val="single" w:color="auto"/>
          <w:color w:val="auto"/>
        </w:rPr>
        <w:t>Section 6(e)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provided, however, </w:t>
      </w:r>
      <w:r>
        <w:rPr>
          <w:rFonts w:ascii="Arial" w:cs="Arial" w:eastAsia="Arial" w:hAnsi="Arial"/>
          <w:sz w:val="20"/>
          <w:szCs w:val="20"/>
          <w:color w:val="auto"/>
        </w:rPr>
        <w:t>that no additional notice shall be required with respect to any action for which notice has been given under</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6(c)</w:t>
      </w:r>
      <w:r>
        <w:rPr>
          <w:rFonts w:ascii="Arial" w:cs="Arial" w:eastAsia="Arial" w:hAnsi="Arial"/>
          <w:sz w:val="20"/>
          <w:szCs w:val="20"/>
          <w:i w:val="1"/>
          <w:iCs w:val="1"/>
          <w:color w:val="auto"/>
        </w:rPr>
        <w:t xml:space="preserve"> </w:t>
      </w:r>
      <w:r>
        <w:rPr>
          <w:rFonts w:ascii="Arial" w:cs="Arial" w:eastAsia="Arial" w:hAnsi="Arial"/>
          <w:sz w:val="20"/>
          <w:szCs w:val="20"/>
          <w:color w:val="auto"/>
        </w:rPr>
        <w:t>for purposes of indemnification.</w:t>
      </w:r>
    </w:p>
    <w:p>
      <w:pPr>
        <w:spacing w:after="0" w:line="173" w:lineRule="exact"/>
        <w:rPr>
          <w:sz w:val="20"/>
          <w:szCs w:val="20"/>
          <w:color w:val="auto"/>
        </w:rPr>
      </w:pPr>
    </w:p>
    <w:p>
      <w:pPr>
        <w:ind w:right="100" w:firstLine="865"/>
        <w:spacing w:after="0" w:line="249" w:lineRule="auto"/>
        <w:rPr>
          <w:sz w:val="20"/>
          <w:szCs w:val="20"/>
          <w:color w:val="auto"/>
        </w:rPr>
      </w:pPr>
      <w:r>
        <w:rPr>
          <w:rFonts w:ascii="Arial" w:cs="Arial" w:eastAsia="Arial" w:hAnsi="Arial"/>
          <w:sz w:val="20"/>
          <w:szCs w:val="20"/>
          <w:color w:val="auto"/>
        </w:rPr>
        <w:t xml:space="preserve">The Company and the Agent agree that it would not be just and equitable if contribution pursuant to this </w:t>
      </w:r>
      <w:r>
        <w:rPr>
          <w:rFonts w:ascii="Arial" w:cs="Arial" w:eastAsia="Arial" w:hAnsi="Arial"/>
          <w:sz w:val="20"/>
          <w:szCs w:val="20"/>
          <w:u w:val="single" w:color="auto"/>
          <w:color w:val="auto"/>
        </w:rPr>
        <w:t>Section 6(e)</w:t>
      </w:r>
      <w:r>
        <w:rPr>
          <w:rFonts w:ascii="Arial" w:cs="Arial" w:eastAsia="Arial" w:hAnsi="Arial"/>
          <w:sz w:val="20"/>
          <w:szCs w:val="20"/>
          <w:color w:val="auto"/>
        </w:rPr>
        <w:t xml:space="preserve"> were determined by pro rata allocation or by any other method of allocation which does not take account of the equitable considerations referred to in this </w:t>
      </w:r>
      <w:r>
        <w:rPr>
          <w:rFonts w:ascii="Arial" w:cs="Arial" w:eastAsia="Arial" w:hAnsi="Arial"/>
          <w:sz w:val="20"/>
          <w:szCs w:val="20"/>
          <w:u w:val="single" w:color="auto"/>
          <w:color w:val="auto"/>
        </w:rPr>
        <w:t>Section 6(e)</w:t>
      </w:r>
      <w:r>
        <w:rPr>
          <w:rFonts w:ascii="Arial" w:cs="Arial" w:eastAsia="Arial" w:hAnsi="Arial"/>
          <w:sz w:val="20"/>
          <w:szCs w:val="20"/>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3" w:name="page64"/>
    <w:bookmarkEnd w:id="63"/>
    <w:p>
      <w:pPr>
        <w:jc w:val="both"/>
        <w:ind w:firstLine="865"/>
        <w:spacing w:after="0" w:line="239" w:lineRule="auto"/>
        <w:rPr>
          <w:sz w:val="20"/>
          <w:szCs w:val="20"/>
          <w:color w:val="auto"/>
        </w:rPr>
      </w:pPr>
      <w:r>
        <w:rPr>
          <w:rFonts w:ascii="Arial" w:cs="Arial" w:eastAsia="Arial" w:hAnsi="Arial"/>
          <w:sz w:val="20"/>
          <w:szCs w:val="20"/>
          <w:color w:val="auto"/>
        </w:rPr>
        <w:t xml:space="preserve">Notwithstanding the provisions of this </w:t>
      </w:r>
      <w:r>
        <w:rPr>
          <w:rFonts w:ascii="Arial" w:cs="Arial" w:eastAsia="Arial" w:hAnsi="Arial"/>
          <w:sz w:val="20"/>
          <w:szCs w:val="20"/>
          <w:u w:val="single" w:color="auto"/>
          <w:color w:val="auto"/>
        </w:rPr>
        <w:t>Section 6(e)</w:t>
      </w:r>
      <w:r>
        <w:rPr>
          <w:rFonts w:ascii="Arial" w:cs="Arial" w:eastAsia="Arial" w:hAnsi="Arial"/>
          <w:sz w:val="20"/>
          <w:szCs w:val="20"/>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20"/>
          <w:szCs w:val="20"/>
          <w:u w:val="single" w:color="auto"/>
          <w:color w:val="auto"/>
        </w:rPr>
        <w:t>Section 6(e)</w:t>
      </w:r>
      <w:r>
        <w:rPr>
          <w:rFonts w:ascii="Arial" w:cs="Arial" w:eastAsia="Arial" w:hAnsi="Arial"/>
          <w:sz w:val="20"/>
          <w:szCs w:val="20"/>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TERMINATION &amp; SURVIVAL</w:t>
      </w:r>
    </w:p>
    <w:p>
      <w:pPr>
        <w:spacing w:after="0" w:line="200" w:lineRule="exact"/>
        <w:rPr>
          <w:sz w:val="20"/>
          <w:szCs w:val="20"/>
          <w:color w:val="auto"/>
        </w:rPr>
      </w:pPr>
    </w:p>
    <w:p>
      <w:pPr>
        <w:ind w:firstLine="865"/>
        <w:spacing w:after="0" w:line="318" w:lineRule="auto"/>
        <w:tabs>
          <w:tab w:leader="none" w:pos="229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2300" w:hanging="1435"/>
        <w:spacing w:after="0"/>
        <w:tabs>
          <w:tab w:leader="none" w:pos="2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Termination; Survival Following Termination</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left="1720" w:hanging="430"/>
        <w:spacing w:after="0" w:line="272" w:lineRule="auto"/>
        <w:tabs>
          <w:tab w:leader="none" w:pos="17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 such Shares and (B)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Section 8 shall survive termination of this Agreement. If termination shall occur prior to the Settlement Date for any sale of Shares, such sale shall nevertheless settle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-187960</wp:posOffset>
            </wp:positionV>
            <wp:extent cx="4768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26" w:lineRule="exact"/>
        <w:rPr>
          <w:sz w:val="20"/>
          <w:szCs w:val="20"/>
          <w:color w:val="auto"/>
        </w:rPr>
      </w:pPr>
    </w:p>
    <w:p>
      <w:pPr>
        <w:jc w:val="both"/>
        <w:ind w:left="1740" w:hanging="376"/>
        <w:spacing w:after="0"/>
        <w:tabs>
          <w:tab w:leader="none" w:pos="1719" w:val="left"/>
        </w:tabs>
        <w:numPr>
          <w:ilvl w:val="0"/>
          <w:numId w:val="52"/>
        </w:numPr>
        <w:rPr>
          <w:rFonts w:ascii="Arial" w:cs="Arial" w:eastAsia="Arial" w:hAnsi="Arial"/>
          <w:sz w:val="20"/>
          <w:szCs w:val="20"/>
          <w:color w:val="auto"/>
        </w:rPr>
      </w:pPr>
      <w:r>
        <w:rPr>
          <w:rFonts w:ascii="Arial" w:cs="Arial" w:eastAsia="Arial" w:hAnsi="Arial"/>
          <w:sz w:val="20"/>
          <w:szCs w:val="20"/>
          <w:color w:val="auto"/>
        </w:rPr>
        <w:t>In addition to the survival provision of Section 7(b)(i),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-742950</wp:posOffset>
            </wp:positionV>
            <wp:extent cx="7772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8. MISCELLANEOUS</w:t>
      </w:r>
    </w:p>
    <w:p>
      <w:pPr>
        <w:spacing w:after="0" w:line="200" w:lineRule="exact"/>
        <w:rPr>
          <w:sz w:val="20"/>
          <w:szCs w:val="20"/>
          <w:color w:val="auto"/>
        </w:rPr>
      </w:pPr>
    </w:p>
    <w:p>
      <w:pPr>
        <w:jc w:val="both"/>
        <w:ind w:firstLine="865"/>
        <w:spacing w:after="0" w:line="232" w:lineRule="exact"/>
        <w:tabs>
          <w:tab w:leader="none" w:pos="229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Press Releases and Disclosure</w:t>
      </w:r>
      <w:r>
        <w:rPr>
          <w:rFonts w:ascii="Arial" w:cs="Arial" w:eastAsia="Arial" w:hAnsi="Arial"/>
          <w:sz w:val="18"/>
          <w:szCs w:val="18"/>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4" w:name="page65"/>
    <w:bookmarkEnd w:id="64"/>
    <w:p>
      <w:pPr>
        <w:jc w:val="both"/>
        <w:spacing w:after="0" w:line="239" w:lineRule="auto"/>
        <w:rPr>
          <w:sz w:val="20"/>
          <w:szCs w:val="20"/>
          <w:color w:val="auto"/>
        </w:rPr>
      </w:pPr>
      <w:r>
        <w:rPr>
          <w:rFonts w:ascii="Arial" w:cs="Arial" w:eastAsia="Arial" w:hAnsi="Arial"/>
          <w:sz w:val="20"/>
          <w:szCs w:val="20"/>
          <w:color w:val="auto"/>
        </w:rPr>
        <w:t>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75" w:lineRule="exact"/>
        <w:rPr>
          <w:sz w:val="20"/>
          <w:szCs w:val="20"/>
          <w:color w:val="auto"/>
        </w:rPr>
      </w:pPr>
    </w:p>
    <w:p>
      <w:pPr>
        <w:jc w:val="both"/>
        <w:ind w:firstLine="865"/>
        <w:spacing w:after="0" w:line="251" w:lineRule="auto"/>
        <w:tabs>
          <w:tab w:leader="none" w:pos="230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No Advisory or Fiduciary Relationship</w:t>
      </w:r>
      <w:r>
        <w:rPr>
          <w:rFonts w:ascii="Arial" w:cs="Arial" w:eastAsia="Arial" w:hAnsi="Arial"/>
          <w:sz w:val="19"/>
          <w:szCs w:val="19"/>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rFonts w:ascii="Arial" w:cs="Arial" w:eastAsia="Arial" w:hAnsi="Arial"/>
          <w:sz w:val="19"/>
          <w:szCs w:val="19"/>
          <w:color w:val="auto"/>
        </w:rPr>
      </w:pPr>
    </w:p>
    <w:p>
      <w:pPr>
        <w:jc w:val="both"/>
        <w:ind w:firstLine="865"/>
        <w:spacing w:after="0" w:line="270" w:lineRule="auto"/>
        <w:tabs>
          <w:tab w:leader="none" w:pos="229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48" w:lineRule="exact"/>
        <w:rPr>
          <w:rFonts w:ascii="Arial" w:cs="Arial" w:eastAsia="Arial" w:hAnsi="Arial"/>
          <w:sz w:val="18"/>
          <w:szCs w:val="18"/>
          <w:color w:val="auto"/>
        </w:rPr>
      </w:pPr>
    </w:p>
    <w:p>
      <w:pPr>
        <w:ind w:firstLine="865"/>
        <w:spacing w:after="0" w:line="263" w:lineRule="auto"/>
        <w:tabs>
          <w:tab w:leader="none" w:pos="2301"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communications hereunder shall be in writing and shall be mailed, hand delivered or telecopied and confirmed to the parties hereto as follows: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If to the Agent:</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Jefferies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520 Madison Avenue</w:t>
      </w:r>
    </w:p>
    <w:p>
      <w:pPr>
        <w:ind w:left="1300"/>
        <w:spacing w:after="0" w:line="235" w:lineRule="auto"/>
        <w:rPr>
          <w:sz w:val="20"/>
          <w:szCs w:val="20"/>
          <w:color w:val="auto"/>
        </w:rPr>
      </w:pPr>
      <w:r>
        <w:rPr>
          <w:rFonts w:ascii="Arial" w:cs="Arial" w:eastAsia="Arial" w:hAnsi="Arial"/>
          <w:sz w:val="20"/>
          <w:szCs w:val="20"/>
          <w:color w:val="auto"/>
        </w:rPr>
        <w:t>New York, NY 10022</w:t>
      </w:r>
    </w:p>
    <w:p>
      <w:pPr>
        <w:ind w:left="1300"/>
        <w:spacing w:after="0" w:line="235" w:lineRule="auto"/>
        <w:rPr>
          <w:sz w:val="20"/>
          <w:szCs w:val="20"/>
          <w:color w:val="auto"/>
        </w:rPr>
      </w:pPr>
      <w:r>
        <w:rPr>
          <w:rFonts w:ascii="Arial" w:cs="Arial" w:eastAsia="Arial" w:hAnsi="Arial"/>
          <w:sz w:val="20"/>
          <w:szCs w:val="20"/>
          <w:color w:val="auto"/>
        </w:rPr>
        <w:t>Facsimile: (646) 786-5719</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Attention: General Counsel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5" w:name="page66"/>
    <w:bookmarkEnd w:id="65"/>
    <w:p>
      <w:pPr>
        <w:ind w:left="540"/>
        <w:spacing w:after="0"/>
        <w:rPr>
          <w:sz w:val="20"/>
          <w:szCs w:val="20"/>
          <w:color w:val="auto"/>
        </w:rPr>
      </w:pPr>
      <w:r>
        <w:rPr>
          <w:rFonts w:ascii="Arial" w:cs="Arial" w:eastAsia="Arial" w:hAnsi="Arial"/>
          <w:sz w:val="20"/>
          <w:szCs w:val="20"/>
          <w:color w:val="auto"/>
        </w:rPr>
        <w:t>with a copy (which shall not constitute notice) to:</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Latham &amp; Watkins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12670 High Bluff Drive</w:t>
      </w:r>
    </w:p>
    <w:p>
      <w:pPr>
        <w:ind w:left="1300"/>
        <w:spacing w:after="0" w:line="235" w:lineRule="auto"/>
        <w:rPr>
          <w:sz w:val="20"/>
          <w:szCs w:val="20"/>
          <w:color w:val="auto"/>
        </w:rPr>
      </w:pPr>
      <w:r>
        <w:rPr>
          <w:rFonts w:ascii="Arial" w:cs="Arial" w:eastAsia="Arial" w:hAnsi="Arial"/>
          <w:sz w:val="20"/>
          <w:szCs w:val="20"/>
          <w:color w:val="auto"/>
        </w:rPr>
        <w:t>San Diego, CA 92130</w:t>
      </w:r>
    </w:p>
    <w:p>
      <w:pPr>
        <w:ind w:left="1300"/>
        <w:spacing w:after="0" w:line="235" w:lineRule="auto"/>
        <w:rPr>
          <w:sz w:val="20"/>
          <w:szCs w:val="20"/>
          <w:color w:val="auto"/>
        </w:rPr>
      </w:pPr>
      <w:r>
        <w:rPr>
          <w:rFonts w:ascii="Arial" w:cs="Arial" w:eastAsia="Arial" w:hAnsi="Arial"/>
          <w:sz w:val="20"/>
          <w:szCs w:val="20"/>
          <w:color w:val="auto"/>
        </w:rPr>
        <w:t>Facsimile: (858) 523-5450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Attention: Cheston J. Larson</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20"/>
          <w:szCs w:val="20"/>
          <w:color w:val="auto"/>
        </w:rPr>
        <w:t>If to the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Arrowhead Pharmaceuticals, Inc.</w:t>
      </w:r>
    </w:p>
    <w:p>
      <w:pPr>
        <w:ind w:left="1300"/>
        <w:spacing w:after="0" w:line="235" w:lineRule="auto"/>
        <w:rPr>
          <w:sz w:val="20"/>
          <w:szCs w:val="20"/>
          <w:color w:val="auto"/>
        </w:rPr>
      </w:pPr>
      <w:r>
        <w:rPr>
          <w:rFonts w:ascii="Arial" w:cs="Arial" w:eastAsia="Arial" w:hAnsi="Arial"/>
          <w:sz w:val="20"/>
          <w:szCs w:val="20"/>
          <w:color w:val="auto"/>
        </w:rPr>
        <w:t>177 E. Colorado Blvd., Suite 700</w:t>
      </w:r>
    </w:p>
    <w:p>
      <w:pPr>
        <w:ind w:left="1300"/>
        <w:spacing w:after="0" w:line="235" w:lineRule="auto"/>
        <w:rPr>
          <w:sz w:val="20"/>
          <w:szCs w:val="20"/>
          <w:color w:val="auto"/>
        </w:rPr>
      </w:pPr>
      <w:r>
        <w:rPr>
          <w:rFonts w:ascii="Arial" w:cs="Arial" w:eastAsia="Arial" w:hAnsi="Arial"/>
          <w:sz w:val="20"/>
          <w:szCs w:val="20"/>
          <w:color w:val="auto"/>
        </w:rPr>
        <w:t>Pasadena, CA 91105</w:t>
      </w:r>
    </w:p>
    <w:p>
      <w:pPr>
        <w:ind w:left="1300"/>
        <w:spacing w:after="0" w:line="235" w:lineRule="auto"/>
        <w:rPr>
          <w:sz w:val="20"/>
          <w:szCs w:val="20"/>
          <w:color w:val="auto"/>
        </w:rPr>
      </w:pPr>
      <w:r>
        <w:rPr>
          <w:rFonts w:ascii="Arial" w:cs="Arial" w:eastAsia="Arial" w:hAnsi="Arial"/>
          <w:sz w:val="20"/>
          <w:szCs w:val="20"/>
          <w:color w:val="auto"/>
        </w:rPr>
        <w:t>Facsimile: (626) 304-3401</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Attention: General Counsel</w:t>
      </w:r>
    </w:p>
    <w:p>
      <w:pPr>
        <w:spacing w:after="0" w:line="178" w:lineRule="exact"/>
        <w:rPr>
          <w:sz w:val="20"/>
          <w:szCs w:val="20"/>
          <w:color w:val="auto"/>
        </w:rPr>
      </w:pPr>
    </w:p>
    <w:p>
      <w:pPr>
        <w:jc w:val="center"/>
        <w:ind w:right="6200"/>
        <w:spacing w:after="0"/>
        <w:rPr>
          <w:sz w:val="20"/>
          <w:szCs w:val="20"/>
          <w:color w:val="auto"/>
        </w:rPr>
      </w:pPr>
      <w:r>
        <w:rPr>
          <w:rFonts w:ascii="Arial" w:cs="Arial" w:eastAsia="Arial" w:hAnsi="Arial"/>
          <w:sz w:val="20"/>
          <w:szCs w:val="20"/>
          <w:color w:val="auto"/>
        </w:rPr>
        <w:t>with a copy (which shall not constitute notice) to:</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Gibson, Dunn &amp; Crutcher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555 Mission Street</w:t>
      </w:r>
    </w:p>
    <w:p>
      <w:pPr>
        <w:ind w:left="1300"/>
        <w:spacing w:after="0" w:line="235" w:lineRule="auto"/>
        <w:rPr>
          <w:sz w:val="20"/>
          <w:szCs w:val="20"/>
          <w:color w:val="auto"/>
        </w:rPr>
      </w:pPr>
      <w:r>
        <w:rPr>
          <w:rFonts w:ascii="Arial" w:cs="Arial" w:eastAsia="Arial" w:hAnsi="Arial"/>
          <w:sz w:val="20"/>
          <w:szCs w:val="20"/>
          <w:color w:val="auto"/>
        </w:rPr>
        <w:t>San Francisco, CA 94105</w:t>
      </w:r>
    </w:p>
    <w:p>
      <w:pPr>
        <w:ind w:left="1300"/>
        <w:spacing w:after="0" w:line="235" w:lineRule="auto"/>
        <w:rPr>
          <w:sz w:val="20"/>
          <w:szCs w:val="20"/>
          <w:color w:val="auto"/>
        </w:rPr>
      </w:pPr>
      <w:r>
        <w:rPr>
          <w:rFonts w:ascii="Arial" w:cs="Arial" w:eastAsia="Arial" w:hAnsi="Arial"/>
          <w:sz w:val="20"/>
          <w:szCs w:val="20"/>
          <w:color w:val="auto"/>
        </w:rPr>
        <w:t>Facsimile: (415) 374-8430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Attention: Ryan A. Murr; Branden C. Berns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Any party hereto may change the address for receipt of communications by giving written notice to the others in accordance with this Section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6254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27" w:lineRule="exact"/>
        <w:rPr>
          <w:sz w:val="20"/>
          <w:szCs w:val="20"/>
          <w:color w:val="auto"/>
        </w:rPr>
      </w:pPr>
    </w:p>
    <w:p>
      <w:pPr>
        <w:jc w:val="both"/>
        <w:ind w:firstLine="865"/>
        <w:spacing w:after="0" w:line="244" w:lineRule="auto"/>
        <w:tabs>
          <w:tab w:leader="none" w:pos="2290"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20"/>
          <w:szCs w:val="20"/>
          <w:u w:val="single" w:color="auto"/>
          <w:color w:val="auto"/>
        </w:rPr>
        <w:t>Section 6</w:t>
      </w:r>
      <w:r>
        <w:rPr>
          <w:rFonts w:ascii="Arial" w:cs="Arial" w:eastAsia="Arial" w:hAnsi="Arial"/>
          <w:sz w:val="20"/>
          <w:szCs w:val="20"/>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66" w:lineRule="exact"/>
        <w:rPr>
          <w:rFonts w:ascii="Arial" w:cs="Arial" w:eastAsia="Arial" w:hAnsi="Arial"/>
          <w:sz w:val="20"/>
          <w:szCs w:val="20"/>
          <w:color w:val="auto"/>
        </w:rPr>
      </w:pPr>
    </w:p>
    <w:p>
      <w:pPr>
        <w:jc w:val="both"/>
        <w:ind w:firstLine="865"/>
        <w:spacing w:after="0" w:line="261" w:lineRule="auto"/>
        <w:tabs>
          <w:tab w:leader="none" w:pos="226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Partial Unenforceability</w:t>
      </w:r>
      <w:r>
        <w:rPr>
          <w:rFonts w:ascii="Arial" w:cs="Arial" w:eastAsia="Arial" w:hAnsi="Arial"/>
          <w:sz w:val="19"/>
          <w:szCs w:val="19"/>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51" w:lineRule="exact"/>
        <w:rPr>
          <w:rFonts w:ascii="Arial" w:cs="Arial" w:eastAsia="Arial" w:hAnsi="Arial"/>
          <w:sz w:val="19"/>
          <w:szCs w:val="19"/>
          <w:color w:val="auto"/>
        </w:rPr>
      </w:pPr>
    </w:p>
    <w:p>
      <w:pPr>
        <w:jc w:val="both"/>
        <w:ind w:firstLine="865"/>
        <w:spacing w:after="0" w:line="244" w:lineRule="auto"/>
        <w:tabs>
          <w:tab w:leader="none" w:pos="2301"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Governing Law Provisions</w:t>
      </w:r>
      <w:r>
        <w:rPr>
          <w:rFonts w:ascii="Arial" w:cs="Arial" w:eastAsia="Arial" w:hAnsi="Arial"/>
          <w:sz w:val="20"/>
          <w:szCs w:val="20"/>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6" w:name="page67"/>
    <w:bookmarkEnd w:id="66"/>
    <w:p>
      <w:pPr>
        <w:jc w:val="both"/>
        <w:spacing w:after="0" w:line="239" w:lineRule="auto"/>
        <w:rPr>
          <w:sz w:val="20"/>
          <w:szCs w:val="20"/>
          <w:color w:val="auto"/>
        </w:rPr>
      </w:pPr>
      <w:r>
        <w:rPr>
          <w:rFonts w:ascii="Arial" w:cs="Arial" w:eastAsia="Arial" w:hAnsi="Arial"/>
          <w:sz w:val="20"/>
          <w:szCs w:val="20"/>
          <w:color w:val="auto"/>
        </w:rPr>
        <w:t>courts of the State of New York in each case located in the Borough of Manhattan in the City of New York (collectively, the “</w:t>
      </w:r>
      <w:r>
        <w:rPr>
          <w:rFonts w:ascii="Arial" w:cs="Arial" w:eastAsia="Arial" w:hAnsi="Arial"/>
          <w:sz w:val="20"/>
          <w:szCs w:val="20"/>
          <w:b w:val="1"/>
          <w:bCs w:val="1"/>
          <w:color w:val="auto"/>
        </w:rPr>
        <w:t>Specified</w:t>
      </w:r>
      <w:r>
        <w:rPr>
          <w:rFonts w:ascii="Arial" w:cs="Arial" w:eastAsia="Arial" w:hAnsi="Arial"/>
          <w:sz w:val="20"/>
          <w:szCs w:val="20"/>
          <w:color w:val="auto"/>
        </w:rPr>
        <w:t xml:space="preserve"> </w:t>
      </w:r>
      <w:r>
        <w:rPr>
          <w:rFonts w:ascii="Arial" w:cs="Arial" w:eastAsia="Arial" w:hAnsi="Arial"/>
          <w:sz w:val="20"/>
          <w:szCs w:val="20"/>
          <w:b w:val="1"/>
          <w:bCs w:val="1"/>
          <w:color w:val="auto"/>
        </w:rPr>
        <w:t>Courts</w:t>
      </w:r>
      <w:r>
        <w:rPr>
          <w:rFonts w:ascii="Arial" w:cs="Arial" w:eastAsia="Arial" w:hAnsi="Arial"/>
          <w:sz w:val="20"/>
          <w:szCs w:val="20"/>
          <w:color w:val="auto"/>
        </w:rPr>
        <w:t>”), and each party irrevocably submits to the exclusive jurisdiction (except for proceedings instituted in regard to the enforcement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6" w:lineRule="exact"/>
        <w:rPr>
          <w:sz w:val="20"/>
          <w:szCs w:val="20"/>
          <w:color w:val="auto"/>
        </w:rPr>
      </w:pPr>
    </w:p>
    <w:p>
      <w:pPr>
        <w:jc w:val="both"/>
        <w:ind w:firstLine="865"/>
        <w:spacing w:after="0" w:line="239" w:lineRule="auto"/>
        <w:tabs>
          <w:tab w:leader="none" w:pos="2301"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Immediately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67" w:name="page68"/>
    <w:bookmarkEnd w:id="67"/>
    <w:p>
      <w:pPr>
        <w:jc w:val="both"/>
        <w:ind w:firstLine="865"/>
        <w:spacing w:after="0" w:line="249" w:lineRule="auto"/>
        <w:rPr>
          <w:sz w:val="20"/>
          <w:szCs w:val="20"/>
          <w:color w:val="auto"/>
        </w:rPr>
      </w:pPr>
      <w:r>
        <w:rPr>
          <w:rFonts w:ascii="Arial" w:cs="Arial" w:eastAsia="Arial" w:hAnsi="Arial"/>
          <w:sz w:val="20"/>
          <w:szCs w:val="20"/>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361"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Very truly yours,</w:t>
      </w:r>
    </w:p>
    <w:p>
      <w:pPr>
        <w:spacing w:after="0" w:line="192"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ARROWHEAD PHARMACEUTICALS, INC.</w:t>
      </w:r>
    </w:p>
    <w:p>
      <w:pPr>
        <w:spacing w:after="0" w:line="20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Christopher</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20"/>
          <w:szCs w:val="20"/>
          <w:u w:val="single" w:color="auto"/>
          <w:color w:val="auto"/>
        </w:rPr>
        <w:t>Anzalone</w:t>
      </w:r>
    </w:p>
    <w:p>
      <w:pPr>
        <w:ind w:left="8560"/>
        <w:spacing w:after="0" w:line="235" w:lineRule="auto"/>
        <w:rPr>
          <w:sz w:val="20"/>
          <w:szCs w:val="20"/>
          <w:color w:val="auto"/>
        </w:rPr>
      </w:pPr>
      <w:r>
        <w:rPr>
          <w:rFonts w:ascii="Arial" w:cs="Arial" w:eastAsia="Arial" w:hAnsi="Arial"/>
          <w:sz w:val="20"/>
          <w:szCs w:val="20"/>
          <w:color w:val="auto"/>
        </w:rPr>
        <w:t>Name: Christopher Anzalone</w:t>
      </w:r>
    </w:p>
    <w:p>
      <w:pPr>
        <w:ind w:left="8560"/>
        <w:spacing w:after="0" w:line="235" w:lineRule="auto"/>
        <w:rPr>
          <w:sz w:val="20"/>
          <w:szCs w:val="20"/>
          <w:color w:val="auto"/>
        </w:rPr>
      </w:pPr>
      <w:r>
        <w:rPr>
          <w:rFonts w:ascii="Arial" w:cs="Arial" w:eastAsia="Arial" w:hAnsi="Arial"/>
          <w:sz w:val="20"/>
          <w:szCs w:val="20"/>
          <w:color w:val="auto"/>
        </w:rPr>
        <w:t>Title: President and Chief</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foregoing Agreement is hereby confirmed and accepted by the Agent in New York, New York as of the date first above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JEFFERIES LLC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Magarro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Name: Michael Magarro</w:t>
      </w:r>
    </w:p>
    <w:p>
      <w:pPr>
        <w:ind w:left="640"/>
        <w:spacing w:after="0"/>
        <w:rPr>
          <w:sz w:val="20"/>
          <w:szCs w:val="20"/>
          <w:color w:val="auto"/>
        </w:rPr>
      </w:pPr>
      <w:r>
        <w:rPr>
          <w:rFonts w:ascii="Arial" w:cs="Arial" w:eastAsia="Arial" w:hAnsi="Arial"/>
          <w:sz w:val="20"/>
          <w:szCs w:val="20"/>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468630</wp:posOffset>
            </wp:positionV>
            <wp:extent cx="715835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ISSUANCE NOTICE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520 Madison Avenue</w:t>
      </w:r>
    </w:p>
    <w:p>
      <w:pPr>
        <w:spacing w:after="0"/>
        <w:rPr>
          <w:sz w:val="20"/>
          <w:szCs w:val="20"/>
          <w:color w:val="auto"/>
        </w:rPr>
      </w:pPr>
      <w:r>
        <w:rPr>
          <w:rFonts w:ascii="Arial" w:cs="Arial" w:eastAsia="Arial" w:hAnsi="Arial"/>
          <w:sz w:val="20"/>
          <w:szCs w:val="20"/>
          <w:color w:val="auto"/>
        </w:rPr>
        <w:t>New York, New York 10022</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Attn: [__________]</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Reference is made to the Open Market Sale Agreement between Arrowhead Pharmaceuticals, Inc. (the “</w:t>
      </w:r>
      <w:r>
        <w:rPr>
          <w:rFonts w:ascii="Arial" w:cs="Arial" w:eastAsia="Arial" w:hAnsi="Arial"/>
          <w:sz w:val="20"/>
          <w:szCs w:val="20"/>
          <w:b w:val="1"/>
          <w:bCs w:val="1"/>
          <w:color w:val="auto"/>
        </w:rPr>
        <w:t>Company</w:t>
      </w:r>
      <w:r>
        <w:rPr>
          <w:rFonts w:ascii="Arial" w:cs="Arial" w:eastAsia="Arial" w:hAnsi="Arial"/>
          <w:sz w:val="20"/>
          <w:szCs w:val="20"/>
          <w:color w:val="auto"/>
        </w:rPr>
        <w:t>”) and Jefferies LLC (the “</w:t>
      </w:r>
      <w:r>
        <w:rPr>
          <w:rFonts w:ascii="Arial" w:cs="Arial" w:eastAsia="Arial" w:hAnsi="Arial"/>
          <w:sz w:val="20"/>
          <w:szCs w:val="20"/>
          <w:b w:val="1"/>
          <w:bCs w:val="1"/>
          <w:color w:val="auto"/>
        </w:rPr>
        <w:t>Agent</w:t>
      </w:r>
      <w:r>
        <w:rPr>
          <w:rFonts w:ascii="Arial" w:cs="Arial" w:eastAsia="Arial" w:hAnsi="Arial"/>
          <w:sz w:val="20"/>
          <w:szCs w:val="20"/>
          <w:color w:val="auto"/>
        </w:rPr>
        <w:t>”) dated as of August 5, 2020. The Company confirms that all conditions to the delivery of this Issuance Notice are satisfied as of the date hereof.</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of Delivery of Issuance Notice (determined pursuant to </w:t>
      </w:r>
      <w:r>
        <w:rPr>
          <w:rFonts w:ascii="Arial" w:cs="Arial" w:eastAsia="Arial" w:hAnsi="Arial"/>
          <w:sz w:val="20"/>
          <w:szCs w:val="20"/>
          <w:u w:val="single" w:color="auto"/>
          <w:color w:val="auto"/>
        </w:rPr>
        <w:t>Section 3(b)(i)</w:t>
      </w:r>
      <w:r>
        <w:rPr>
          <w:rFonts w:ascii="Arial" w:cs="Arial" w:eastAsia="Arial" w:hAnsi="Arial"/>
          <w:sz w:val="20"/>
          <w:szCs w:val="20"/>
          <w:color w:val="auto"/>
        </w:rPr>
        <w:t>): _______________________</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Issuance Amount (equal to the total Sales Price for such Shares):</w:t>
      </w:r>
    </w:p>
    <w:p>
      <w:pPr>
        <w:spacing w:after="0" w:line="196"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Number of days in selling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First date of selling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Last date of selling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Settlement Date(s) if other than standard T+2 settlement: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Floor Price Limitation (in no event less than $1.00 without the prior written consent of the Agent, which consent may be withheld in the Agent’s sole discretion): $ ____ per share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Comments:</w:t>
      </w:r>
    </w:p>
    <w:p>
      <w:pPr>
        <w:spacing w:after="0" w:line="19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______________________</w:t>
      </w:r>
    </w:p>
    <w:p>
      <w:pPr>
        <w:spacing w:after="0" w:line="196"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By:</w:t>
      </w:r>
    </w:p>
    <w:p>
      <w:pPr>
        <w:spacing w:after="0" w:line="9" w:lineRule="exact"/>
        <w:rPr>
          <w:sz w:val="20"/>
          <w:szCs w:val="20"/>
          <w:color w:val="auto"/>
        </w:rPr>
      </w:pPr>
    </w:p>
    <w:p>
      <w:pPr>
        <w:ind w:left="9100"/>
        <w:spacing w:after="0"/>
        <w:rPr>
          <w:sz w:val="20"/>
          <w:szCs w:val="20"/>
          <w:color w:val="auto"/>
        </w:rPr>
      </w:pPr>
      <w:r>
        <w:rPr>
          <w:rFonts w:ascii="Arial" w:cs="Arial" w:eastAsia="Arial" w:hAnsi="Arial"/>
          <w:sz w:val="20"/>
          <w:szCs w:val="20"/>
          <w:color w:val="auto"/>
        </w:rPr>
        <w:t>Name:</w:t>
      </w:r>
    </w:p>
    <w:p>
      <w:pPr>
        <w:ind w:left="9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15835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15875"/>
                    </a:xfrm>
                    <a:prstGeom prst="rect">
                      <a:avLst/>
                    </a:prstGeom>
                    <a:noFill/>
                  </pic:spPr>
                </pic:pic>
              </a:graphicData>
            </a:graphic>
          </wp:anchor>
        </w:drawing>
      </w:r>
    </w:p>
    <w:p>
      <w:pPr>
        <w:sectPr>
          <w:pgSz w:w="11900" w:h="16838" w:orient="portrait"/>
          <w:cols w:equalWidth="0" w:num="1">
            <w:col w:w="11240"/>
          </w:cols>
          <w:pgMar w:left="320" w:top="515" w:right="339" w:bottom="1440" w:gutter="0" w:footer="0" w:header="0"/>
        </w:sectPr>
      </w:pPr>
    </w:p>
    <w:bookmarkStart w:id="69" w:name="page70"/>
    <w:bookmarkEnd w:id="69"/>
    <w:p>
      <w:pPr>
        <w:jc w:val="center"/>
        <w:ind w:right="-1100"/>
        <w:spacing w:after="0"/>
        <w:rPr>
          <w:sz w:val="20"/>
          <w:szCs w:val="20"/>
          <w:color w:val="auto"/>
        </w:rPr>
      </w:pPr>
      <w:r>
        <w:rPr>
          <w:rFonts w:ascii="Arial" w:cs="Arial" w:eastAsia="Arial" w:hAnsi="Arial"/>
          <w:sz w:val="20"/>
          <w:szCs w:val="20"/>
          <w:b w:val="1"/>
          <w:bCs w:val="1"/>
          <w:color w:val="auto"/>
        </w:rPr>
        <w:t>Schedule A</w:t>
      </w:r>
    </w:p>
    <w:p>
      <w:pPr>
        <w:spacing w:after="0" w:line="9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Notice Parties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Chris Anzalone (canzalone@arrowheadpharma.com)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Vince Anzalone (vanzalone@arrowheadpharma.com)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Ken Myszkowski (kmyszkowski@arrowheadpharma.com)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Patrick O’Brien (pobrien@arrowheadpharma.com)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The Agent</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Michael Brinkman (mbrinkman@jefferies.com)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Michael Magarro (mmagarro@jefferies.com)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Donald Lynaugh (dlynaugh@jefferies.com)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Jack Fabbri (jfabbri@jefferies.com)</w:t>
      </w:r>
    </w:p>
    <w:p>
      <w:pPr>
        <w:sectPr>
          <w:pgSz w:w="11900" w:h="16838" w:orient="portrait"/>
          <w:cols w:equalWidth="0" w:num="1">
            <w:col w:w="10139"/>
          </w:cols>
          <w:pgMar w:left="320" w:top="490"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203200</wp:posOffset>
            </wp:positionH>
            <wp:positionV relativeFrom="page">
              <wp:posOffset>160655</wp:posOffset>
            </wp:positionV>
            <wp:extent cx="1137285"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37285" cy="222885"/>
                    </a:xfrm>
                    <a:prstGeom prst="rect">
                      <a:avLst/>
                    </a:prstGeom>
                    <a:noFill/>
                  </pic:spPr>
                </pic:pic>
              </a:graphicData>
            </a:graphic>
          </wp:anchor>
        </w:drawing>
        <w:drawing>
          <wp:anchor simplePos="0" relativeHeight="251657728" behindDoc="1" locked="0" layoutInCell="0" allowOverlap="1">
            <wp:simplePos x="0" y="0"/>
            <wp:positionH relativeFrom="page">
              <wp:posOffset>6224270</wp:posOffset>
            </wp:positionH>
            <wp:positionV relativeFrom="page">
              <wp:posOffset>160655</wp:posOffset>
            </wp:positionV>
            <wp:extent cx="1121410" cy="6921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121410" cy="692150"/>
                    </a:xfrm>
                    <a:prstGeom prst="rect">
                      <a:avLst/>
                    </a:prstGeom>
                    <a:noFill/>
                  </pic:spPr>
                </pic:pic>
              </a:graphicData>
            </a:graphic>
          </wp:anchor>
        </w:drawing>
        <w:t>5.1</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Client: 04695-00002</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August 5,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Arrowhead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177 E. Colorado Blvd, Suite 700</w:t>
      </w:r>
    </w:p>
    <w:p>
      <w:pPr>
        <w:spacing w:after="0"/>
        <w:rPr>
          <w:sz w:val="20"/>
          <w:szCs w:val="20"/>
          <w:color w:val="auto"/>
        </w:rPr>
      </w:pPr>
      <w:r>
        <w:rPr>
          <w:rFonts w:ascii="Arial" w:cs="Arial" w:eastAsia="Arial" w:hAnsi="Arial"/>
          <w:sz w:val="20"/>
          <w:szCs w:val="20"/>
          <w:color w:val="auto"/>
        </w:rPr>
        <w:t>Pasadena, CA 91105</w:t>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i w:val="1"/>
          <w:iCs w:val="1"/>
          <w:color w:val="auto"/>
        </w:rPr>
        <w:t>Arrowhead Pharmaceuticals, Inc.</w:t>
      </w:r>
    </w:p>
    <w:p>
      <w:pPr>
        <w:spacing w:after="0" w:line="16" w:lineRule="exact"/>
        <w:rPr>
          <w:sz w:val="20"/>
          <w:szCs w:val="20"/>
          <w:color w:val="auto"/>
        </w:rPr>
      </w:pPr>
    </w:p>
    <w:p>
      <w:pPr>
        <w:ind w:left="640"/>
        <w:spacing w:after="0" w:line="207" w:lineRule="exact"/>
        <w:rPr>
          <w:sz w:val="20"/>
          <w:szCs w:val="20"/>
          <w:color w:val="auto"/>
        </w:rPr>
      </w:pPr>
      <w:r>
        <w:rPr>
          <w:rFonts w:ascii="Arial" w:cs="Arial" w:eastAsia="Arial" w:hAnsi="Arial"/>
          <w:sz w:val="18"/>
          <w:szCs w:val="18"/>
          <w:i w:val="1"/>
          <w:iCs w:val="1"/>
          <w:color w:val="auto"/>
        </w:rPr>
        <w:t>Registration Statement on Form 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3 (File No. 333-235324)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have examined the Registration Statement on Form S-3, File No. 333-235324 (the “Registration Statement”), of Arrowhead Pharmaceuticals, Inc., a Delaware corporation (the “Company”), filed with the Securities and Exchange Commission (the “Commission”) pursuant to the Securities Act of 1933, as amended (the “Securities Act”), and the prospectus supplement thereto dated August 5, 2020 (the “Prospectus Supplement”), in connection with the offering by the Company of up to $250,000,000 of the Company’s common stock, par value $0.001 per share (the “Shares”).</w:t>
      </w:r>
    </w:p>
    <w:p>
      <w:pPr>
        <w:spacing w:after="0" w:line="1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arriving at the opinion expressed below, we have examined originals, or copies certified or otherwise identified to our satisfaction as being true and complete copies of the originals, of specimen Common Stock certificate and such other documents, corporate records, certificates of officers of the Company and of public officials and other instruments as we have deemed necessary or advisable to enable us to render the opinions set forth below. In our examination, we have assumed without independent investigation the genuineness of all signatures, the legal capacity and competency of all natural persons, the authenticity of all documents submitted to us as originals and the conformity to original documents of all documents submitted to us as copies. We have further assumed that all offers and sales of the Shares will comply with the minimum offering price and pricing formula set forth in the authorization of the offering and sale of the Shares by the Company’s Board of Directors.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upon the foregoing, and subject to the assumptions, exceptions, qualifications and limitations set forth herein, we are of the opinion that the Shares, when issued against payment therefor as set forth in the Registration Statement and the Prospectus Supplement thereto, will be validly issued, fully paid and non-assessable.</w:t>
      </w:r>
    </w:p>
    <w:p>
      <w:pPr>
        <w:spacing w:after="0" w:line="16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consent to the filing of this opinion as an exhibit to the Registration Statement, and we further consent to the use of our name under the caption “Legal Matters” in the Registration Statement and the Prospectus Supplement. In giving these consents, we do not thereby admit that we are within the category of persons whose consent is required under Section 7 of the Securities Act or the Rules and Regulations of the Commission.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Gibson, Dunn &amp; Crutcher LLP</w:t>
      </w:r>
    </w:p>
    <w:p>
      <w:pPr>
        <w:sectPr>
          <w:pgSz w:w="11900" w:h="16838" w:orient="portrait"/>
          <w:cols w:equalWidth="0" w:num="1">
            <w:col w:w="11240"/>
          </w:cols>
          <w:pgMar w:left="320" w:top="131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31.1</w:t>
      </w:r>
    </w:p>
    <w:p>
      <w:pPr>
        <w:spacing w:after="0" w:line="155"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CERTIFICATION PURSUANT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 Christopher Anzalone, Chief Executive Officer of Arrowhead Pharmaceuticals, Inc., certify that:</w:t>
      </w:r>
    </w:p>
    <w:p>
      <w:pPr>
        <w:spacing w:after="0" w:line="68" w:lineRule="exact"/>
        <w:rPr>
          <w:sz w:val="20"/>
          <w:szCs w:val="20"/>
          <w:color w:val="auto"/>
        </w:rPr>
      </w:pPr>
    </w:p>
    <w:p>
      <w:pPr>
        <w:ind w:left="680" w:hanging="169"/>
        <w:spacing w:after="0"/>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Arrowhead Pharmaceuticals, Inc.;</w:t>
      </w:r>
    </w:p>
    <w:p>
      <w:pPr>
        <w:spacing w:after="0" w:line="155" w:lineRule="exact"/>
        <w:rPr>
          <w:rFonts w:ascii="Arial" w:cs="Arial" w:eastAsia="Arial" w:hAnsi="Arial"/>
          <w:sz w:val="17"/>
          <w:szCs w:val="17"/>
          <w:color w:val="auto"/>
        </w:rPr>
      </w:pPr>
    </w:p>
    <w:p>
      <w:pPr>
        <w:ind w:right="100" w:firstLine="511"/>
        <w:spacing w:after="0" w:line="298" w:lineRule="auto"/>
        <w:tabs>
          <w:tab w:leader="none" w:pos="6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0" w:firstLine="511"/>
        <w:spacing w:after="0" w:line="267" w:lineRule="auto"/>
        <w:tabs>
          <w:tab w:leader="none" w:pos="678"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firstLine="511"/>
        <w:spacing w:after="0" w:line="331" w:lineRule="auto"/>
        <w:tabs>
          <w:tab w:leader="none" w:pos="678"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00" w:right="60" w:firstLine="497"/>
        <w:spacing w:after="0" w:line="256" w:lineRule="auto"/>
        <w:tabs>
          <w:tab w:leader="none" w:pos="1215"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7"/>
          <w:szCs w:val="17"/>
          <w:color w:val="auto"/>
        </w:rPr>
      </w:pPr>
    </w:p>
    <w:p>
      <w:pPr>
        <w:ind w:left="500" w:right="40" w:firstLine="497"/>
        <w:spacing w:after="0" w:line="256" w:lineRule="auto"/>
        <w:tabs>
          <w:tab w:leader="none" w:pos="12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7"/>
          <w:szCs w:val="17"/>
          <w:color w:val="auto"/>
        </w:rPr>
      </w:pPr>
    </w:p>
    <w:p>
      <w:pPr>
        <w:ind w:left="500" w:right="100" w:firstLine="497"/>
        <w:spacing w:after="0" w:line="298" w:lineRule="auto"/>
        <w:tabs>
          <w:tab w:leader="none" w:pos="1215"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6"/>
          <w:szCs w:val="16"/>
          <w:color w:val="auto"/>
        </w:rPr>
      </w:pPr>
    </w:p>
    <w:p>
      <w:pPr>
        <w:ind w:left="500" w:right="120" w:firstLine="497"/>
        <w:spacing w:after="0" w:line="256" w:lineRule="auto"/>
        <w:tabs>
          <w:tab w:leader="none" w:pos="1224"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right="580" w:firstLine="511"/>
        <w:spacing w:after="0" w:line="298" w:lineRule="auto"/>
        <w:tabs>
          <w:tab w:leader="none" w:pos="6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6"/>
          <w:szCs w:val="16"/>
          <w:color w:val="auto"/>
        </w:rPr>
      </w:pPr>
    </w:p>
    <w:p>
      <w:pPr>
        <w:ind w:left="500" w:right="40" w:firstLine="497"/>
        <w:spacing w:after="0" w:line="267" w:lineRule="auto"/>
        <w:tabs>
          <w:tab w:leader="none" w:pos="1205"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7"/>
          <w:szCs w:val="17"/>
          <w:color w:val="auto"/>
        </w:rPr>
      </w:pPr>
    </w:p>
    <w:p>
      <w:pPr>
        <w:ind w:left="500" w:right="80" w:firstLine="497"/>
        <w:spacing w:after="0" w:line="267" w:lineRule="auto"/>
        <w:tabs>
          <w:tab w:leader="none" w:pos="1215"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2020</w:t>
      </w:r>
    </w:p>
    <w:p>
      <w:pPr>
        <w:spacing w:after="0" w:line="118"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/s/ Christopher Anzalone</w:t>
      </w:r>
    </w:p>
    <w:p>
      <w:pPr>
        <w:spacing w:after="0" w:line="17" w:lineRule="exact"/>
        <w:rPr>
          <w:sz w:val="20"/>
          <w:szCs w:val="20"/>
          <w:color w:val="auto"/>
        </w:rPr>
      </w:pPr>
    </w:p>
    <w:p>
      <w:pPr>
        <w:ind w:left="7420"/>
        <w:spacing w:after="0"/>
        <w:rPr>
          <w:sz w:val="20"/>
          <w:szCs w:val="20"/>
          <w:color w:val="auto"/>
        </w:rPr>
      </w:pPr>
      <w:r>
        <w:rPr>
          <w:rFonts w:ascii="Arial" w:cs="Arial" w:eastAsia="Arial" w:hAnsi="Arial"/>
          <w:sz w:val="17"/>
          <w:szCs w:val="17"/>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-123190</wp:posOffset>
            </wp:positionV>
            <wp:extent cx="38493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49370" cy="8255"/>
                    </a:xfrm>
                    <a:prstGeom prst="rect">
                      <a:avLst/>
                    </a:prstGeom>
                    <a:noFill/>
                  </pic:spPr>
                </pic:pic>
              </a:graphicData>
            </a:graphic>
          </wp:anchor>
        </w:drawing>
      </w:r>
    </w:p>
    <w:p>
      <w:pPr>
        <w:ind w:left="7380"/>
        <w:spacing w:after="0"/>
        <w:rPr>
          <w:sz w:val="20"/>
          <w:szCs w:val="20"/>
          <w:color w:val="auto"/>
        </w:rPr>
      </w:pPr>
      <w:r>
        <w:rPr>
          <w:rFonts w:ascii="Arial" w:cs="Arial" w:eastAsia="Arial" w:hAnsi="Arial"/>
          <w:sz w:val="17"/>
          <w:szCs w:val="17"/>
          <w:b w:val="1"/>
          <w:bCs w:val="1"/>
          <w:color w:val="auto"/>
        </w:rPr>
        <w:t>Chief Executive Officer</w:t>
      </w:r>
    </w:p>
    <w:p>
      <w:pPr>
        <w:sectPr>
          <w:pgSz w:w="11900" w:h="16838" w:orient="portrait"/>
          <w:cols w:equalWidth="0" w:num="1">
            <w:col w:w="11240"/>
          </w:cols>
          <w:pgMar w:left="320" w:top="336"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31.2</w:t>
      </w:r>
    </w:p>
    <w:p>
      <w:pPr>
        <w:spacing w:after="0" w:line="155"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CERTIFICATION PURSUANT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I, Kenneth A. Myszkowski, Chief Financial Officer of Arrowhead Pharmaceuticals, Inc., certify that:</w:t>
      </w:r>
    </w:p>
    <w:p>
      <w:pPr>
        <w:spacing w:after="0" w:line="68" w:lineRule="exact"/>
        <w:rPr>
          <w:sz w:val="20"/>
          <w:szCs w:val="20"/>
          <w:color w:val="auto"/>
        </w:rPr>
      </w:pPr>
    </w:p>
    <w:p>
      <w:pPr>
        <w:ind w:left="680" w:hanging="169"/>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Arrowhead Pharmaceuticals, Inc.;</w:t>
      </w:r>
    </w:p>
    <w:p>
      <w:pPr>
        <w:spacing w:after="0" w:line="155" w:lineRule="exact"/>
        <w:rPr>
          <w:rFonts w:ascii="Arial" w:cs="Arial" w:eastAsia="Arial" w:hAnsi="Arial"/>
          <w:sz w:val="17"/>
          <w:szCs w:val="17"/>
          <w:color w:val="auto"/>
        </w:rPr>
      </w:pPr>
    </w:p>
    <w:p>
      <w:pPr>
        <w:ind w:right="100" w:firstLine="511"/>
        <w:spacing w:after="0" w:line="298" w:lineRule="auto"/>
        <w:tabs>
          <w:tab w:leader="none" w:pos="6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0" w:firstLine="511"/>
        <w:spacing w:after="0" w:line="267" w:lineRule="auto"/>
        <w:tabs>
          <w:tab w:leader="none" w:pos="678"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firstLine="511"/>
        <w:spacing w:after="0" w:line="331" w:lineRule="auto"/>
        <w:tabs>
          <w:tab w:leader="none" w:pos="67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00" w:right="60" w:firstLine="497"/>
        <w:spacing w:after="0" w:line="256" w:lineRule="auto"/>
        <w:tabs>
          <w:tab w:leader="none" w:pos="1215"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7"/>
          <w:szCs w:val="17"/>
          <w:color w:val="auto"/>
        </w:rPr>
      </w:pPr>
    </w:p>
    <w:p>
      <w:pPr>
        <w:ind w:left="500" w:right="40" w:firstLine="497"/>
        <w:spacing w:after="0" w:line="256" w:lineRule="auto"/>
        <w:tabs>
          <w:tab w:leader="none" w:pos="1224"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7"/>
          <w:szCs w:val="17"/>
          <w:color w:val="auto"/>
        </w:rPr>
      </w:pPr>
    </w:p>
    <w:p>
      <w:pPr>
        <w:ind w:left="500" w:right="100" w:firstLine="497"/>
        <w:spacing w:after="0" w:line="298" w:lineRule="auto"/>
        <w:tabs>
          <w:tab w:leader="none" w:pos="1215"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6"/>
          <w:szCs w:val="16"/>
          <w:color w:val="auto"/>
        </w:rPr>
      </w:pPr>
    </w:p>
    <w:p>
      <w:pPr>
        <w:ind w:left="500" w:right="120" w:firstLine="497"/>
        <w:spacing w:after="0" w:line="256" w:lineRule="auto"/>
        <w:tabs>
          <w:tab w:leader="none" w:pos="1224" w:val="left"/>
        </w:tabs>
        <w:numPr>
          <w:ilvl w:val="1"/>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right="580" w:firstLine="511"/>
        <w:spacing w:after="0" w:line="298" w:lineRule="auto"/>
        <w:tabs>
          <w:tab w:leader="none" w:pos="67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6"/>
          <w:szCs w:val="16"/>
          <w:color w:val="auto"/>
        </w:rPr>
      </w:pPr>
    </w:p>
    <w:p>
      <w:pPr>
        <w:ind w:left="500" w:right="40" w:firstLine="497"/>
        <w:spacing w:after="0" w:line="267" w:lineRule="auto"/>
        <w:tabs>
          <w:tab w:leader="none" w:pos="1205" w:val="left"/>
        </w:tabs>
        <w:numPr>
          <w:ilvl w:val="1"/>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7"/>
          <w:szCs w:val="17"/>
          <w:color w:val="auto"/>
        </w:rPr>
      </w:pPr>
    </w:p>
    <w:p>
      <w:pPr>
        <w:ind w:left="500" w:right="80" w:firstLine="497"/>
        <w:spacing w:after="0" w:line="267" w:lineRule="auto"/>
        <w:tabs>
          <w:tab w:leader="none" w:pos="1215"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2020</w:t>
      </w:r>
    </w:p>
    <w:p>
      <w:pPr>
        <w:spacing w:after="0" w:line="118"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/s/ Kenneth A. Myszkowski</w:t>
      </w:r>
    </w:p>
    <w:p>
      <w:pPr>
        <w:spacing w:after="0" w:line="17" w:lineRule="exact"/>
        <w:rPr>
          <w:sz w:val="20"/>
          <w:szCs w:val="20"/>
          <w:color w:val="auto"/>
        </w:rPr>
      </w:pPr>
    </w:p>
    <w:p>
      <w:pPr>
        <w:ind w:left="7180"/>
        <w:spacing w:after="0"/>
        <w:rPr>
          <w:sz w:val="20"/>
          <w:szCs w:val="20"/>
          <w:color w:val="auto"/>
        </w:rPr>
      </w:pPr>
      <w:r>
        <w:rPr>
          <w:rFonts w:ascii="Arial" w:cs="Arial" w:eastAsia="Arial" w:hAnsi="Arial"/>
          <w:sz w:val="17"/>
          <w:szCs w:val="17"/>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-123190</wp:posOffset>
            </wp:positionV>
            <wp:extent cx="40322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32250" cy="8255"/>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336"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32.1</w:t>
      </w:r>
    </w:p>
    <w:p>
      <w:pPr>
        <w:spacing w:after="0" w:line="205"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159" w:lineRule="exact"/>
        <w:rPr>
          <w:sz w:val="20"/>
          <w:szCs w:val="20"/>
          <w:color w:val="auto"/>
        </w:rPr>
      </w:pPr>
    </w:p>
    <w:p>
      <w:pPr>
        <w:ind w:right="100" w:firstLine="511"/>
        <w:spacing w:after="0" w:line="273"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2020,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2020</w:t>
      </w:r>
    </w:p>
    <w:p>
      <w:pPr>
        <w:spacing w:after="0" w:line="118" w:lineRule="exact"/>
        <w:rPr>
          <w:sz w:val="20"/>
          <w:szCs w:val="20"/>
          <w:color w:val="auto"/>
        </w:rPr>
      </w:pPr>
    </w:p>
    <w:p>
      <w:pPr>
        <w:jc w:val="center"/>
        <w:ind w:left="6740"/>
        <w:spacing w:after="0"/>
        <w:rPr>
          <w:sz w:val="20"/>
          <w:szCs w:val="20"/>
          <w:color w:val="auto"/>
        </w:rPr>
      </w:pPr>
      <w:r>
        <w:rPr>
          <w:rFonts w:ascii="Arial" w:cs="Arial" w:eastAsia="Arial" w:hAnsi="Arial"/>
          <w:sz w:val="17"/>
          <w:szCs w:val="17"/>
          <w:color w:val="auto"/>
        </w:rPr>
        <w:t>/s/ C</w:t>
      </w:r>
      <w:r>
        <w:rPr>
          <w:rFonts w:ascii="Arial" w:cs="Arial" w:eastAsia="Arial" w:hAnsi="Arial"/>
          <w:sz w:val="12"/>
          <w:szCs w:val="12"/>
          <w:color w:val="auto"/>
        </w:rPr>
        <w:t>HRISTOPHER</w:t>
      </w:r>
      <w:r>
        <w:rPr>
          <w:rFonts w:ascii="Arial" w:cs="Arial" w:eastAsia="Arial" w:hAnsi="Arial"/>
          <w:sz w:val="17"/>
          <w:szCs w:val="17"/>
          <w:color w:val="auto"/>
        </w:rPr>
        <w:t xml:space="preserve"> A</w:t>
      </w:r>
      <w:r>
        <w:rPr>
          <w:rFonts w:ascii="Arial" w:cs="Arial" w:eastAsia="Arial" w:hAnsi="Arial"/>
          <w:sz w:val="12"/>
          <w:szCs w:val="12"/>
          <w:color w:val="auto"/>
        </w:rPr>
        <w:t>NZALONE</w:t>
      </w:r>
    </w:p>
    <w:p>
      <w:pPr>
        <w:spacing w:after="0" w:line="17" w:lineRule="exact"/>
        <w:rPr>
          <w:sz w:val="20"/>
          <w:szCs w:val="20"/>
          <w:color w:val="auto"/>
        </w:rPr>
      </w:pPr>
    </w:p>
    <w:p>
      <w:pPr>
        <w:ind w:left="8200"/>
        <w:spacing w:after="0"/>
        <w:rPr>
          <w:sz w:val="20"/>
          <w:szCs w:val="20"/>
          <w:color w:val="auto"/>
        </w:rPr>
      </w:pPr>
      <w:r>
        <w:rPr>
          <w:rFonts w:ascii="Arial" w:cs="Arial" w:eastAsia="Arial" w:hAnsi="Arial"/>
          <w:sz w:val="17"/>
          <w:szCs w:val="17"/>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-123190</wp:posOffset>
            </wp:positionV>
            <wp:extent cx="28555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ind w:left="8160"/>
        <w:spacing w:after="0"/>
        <w:rPr>
          <w:sz w:val="20"/>
          <w:szCs w:val="20"/>
          <w:color w:val="auto"/>
        </w:rPr>
      </w:pPr>
      <w:r>
        <w:rPr>
          <w:rFonts w:ascii="Arial" w:cs="Arial" w:eastAsia="Arial" w:hAnsi="Arial"/>
          <w:sz w:val="17"/>
          <w:szCs w:val="17"/>
          <w:b w:val="1"/>
          <w:bCs w:val="1"/>
          <w:color w:val="auto"/>
        </w:rPr>
        <w:t>Chief Executive Officer</w:t>
      </w:r>
    </w:p>
    <w:p>
      <w:pPr>
        <w:spacing w:after="0" w:line="356" w:lineRule="exact"/>
        <w:rPr>
          <w:sz w:val="20"/>
          <w:szCs w:val="20"/>
          <w:color w:val="auto"/>
        </w:rPr>
      </w:pPr>
    </w:p>
    <w:p>
      <w:pPr>
        <w:ind w:right="60" w:firstLine="511"/>
        <w:spacing w:after="0" w:line="267"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33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32.2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906 OF THE SARBANES-OXLEY ACT OF 2002</w:t>
      </w:r>
    </w:p>
    <w:p>
      <w:pPr>
        <w:spacing w:after="0" w:line="159" w:lineRule="exact"/>
        <w:rPr>
          <w:sz w:val="20"/>
          <w:szCs w:val="20"/>
          <w:color w:val="auto"/>
        </w:rPr>
      </w:pPr>
    </w:p>
    <w:p>
      <w:pPr>
        <w:ind w:right="100" w:firstLine="511"/>
        <w:spacing w:after="0" w:line="273"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2020,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2020</w:t>
      </w:r>
    </w:p>
    <w:p>
      <w:pPr>
        <w:spacing w:after="0" w:line="118" w:lineRule="exact"/>
        <w:rPr>
          <w:sz w:val="20"/>
          <w:szCs w:val="20"/>
          <w:color w:val="auto"/>
        </w:rPr>
      </w:pPr>
    </w:p>
    <w:p>
      <w:pPr>
        <w:ind w:left="8060"/>
        <w:spacing w:after="0"/>
        <w:rPr>
          <w:sz w:val="20"/>
          <w:szCs w:val="20"/>
          <w:color w:val="auto"/>
        </w:rPr>
      </w:pPr>
      <w:r>
        <w:rPr>
          <w:rFonts w:ascii="Arial" w:cs="Arial" w:eastAsia="Arial" w:hAnsi="Arial"/>
          <w:sz w:val="17"/>
          <w:szCs w:val="17"/>
          <w:color w:val="auto"/>
        </w:rPr>
        <w:t>/s/ Kenneth A. Myszkowski</w:t>
      </w:r>
    </w:p>
    <w:p>
      <w:pPr>
        <w:spacing w:after="0" w:line="17" w:lineRule="exact"/>
        <w:rPr>
          <w:sz w:val="20"/>
          <w:szCs w:val="20"/>
          <w:color w:val="auto"/>
        </w:rPr>
      </w:pPr>
    </w:p>
    <w:p>
      <w:pPr>
        <w:ind w:left="8140"/>
        <w:spacing w:after="0"/>
        <w:rPr>
          <w:sz w:val="20"/>
          <w:szCs w:val="20"/>
          <w:color w:val="auto"/>
        </w:rPr>
      </w:pPr>
      <w:r>
        <w:rPr>
          <w:rFonts w:ascii="Arial" w:cs="Arial" w:eastAsia="Arial" w:hAnsi="Arial"/>
          <w:sz w:val="17"/>
          <w:szCs w:val="17"/>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-123190</wp:posOffset>
            </wp:positionV>
            <wp:extent cx="28555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7"/>
          <w:szCs w:val="17"/>
          <w:b w:val="1"/>
          <w:bCs w:val="1"/>
          <w:color w:val="auto"/>
        </w:rPr>
        <w:t>Chief Financial Officer</w:t>
      </w:r>
    </w:p>
    <w:p>
      <w:pPr>
        <w:spacing w:after="0" w:line="356" w:lineRule="exact"/>
        <w:rPr>
          <w:sz w:val="20"/>
          <w:szCs w:val="20"/>
          <w:color w:val="auto"/>
        </w:rPr>
      </w:pPr>
    </w:p>
    <w:p>
      <w:pPr>
        <w:ind w:right="60" w:firstLine="511"/>
        <w:spacing w:after="0" w:line="267"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104"/>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lowerLetter"/>
      <w:start w:val="1"/>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lowerLetter"/>
      <w:start w:val="2"/>
    </w:lvl>
  </w:abstractNum>
  <w:abstractNum w:abstractNumId="10">
    <w:nsid w:val="419AC241"/>
    <w:multiLevelType w:val="hybridMultilevel"/>
    <w:lvl w:ilvl="0">
      <w:lvlJc w:val="left"/>
      <w:lvlText w:val="(%1)"/>
      <w:numFmt w:val="lowerLetter"/>
      <w:start w:val="3"/>
    </w:lvl>
  </w:abstractNum>
  <w:abstractNum w:abstractNumId="11">
    <w:nsid w:val="5577F8E1"/>
    <w:multiLevelType w:val="hybridMultilevel"/>
    <w:lvl w:ilvl="0">
      <w:lvlJc w:val="left"/>
      <w:lvlText w:val="(%1)"/>
      <w:numFmt w:val="lowerLetter"/>
      <w:start w:val="9"/>
    </w:lvl>
  </w:abstractNum>
  <w:abstractNum w:abstractNumId="12">
    <w:nsid w:val="440BADFC"/>
    <w:multiLevelType w:val="hybridMultilevel"/>
    <w:lvl w:ilvl="0">
      <w:lvlJc w:val="left"/>
      <w:lvlText w:val="(%1)"/>
      <w:numFmt w:val="lowerLetter"/>
      <w:start w:val="12"/>
    </w:lvl>
  </w:abstractNum>
  <w:abstractNum w:abstractNumId="13">
    <w:nsid w:val="5072367"/>
    <w:multiLevelType w:val="hybridMultilevel"/>
    <w:lvl w:ilvl="0">
      <w:lvlJc w:val="left"/>
      <w:lvlText w:val="(%1)"/>
      <w:numFmt w:val="lowerLetter"/>
      <w:start w:val="15"/>
    </w:lvl>
  </w:abstractNum>
  <w:abstractNum w:abstractNumId="14">
    <w:nsid w:val="3804823E"/>
    <w:multiLevelType w:val="hybridMultilevel"/>
    <w:lvl w:ilvl="0">
      <w:lvlJc w:val="left"/>
      <w:lvlText w:val="(%1)"/>
      <w:numFmt w:val="lowerLetter"/>
      <w:start w:val="18"/>
    </w:lvl>
  </w:abstractNum>
  <w:abstractNum w:abstractNumId="15">
    <w:nsid w:val="77465F01"/>
    <w:multiLevelType w:val="hybridMultilevel"/>
    <w:lvl w:ilvl="0">
      <w:lvlJc w:val="left"/>
      <w:lvlText w:val="(%1)"/>
      <w:numFmt w:val="lowerLetter"/>
      <w:start w:val="20"/>
    </w:lvl>
  </w:abstractNum>
  <w:abstractNum w:abstractNumId="16">
    <w:nsid w:val="7724C67E"/>
    <w:multiLevelType w:val="hybridMultilevel"/>
    <w:lvl w:ilvl="0">
      <w:lvlJc w:val="left"/>
      <w:lvlText w:val="(%1)"/>
      <w:numFmt w:val="lowerLetter"/>
      <w:start w:val="23"/>
    </w:lvl>
  </w:abstractNum>
  <w:abstractNum w:abstractNumId="17">
    <w:nsid w:val="5C482A97"/>
    <w:multiLevelType w:val="hybridMultilevel"/>
    <w:lvl w:ilvl="0">
      <w:lvlJc w:val="left"/>
      <w:lvlText w:val="(%1)"/>
      <w:numFmt w:val="lowerLetter"/>
      <w:start w:val="26"/>
    </w:lvl>
  </w:abstractNum>
  <w:abstractNum w:abstractNumId="18">
    <w:nsid w:val="2463B9EA"/>
    <w:multiLevelType w:val="hybridMultilevel"/>
    <w:lvl w:ilvl="0">
      <w:lvlJc w:val="left"/>
      <w:lvlText w:val="(%1)"/>
      <w:numFmt w:val="lowerLetter"/>
      <w:start w:val="27"/>
    </w:lvl>
  </w:abstractNum>
  <w:abstractNum w:abstractNumId="19">
    <w:nsid w:val="5E884ADC"/>
    <w:multiLevelType w:val="hybridMultilevel"/>
    <w:lvl w:ilvl="0">
      <w:lvlJc w:val="left"/>
      <w:lvlText w:val="(%1)"/>
      <w:numFmt w:val="lowerLetter"/>
      <w:start w:val="35"/>
    </w:lvl>
    <w:lvl w:ilvl="1">
      <w:lvlJc w:val="left"/>
      <w:lvlText w:val="(%2)"/>
      <w:numFmt w:val="lowerLetter"/>
      <w:start w:val="29"/>
    </w:lvl>
  </w:abstractNum>
  <w:abstractNum w:abstractNumId="20">
    <w:nsid w:val="51EAD36B"/>
    <w:multiLevelType w:val="hybridMultilevel"/>
    <w:lvl w:ilvl="0">
      <w:lvlJc w:val="left"/>
      <w:lvlText w:val="(%1)"/>
      <w:numFmt w:val="lowerLetter"/>
      <w:start w:val="36"/>
    </w:lvl>
  </w:abstractNum>
  <w:abstractNum w:abstractNumId="21">
    <w:nsid w:val="2D517796"/>
    <w:multiLevelType w:val="hybridMultilevel"/>
    <w:lvl w:ilvl="0">
      <w:lvlJc w:val="left"/>
      <w:lvlText w:val="%1"/>
      <w:numFmt w:val="lowerRoman"/>
      <w:start w:val="1"/>
    </w:lvl>
    <w:lvl w:ilvl="1">
      <w:lvlJc w:val="left"/>
      <w:lvlText w:val="(%2)"/>
      <w:numFmt w:val="lowerLetter"/>
      <w:start w:val="39"/>
    </w:lvl>
  </w:abstractNum>
  <w:abstractNum w:abstractNumId="22">
    <w:nsid w:val="580BD78F"/>
    <w:multiLevelType w:val="hybridMultilevel"/>
    <w:lvl w:ilvl="0">
      <w:lvlJc w:val="left"/>
      <w:lvlText w:val="(%1)"/>
      <w:numFmt w:val="lowerRoman"/>
      <w:start w:val="4"/>
    </w:lvl>
    <w:lvl w:ilvl="1">
      <w:lvlJc w:val="left"/>
      <w:lvlText w:val="%2"/>
      <w:numFmt w:val="lowerLetter"/>
      <w:start w:val="1"/>
    </w:lvl>
  </w:abstractNum>
  <w:abstractNum w:abstractNumId="23">
    <w:nsid w:val="153EA438"/>
    <w:multiLevelType w:val="hybridMultilevel"/>
    <w:lvl w:ilvl="0">
      <w:lvlJc w:val="left"/>
      <w:lvlText w:val="(%1)"/>
      <w:numFmt w:val="lowerLetter"/>
      <w:start w:val="42"/>
    </w:lvl>
  </w:abstractNum>
  <w:abstractNum w:abstractNumId="24">
    <w:nsid w:val="3855585C"/>
    <w:multiLevelType w:val="hybridMultilevel"/>
    <w:lvl w:ilvl="0">
      <w:lvlJc w:val="left"/>
      <w:lvlText w:val="(%1)"/>
      <w:numFmt w:val="lowerLetter"/>
      <w:start w:val="45"/>
    </w:lvl>
  </w:abstractNum>
  <w:abstractNum w:abstractNumId="25">
    <w:nsid w:val="70A64E2A"/>
    <w:multiLevelType w:val="hybridMultilevel"/>
    <w:lvl w:ilvl="0">
      <w:lvlJc w:val="left"/>
      <w:lvlText w:val="(%1)"/>
      <w:numFmt w:val="lowerLetter"/>
      <w:start w:val="47"/>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Roman"/>
      <w:start w:val="1"/>
    </w:lvl>
  </w:abstractNum>
  <w:abstractNum w:abstractNumId="28">
    <w:nsid w:val="1D4ED43B"/>
    <w:multiLevelType w:val="hybridMultilevel"/>
    <w:lvl w:ilvl="0">
      <w:lvlJc w:val="left"/>
      <w:lvlText w:val="(%1)"/>
      <w:numFmt w:val="lowerRoman"/>
      <w:start w:val="3"/>
    </w:lvl>
  </w:abstractNum>
  <w:abstractNum w:abstractNumId="29">
    <w:nsid w:val="725A06FB"/>
    <w:multiLevelType w:val="hybridMultilevel"/>
    <w:lvl w:ilvl="0">
      <w:lvlJc w:val="left"/>
      <w:lvlText w:val="(%1)"/>
      <w:numFmt w:val="lowerRoman"/>
      <w:start w:val="7"/>
    </w:lvl>
  </w:abstractNum>
  <w:abstractNum w:abstractNumId="30">
    <w:nsid w:val="2CD89A32"/>
    <w:multiLevelType w:val="hybridMultilevel"/>
    <w:lvl w:ilvl="0">
      <w:lvlJc w:val="left"/>
      <w:lvlText w:val="(%1)"/>
      <w:numFmt w:val="lowerLetter"/>
      <w:start w:val="3"/>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4"/>
    </w:lvl>
  </w:abstractNum>
  <w:abstractNum w:abstractNumId="33">
    <w:nsid w:val="4B588F54"/>
    <w:multiLevelType w:val="hybridMultilevel"/>
    <w:lvl w:ilvl="0">
      <w:lvlJc w:val="left"/>
      <w:lvlText w:val="(%1)"/>
      <w:numFmt w:val="lowerLetter"/>
      <w:start w:val="7"/>
    </w:lvl>
  </w:abstractNum>
  <w:abstractNum w:abstractNumId="34">
    <w:nsid w:val="542289EC"/>
    <w:multiLevelType w:val="hybridMultilevel"/>
    <w:lvl w:ilvl="0">
      <w:lvlJc w:val="left"/>
      <w:lvlText w:val="(%1)"/>
      <w:numFmt w:val="lowerLetter"/>
      <w:start w:val="10"/>
    </w:lvl>
  </w:abstractNum>
  <w:abstractNum w:abstractNumId="35">
    <w:nsid w:val="6DE91B18"/>
    <w:multiLevelType w:val="hybridMultilevel"/>
    <w:lvl w:ilvl="0">
      <w:lvlJc w:val="left"/>
      <w:lvlText w:val="(%1)"/>
      <w:numFmt w:val="upperLetter"/>
      <w:start w:val="1"/>
    </w:lvl>
  </w:abstractNum>
  <w:abstractNum w:abstractNumId="36">
    <w:nsid w:val="38437FDB"/>
    <w:multiLevelType w:val="hybridMultilevel"/>
    <w:lvl w:ilvl="0">
      <w:lvlJc w:val="left"/>
      <w:lvlText w:val="(%1)"/>
      <w:numFmt w:val="upperLetter"/>
      <w:start w:val="2"/>
    </w:lvl>
  </w:abstractNum>
  <w:abstractNum w:abstractNumId="37">
    <w:nsid w:val="7644A45C"/>
    <w:multiLevelType w:val="hybridMultilevel"/>
    <w:lvl w:ilvl="0">
      <w:lvlJc w:val="left"/>
      <w:lvlText w:val="(%1)"/>
      <w:numFmt w:val="lowerLetter"/>
      <w:start w:val="16"/>
    </w:lvl>
  </w:abstractNum>
  <w:abstractNum w:abstractNumId="38">
    <w:nsid w:val="32FFF902"/>
    <w:multiLevelType w:val="hybridMultilevel"/>
    <w:lvl w:ilvl="0">
      <w:lvlJc w:val="left"/>
      <w:lvlText w:val="(%1)"/>
      <w:numFmt w:val="lowerLetter"/>
      <w:start w:val="17"/>
    </w:lvl>
  </w:abstractNum>
  <w:abstractNum w:abstractNumId="39">
    <w:nsid w:val="684A481A"/>
    <w:multiLevelType w:val="hybridMultilevel"/>
    <w:lvl w:ilvl="0">
      <w:lvlJc w:val="left"/>
      <w:lvlText w:val="(%1)"/>
      <w:numFmt w:val="lowerLetter"/>
      <w:start w:val="21"/>
    </w:lvl>
  </w:abstractNum>
  <w:abstractNum w:abstractNumId="40">
    <w:nsid w:val="579478FE"/>
    <w:multiLevelType w:val="hybridMultilevel"/>
    <w:lvl w:ilvl="0">
      <w:lvlJc w:val="left"/>
      <w:lvlText w:val="%1"/>
      <w:numFmt w:val="lowerRoman"/>
      <w:start w:val="1"/>
    </w:lvl>
    <w:lvl w:ilvl="1">
      <w:lvlJc w:val="left"/>
      <w:lvlText w:val="(%2)"/>
      <w:numFmt w:val="lowerLetter"/>
      <w:start w:val="1"/>
    </w:lvl>
  </w:abstractNum>
  <w:abstractNum w:abstractNumId="41">
    <w:nsid w:val="749ABB43"/>
    <w:multiLevelType w:val="hybridMultilevel"/>
    <w:lvl w:ilvl="0">
      <w:lvlJc w:val="left"/>
      <w:lvlText w:val="%1"/>
      <w:numFmt w:val="lowerRoman"/>
      <w:start w:val="1"/>
    </w:lvl>
    <w:lvl w:ilvl="1">
      <w:lvlJc w:val="left"/>
      <w:lvlText w:val="(%2)"/>
      <w:numFmt w:val="lowerLetter"/>
      <w:start w:val="9"/>
    </w:lvl>
  </w:abstractNum>
  <w:abstractNum w:abstractNumId="42">
    <w:nsid w:val="3DC240FB"/>
    <w:multiLevelType w:val="hybridMultilevel"/>
    <w:lvl w:ilvl="0">
      <w:lvlJc w:val="left"/>
      <w:lvlText w:val="%1"/>
      <w:numFmt w:val="lowerRoman"/>
      <w:start w:val="1"/>
    </w:lvl>
    <w:lvl w:ilvl="1">
      <w:lvlJc w:val="left"/>
      <w:lvlText w:val="(%2)"/>
      <w:numFmt w:val="lowerLetter"/>
      <w:start w:val="35"/>
    </w:lvl>
  </w:abstractNum>
  <w:abstractNum w:abstractNumId="43">
    <w:nsid w:val="1BA026FA"/>
    <w:multiLevelType w:val="hybridMultilevel"/>
    <w:lvl w:ilvl="0">
      <w:lvlJc w:val="left"/>
      <w:lvlText w:val="%1"/>
      <w:numFmt w:val="lowerRoman"/>
      <w:start w:val="1"/>
    </w:lvl>
    <w:lvl w:ilvl="1">
      <w:lvlJc w:val="left"/>
      <w:lvlText w:val="(%2)"/>
      <w:numFmt w:val="lowerLetter"/>
      <w:start w:val="61"/>
    </w:lvl>
  </w:abstractNum>
  <w:abstractNum w:abstractNumId="44">
    <w:nsid w:val="79A1DEAA"/>
    <w:multiLevelType w:val="hybridMultilevel"/>
    <w:lvl w:ilvl="0">
      <w:lvlJc w:val="left"/>
      <w:lvlText w:val="(%1)"/>
      <w:numFmt w:val="lowerRoman"/>
      <w:start w:val="4"/>
    </w:lvl>
    <w:lvl w:ilvl="1">
      <w:lvlJc w:val="left"/>
      <w:lvlText w:val="%2"/>
      <w:numFmt w:val="lowerLetter"/>
      <w:start w:val="1"/>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1)"/>
      <w:numFmt w:val="lowerLetter"/>
      <w:start w:val="3"/>
    </w:lvl>
  </w:abstractNum>
  <w:abstractNum w:abstractNumId="49">
    <w:nsid w:val="374A3FE6"/>
    <w:multiLevelType w:val="hybridMultilevel"/>
    <w:lvl w:ilvl="0">
      <w:lvlJc w:val="left"/>
      <w:lvlText w:val="(%1)"/>
      <w:numFmt w:val="lowerLetter"/>
      <w:start w:val="5"/>
    </w:lvl>
  </w:abstractNum>
  <w:abstractNum w:abstractNumId="50">
    <w:nsid w:val="4F4EF005"/>
    <w:multiLevelType w:val="hybridMultilevel"/>
    <w:lvl w:ilvl="0">
      <w:lvlJc w:val="left"/>
      <w:lvlText w:val="(%1)"/>
      <w:numFmt w:val="lowerLetter"/>
      <w:start w:val="1"/>
    </w:lvl>
    <w:lvl w:ilvl="1">
      <w:lvlJc w:val="left"/>
      <w:lvlText w:val="(%2)"/>
      <w:numFmt w:val="lowerRoman"/>
      <w:start w:val="1"/>
    </w:lvl>
  </w:abstractNum>
  <w:abstractNum w:abstractNumId="51">
    <w:nsid w:val="23F9C13C"/>
    <w:multiLevelType w:val="hybridMultilevel"/>
    <w:lvl w:ilvl="0">
      <w:lvlJc w:val="left"/>
      <w:lvlText w:val="(%1)"/>
      <w:numFmt w:val="lowerRoman"/>
      <w:start w:val="2"/>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2"/>
    </w:lvl>
  </w:abstractNum>
  <w:abstractNum w:abstractNumId="54">
    <w:nsid w:val="39386575"/>
    <w:multiLevelType w:val="hybridMultilevel"/>
    <w:lvl w:ilvl="0">
      <w:lvlJc w:val="left"/>
      <w:lvlText w:val="(%1)"/>
      <w:numFmt w:val="lowerLetter"/>
      <w:start w:val="5"/>
    </w:lvl>
  </w:abstractNum>
  <w:abstractNum w:abstractNumId="55">
    <w:nsid w:val="1CF10FD8"/>
    <w:multiLevelType w:val="hybridMultilevel"/>
    <w:lvl w:ilvl="0">
      <w:lvlJc w:val="left"/>
      <w:lvlText w:val="(%1)"/>
      <w:numFmt w:val="lowerLetter"/>
      <w:start w:val="8"/>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2020-08-05T15:29:10Z</dcterms:created>
  <dcterms:modified xsi:type="dcterms:W3CDTF">2020-08-05T15:29:10Z</dcterms:modified>
</cp:coreProperties>
</file>