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UNITED STATES</w:t>
      </w:r>
    </w:p>
    <w:p>
      <w:pPr>
        <w:spacing w:after="0" w:line="30"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Washington, D.C. 20549</w:t>
      </w:r>
    </w:p>
    <w:p>
      <w:pPr>
        <w:spacing w:after="0" w:line="78"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SCHEDULE 14A</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(Rule 14a-101)</w:t>
      </w:r>
    </w:p>
    <w:p>
      <w:pPr>
        <w:spacing w:after="0" w:line="81"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INFORMATION REQUIRED IN PROXY STATEMENT</w:t>
      </w:r>
    </w:p>
    <w:p>
      <w:pPr>
        <w:spacing w:after="0" w:line="98"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SCHEDULE 14A INFORMATION</w:t>
      </w:r>
    </w:p>
    <w:p>
      <w:pPr>
        <w:spacing w:after="0" w:line="10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Securities Exchange Act of 1934</w:t>
      </w:r>
    </w:p>
    <w:p>
      <w:pPr>
        <w:spacing w:after="0" w:line="72" w:lineRule="exact"/>
        <w:rPr>
          <w:sz w:val="24"/>
          <w:szCs w:val="24"/>
          <w:color w:val="auto"/>
        </w:rPr>
      </w:pPr>
    </w:p>
    <w:p>
      <w:pPr>
        <w:ind w:left="120"/>
        <w:spacing w:after="0" w:line="161" w:lineRule="exact"/>
        <w:tabs>
          <w:tab w:leader="none" w:pos="29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36"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20" w:lineRule="exact"/>
        <w:rPr>
          <w:rFonts w:ascii="MS PGothic" w:cs="MS PGothic" w:eastAsia="MS PGothic" w:hAnsi="MS PGothic"/>
          <w:sz w:val="14"/>
          <w:szCs w:val="1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14a-6(e)(2))</w:t>
      </w:r>
    </w:p>
    <w:p>
      <w:pPr>
        <w:spacing w:after="0" w:line="125"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78"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ARROWHEAD PHARMACEUTICALS, INC.</w:t>
      </w:r>
    </w:p>
    <w:p>
      <w:pPr>
        <w:spacing w:after="0" w:line="53"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89"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21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30"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right="480" w:hanging="537"/>
        <w:spacing w:after="0" w:line="291"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365"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30" w:lineRule="exact"/>
        <w:rPr>
          <w:rFonts w:ascii="MS PGothic" w:cs="MS PGothic" w:eastAsia="MS PGothic" w:hAnsi="MS PGothic"/>
          <w:sz w:val="14"/>
          <w:szCs w:val="14"/>
          <w:color w:val="auto"/>
        </w:rPr>
      </w:pPr>
    </w:p>
    <w:p>
      <w:pPr>
        <w:ind w:left="680" w:hanging="564"/>
        <w:spacing w:after="0" w:line="291"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9"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-3444875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-3067685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-2587625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-2210435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-1833245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-864870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-487680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-110490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266065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386080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437515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226" w:right="55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215265</wp:posOffset>
            </wp:positionV>
            <wp:extent cx="6000750" cy="7715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77152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226314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31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To Be Held on Thursday, March 18, 2021</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line="258"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-1529080</wp:posOffset>
            </wp:positionV>
            <wp:extent cx="2802890" cy="5648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2890" cy="5648960"/>
                    </a:xfrm>
                    <a:prstGeom prst="rect">
                      <a:avLst/>
                    </a:prstGeom>
                    <a:noFill/>
                  </pic:spPr>
                </pic:pic>
              </a:graphicData>
            </a:graphic>
          </wp:anchor>
        </w:drawing>
      </w:r>
    </w:p>
    <w:p>
      <w:pPr>
        <w:spacing w:after="0" w:line="130" w:lineRule="exact"/>
        <w:rPr>
          <w:sz w:val="20"/>
          <w:szCs w:val="20"/>
          <w:color w:val="auto"/>
        </w:rPr>
      </w:pPr>
    </w:p>
    <w:p>
      <w:pPr>
        <w:ind w:left="220" w:right="80"/>
        <w:spacing w:after="0" w:line="275"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37" w:lineRule="exact"/>
        <w:rPr>
          <w:sz w:val="20"/>
          <w:szCs w:val="20"/>
          <w:color w:val="auto"/>
        </w:rPr>
      </w:pPr>
    </w:p>
    <w:p>
      <w:pPr>
        <w:jc w:val="both"/>
        <w:ind w:left="220" w:right="240"/>
        <w:spacing w:after="0" w:line="275"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18, 2021:</w:t>
      </w:r>
    </w:p>
    <w:p>
      <w:pPr>
        <w:spacing w:after="0" w:line="139" w:lineRule="exact"/>
        <w:rPr>
          <w:sz w:val="20"/>
          <w:szCs w:val="20"/>
          <w:color w:val="auto"/>
        </w:rPr>
      </w:pPr>
    </w:p>
    <w:p>
      <w:pPr>
        <w:ind w:left="220"/>
        <w:spacing w:after="0" w:line="261" w:lineRule="auto"/>
        <w:rPr>
          <w:sz w:val="20"/>
          <w:szCs w:val="20"/>
          <w:color w:val="auto"/>
        </w:rPr>
      </w:pPr>
      <w:r>
        <w:rPr>
          <w:rFonts w:ascii="Arial" w:cs="Arial" w:eastAsia="Arial" w:hAnsi="Arial"/>
          <w:sz w:val="16"/>
          <w:szCs w:val="16"/>
          <w:color w:val="auto"/>
        </w:rPr>
        <w:t>You may access the following proxy materials at www.proxyvote.com before the meeting and www.virtualshareholdermeeting.com/ARWR2021 during the meeting.</w:t>
      </w:r>
    </w:p>
    <w:p>
      <w:pPr>
        <w:spacing w:after="0" w:line="77" w:lineRule="exact"/>
        <w:rPr>
          <w:sz w:val="20"/>
          <w:szCs w:val="20"/>
          <w:color w:val="auto"/>
        </w:rPr>
      </w:pPr>
    </w:p>
    <w:p>
      <w:pPr>
        <w:ind w:left="340" w:hanging="143"/>
        <w:spacing w:after="0"/>
        <w:tabs>
          <w:tab w:leader="none" w:pos="3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Notice of the 2021 Annual Meeting of Stockholders;</w:t>
      </w:r>
    </w:p>
    <w:p>
      <w:pPr>
        <w:spacing w:after="0" w:line="126" w:lineRule="exact"/>
        <w:rPr>
          <w:rFonts w:ascii="Arial" w:cs="Arial" w:eastAsia="Arial" w:hAnsi="Arial"/>
          <w:sz w:val="16"/>
          <w:szCs w:val="16"/>
          <w:color w:val="0071CE"/>
        </w:rPr>
      </w:pPr>
    </w:p>
    <w:p>
      <w:pPr>
        <w:ind w:left="340" w:hanging="143"/>
        <w:spacing w:after="0"/>
        <w:tabs>
          <w:tab w:leader="none" w:pos="3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Company’s 2021 Proxy Statement;</w:t>
      </w:r>
    </w:p>
    <w:p>
      <w:pPr>
        <w:spacing w:after="0" w:line="126" w:lineRule="exact"/>
        <w:rPr>
          <w:rFonts w:ascii="Arial" w:cs="Arial" w:eastAsia="Arial" w:hAnsi="Arial"/>
          <w:sz w:val="16"/>
          <w:szCs w:val="16"/>
          <w:color w:val="0071CE"/>
        </w:rPr>
      </w:pPr>
    </w:p>
    <w:p>
      <w:pPr>
        <w:ind w:left="360" w:right="340" w:hanging="163"/>
        <w:spacing w:after="0" w:line="291" w:lineRule="auto"/>
        <w:tabs>
          <w:tab w:leader="none" w:pos="346" w:val="left"/>
        </w:tabs>
        <w:numPr>
          <w:ilvl w:val="0"/>
          <w:numId w:val="6"/>
        </w:numPr>
        <w:rPr>
          <w:rFonts w:ascii="Arial" w:cs="Arial" w:eastAsia="Arial" w:hAnsi="Arial"/>
          <w:sz w:val="16"/>
          <w:szCs w:val="16"/>
          <w:color w:val="0071CE"/>
        </w:rPr>
      </w:pPr>
      <w:r>
        <w:rPr>
          <w:rFonts w:ascii="Arial" w:cs="Arial" w:eastAsia="Arial" w:hAnsi="Arial"/>
          <w:sz w:val="16"/>
          <w:szCs w:val="16"/>
          <w:color w:val="auto"/>
        </w:rPr>
        <w:t>Company’s Annual Report on Form 10-K for the year ended September 30, 2020; and</w:t>
      </w:r>
    </w:p>
    <w:p>
      <w:pPr>
        <w:spacing w:after="0" w:line="53" w:lineRule="exact"/>
        <w:rPr>
          <w:rFonts w:ascii="Arial" w:cs="Arial" w:eastAsia="Arial" w:hAnsi="Arial"/>
          <w:sz w:val="16"/>
          <w:szCs w:val="16"/>
          <w:color w:val="0071CE"/>
        </w:rPr>
      </w:pPr>
    </w:p>
    <w:p>
      <w:pPr>
        <w:ind w:left="340" w:hanging="143"/>
        <w:spacing w:after="0"/>
        <w:tabs>
          <w:tab w:leader="none" w:pos="3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Form of Proxy Card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ARROWHEAD PHARMACEUTICALS, INC.:</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NOTICE IS HEREBY GIVEN that the 2021 Annual Meeting of Stockholders of Arrowhead Pharmaceuticals, Inc., a Delaware corporation (the “Company”), will be held on Thursday, March 18, 2021,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www.virtualshareholdermeeting.com/ARWR2021. Prior to the Annual Meeting, you will be able to vote at www.proxyvote.com for the purpose of considering and voting upon the following proposals:</w:t>
      </w:r>
    </w:p>
    <w:p>
      <w:pPr>
        <w:spacing w:after="0" w:line="34" w:lineRule="exact"/>
        <w:rPr>
          <w:sz w:val="20"/>
          <w:szCs w:val="20"/>
          <w:color w:val="auto"/>
        </w:rPr>
      </w:pPr>
    </w:p>
    <w:p>
      <w:pPr>
        <w:ind w:left="320" w:right="100" w:hanging="320"/>
        <w:spacing w:after="0" w:line="269"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seven directors named in the Proxy Statement to serve as members of the Company’s Board of Directors until the next Annual Meeting or until their successors are elected;</w:t>
      </w:r>
    </w:p>
    <w:p>
      <w:pPr>
        <w:spacing w:after="0" w:line="1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2.</w:t>
        <w:tab/>
        <w:t>To conduct an advisory (non-binding) vote to approve executive compensation;</w:t>
      </w:r>
    </w:p>
    <w:p>
      <w:pPr>
        <w:spacing w:after="0" w:line="73" w:lineRule="exact"/>
        <w:rPr>
          <w:sz w:val="20"/>
          <w:szCs w:val="20"/>
          <w:color w:val="auto"/>
        </w:rPr>
      </w:pPr>
    </w:p>
    <w:p>
      <w:pPr>
        <w:ind w:left="300" w:hanging="300"/>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Arrowhead Pharmaceuticals, Inc. 2021 Incentive Plan; and</w:t>
      </w:r>
    </w:p>
    <w:p>
      <w:pPr>
        <w:spacing w:after="0" w:line="72" w:lineRule="exact"/>
        <w:rPr>
          <w:rFonts w:ascii="Arial" w:cs="Arial" w:eastAsia="Arial" w:hAnsi="Arial"/>
          <w:sz w:val="16"/>
          <w:szCs w:val="16"/>
          <w:color w:val="auto"/>
        </w:rPr>
      </w:pPr>
    </w:p>
    <w:p>
      <w:pPr>
        <w:ind w:left="320" w:right="40" w:hanging="320"/>
        <w:spacing w:after="0" w:line="291"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2021;</w:t>
      </w:r>
    </w:p>
    <w:p>
      <w:pPr>
        <w:spacing w:after="0" w:line="2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Proposal No. 1 relates solely to the election of the seven directors nominated by the Board of Directors and does not include any other matters relating to the election of directors, including, without limitation, the election of directors nominated by any stockholder of the Company.</w:t>
      </w:r>
    </w:p>
    <w:p>
      <w:pPr>
        <w:spacing w:after="0" w:line="54"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www.virtualshareholdermeeting.com/ARWR2021. We anticipate that on or about January 27, 2021, we will mail our stockholders a Notice Regarding the Availability of Proxy Materials (the “Notice of Internet Availability”) containing instructions on how to access our 2021 Proxy Statement and 2020 Annual Report on Form 10-K and to vote online. You will need to have your 16-digit Control Number included on your Notice of Internet Availability or your proxy card (if you received a printed copy of the proxy materials) to join the Annual Meeting.</w:t>
      </w:r>
    </w:p>
    <w:p>
      <w:pPr>
        <w:spacing w:after="0" w:line="6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 Each stockholder may appoint only one proxy holder to attend the Annual Meeting on his or her behalf. Please note, however, that if your shares are held of record by a broker, bank or other nominee and you wish to vote at the meeting, you must obtain a proxy issued in your name from that record holder.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spacing w:after="0"/>
              <w:rPr>
                <w:sz w:val="20"/>
                <w:szCs w:val="20"/>
                <w:color w:val="auto"/>
              </w:rPr>
            </w:pPr>
            <w:r>
              <w:rPr>
                <w:rFonts w:ascii="Arial" w:cs="Arial" w:eastAsia="Arial" w:hAnsi="Arial"/>
                <w:sz w:val="16"/>
                <w:szCs w:val="16"/>
                <w:color w:val="auto"/>
              </w:rPr>
              <w:t>/s/ Patrick O’Brien</w:t>
            </w:r>
          </w:p>
        </w:tc>
        <w:tc>
          <w:tcPr>
            <w:tcW w:w="2440" w:type="dxa"/>
            <w:vAlign w:val="bottom"/>
          </w:tcPr>
          <w:p>
            <w:pPr>
              <w:spacing w:after="0"/>
              <w:rPr>
                <w:sz w:val="16"/>
                <w:szCs w:val="16"/>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b w:val="1"/>
                <w:bCs w:val="1"/>
                <w:color w:val="auto"/>
              </w:rPr>
              <w:t>Patrick O’Brien</w:t>
            </w:r>
          </w:p>
        </w:tc>
        <w:tc>
          <w:tcPr>
            <w:tcW w:w="2440" w:type="dxa"/>
            <w:vAlign w:val="bottom"/>
          </w:tcPr>
          <w:p>
            <w:pPr>
              <w:ind w:left="940"/>
              <w:spacing w:after="0"/>
              <w:rPr>
                <w:sz w:val="20"/>
                <w:szCs w:val="20"/>
                <w:color w:val="auto"/>
              </w:rPr>
            </w:pPr>
            <w:r>
              <w:rPr>
                <w:rFonts w:ascii="Arial" w:cs="Arial" w:eastAsia="Arial" w:hAnsi="Arial"/>
                <w:sz w:val="16"/>
                <w:szCs w:val="16"/>
                <w:color w:val="auto"/>
                <w:w w:val="99"/>
              </w:rPr>
              <w:t>Pasadena, California</w:t>
            </w:r>
          </w:p>
        </w:tc>
      </w:tr>
      <w:tr>
        <w:trPr>
          <w:trHeight w:val="230"/>
        </w:trPr>
        <w:tc>
          <w:tcPr>
            <w:tcW w:w="2240" w:type="dxa"/>
            <w:vAlign w:val="bottom"/>
          </w:tcPr>
          <w:p>
            <w:pPr>
              <w:spacing w:after="0"/>
              <w:rPr>
                <w:sz w:val="20"/>
                <w:szCs w:val="20"/>
                <w:color w:val="auto"/>
              </w:rPr>
            </w:pPr>
            <w:r>
              <w:rPr>
                <w:rFonts w:ascii="Arial" w:cs="Arial" w:eastAsia="Arial" w:hAnsi="Arial"/>
                <w:sz w:val="16"/>
                <w:szCs w:val="16"/>
                <w:i w:val="1"/>
                <w:iCs w:val="1"/>
                <w:color w:val="auto"/>
              </w:rPr>
              <w:t>Secretary</w:t>
            </w:r>
          </w:p>
        </w:tc>
        <w:tc>
          <w:tcPr>
            <w:tcW w:w="2440" w:type="dxa"/>
            <w:vAlign w:val="bottom"/>
          </w:tcPr>
          <w:p>
            <w:pPr>
              <w:ind w:left="940"/>
              <w:spacing w:after="0"/>
              <w:rPr>
                <w:sz w:val="20"/>
                <w:szCs w:val="20"/>
                <w:color w:val="auto"/>
              </w:rPr>
            </w:pPr>
            <w:r>
              <w:rPr>
                <w:rFonts w:ascii="Arial" w:cs="Arial" w:eastAsia="Arial" w:hAnsi="Arial"/>
                <w:sz w:val="16"/>
                <w:szCs w:val="16"/>
                <w:color w:val="auto"/>
              </w:rPr>
              <w:t>January 27, 2021</w:t>
            </w:r>
          </w:p>
        </w:tc>
      </w:tr>
    </w:tbl>
    <w:p>
      <w:pPr>
        <w:spacing w:after="0" w:line="200" w:lineRule="exact"/>
        <w:rPr>
          <w:sz w:val="20"/>
          <w:szCs w:val="20"/>
          <w:color w:val="auto"/>
        </w:rPr>
      </w:pPr>
    </w:p>
    <w:p>
      <w:pPr>
        <w:sectPr>
          <w:pgSz w:w="11900" w:h="16838" w:orient="portrait"/>
          <w:cols w:equalWidth="0" w:num="2">
            <w:col w:w="4480" w:space="280"/>
            <w:col w:w="6340"/>
          </w:cols>
          <w:pgMar w:left="320" w:top="455" w:right="479" w:bottom="1440" w:gutter="0" w:footer="0" w:header="0"/>
          <w:type w:val="continuous"/>
        </w:sectPr>
      </w:pPr>
    </w:p>
    <w:p>
      <w:pPr>
        <w:spacing w:after="0" w:line="146" w:lineRule="exact"/>
        <w:rPr>
          <w:sz w:val="20"/>
          <w:szCs w:val="20"/>
          <w:color w:val="auto"/>
        </w:rPr>
      </w:pPr>
    </w:p>
    <w:p>
      <w:pPr>
        <w:jc w:val="center"/>
        <w:ind w:right="-13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6"/>
          <w:szCs w:val="16"/>
          <w:b w:val="1"/>
          <w:bCs w:val="1"/>
          <w:color w:val="4C4C4C"/>
        </w:rPr>
        <w:t>Arrowhead Pharmaceuticals, Inc.</w:t>
      </w:r>
      <w:r>
        <w:rPr>
          <w:sz w:val="20"/>
          <w:szCs w:val="20"/>
          <w:color w:val="auto"/>
        </w:rPr>
        <w:tab/>
      </w:r>
      <w:r>
        <w:rPr>
          <w:rFonts w:ascii="Times New Roman" w:cs="Times New Roman" w:eastAsia="Times New Roman" w:hAnsi="Times New Roman"/>
          <w:sz w:val="16"/>
          <w:szCs w:val="16"/>
          <w:color w:val="0071CE"/>
        </w:rPr>
        <w:t>●</w:t>
      </w:r>
      <w:r>
        <w:rPr>
          <w:sz w:val="20"/>
          <w:szCs w:val="20"/>
          <w:color w:val="auto"/>
        </w:rPr>
        <w:tab/>
      </w:r>
      <w:r>
        <w:rPr>
          <w:rFonts w:ascii="Arial" w:cs="Arial" w:eastAsia="Arial" w:hAnsi="Arial"/>
          <w:sz w:val="16"/>
          <w:szCs w:val="16"/>
          <w:b w:val="1"/>
          <w:bCs w:val="1"/>
          <w:color w:val="4C4C4C"/>
        </w:rPr>
        <w:t>177 E. Colorado Blvd., Suite 700</w:t>
      </w:r>
      <w:r>
        <w:rPr>
          <w:sz w:val="20"/>
          <w:szCs w:val="20"/>
          <w:color w:val="auto"/>
        </w:rPr>
        <w:tab/>
      </w:r>
      <w:r>
        <w:rPr>
          <w:rFonts w:ascii="Times New Roman" w:cs="Times New Roman" w:eastAsia="Times New Roman" w:hAnsi="Times New Roman"/>
          <w:sz w:val="16"/>
          <w:szCs w:val="16"/>
          <w:color w:val="0071CE"/>
        </w:rPr>
        <w:t>●</w:t>
      </w:r>
      <w:r>
        <w:rPr>
          <w:sz w:val="20"/>
          <w:szCs w:val="20"/>
          <w:color w:val="auto"/>
        </w:rPr>
        <w:tab/>
      </w:r>
      <w:r>
        <w:rPr>
          <w:rFonts w:ascii="Arial" w:cs="Arial" w:eastAsia="Arial" w:hAnsi="Arial"/>
          <w:sz w:val="16"/>
          <w:szCs w:val="16"/>
          <w:b w:val="1"/>
          <w:bCs w:val="1"/>
          <w:color w:val="4C4C4C"/>
        </w:rPr>
        <w:t>Pasadena, California 91105</w:t>
      </w:r>
    </w:p>
    <w:p>
      <w:pPr>
        <w:sectPr>
          <w:pgSz w:w="11900" w:h="16838" w:orient="portrait"/>
          <w:cols w:equalWidth="0" w:num="1">
            <w:col w:w="11100"/>
          </w:cols>
          <w:pgMar w:left="320" w:top="455" w:right="47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9720" w:type="dxa"/>
            <w:vAlign w:val="bottom"/>
          </w:tcPr>
          <w:p>
            <w:pPr>
              <w:ind w:left="7880"/>
              <w:spacing w:after="0"/>
              <w:rPr>
                <w:sz w:val="20"/>
                <w:szCs w:val="20"/>
                <w:color w:val="auto"/>
              </w:rPr>
            </w:pPr>
            <w:r>
              <w:rPr>
                <w:rFonts w:ascii="Arial" w:cs="Arial" w:eastAsia="Arial" w:hAnsi="Arial"/>
                <w:sz w:val="14"/>
                <w:szCs w:val="14"/>
                <w:b w:val="1"/>
                <w:bCs w:val="1"/>
                <w:color w:val="0071CE"/>
              </w:rPr>
              <w:t>2021 PROXY STATEMENT</w:t>
            </w:r>
          </w:p>
        </w:tc>
        <w:tc>
          <w:tcPr>
            <w:tcW w:w="1300" w:type="dxa"/>
            <w:vAlign w:val="bottom"/>
          </w:tcPr>
          <w:p>
            <w:pPr>
              <w:jc w:val="right"/>
              <w:spacing w:after="0"/>
              <w:rPr>
                <w:sz w:val="20"/>
                <w:szCs w:val="20"/>
                <w:color w:val="auto"/>
              </w:rPr>
            </w:pPr>
            <w:r>
              <w:rPr>
                <w:rFonts w:ascii="Arial" w:cs="Arial" w:eastAsia="Arial" w:hAnsi="Arial"/>
                <w:sz w:val="14"/>
                <w:szCs w:val="14"/>
                <w:b w:val="1"/>
                <w:bCs w:val="1"/>
                <w:i w:val="1"/>
                <w:iCs w:val="1"/>
                <w:color w:val="3FAE2A"/>
              </w:rPr>
              <w:t>Table of Contents</w:t>
            </w:r>
          </w:p>
        </w:tc>
      </w:tr>
      <w:tr>
        <w:trPr>
          <w:trHeight w:val="582"/>
        </w:trPr>
        <w:tc>
          <w:tcPr>
            <w:tcW w:w="9720" w:type="dxa"/>
            <w:vAlign w:val="bottom"/>
          </w:tcPr>
          <w:p>
            <w:pPr>
              <w:spacing w:after="0"/>
              <w:rPr>
                <w:sz w:val="20"/>
                <w:szCs w:val="20"/>
                <w:color w:val="auto"/>
              </w:rPr>
            </w:pPr>
            <w:r>
              <w:rPr>
                <w:rFonts w:ascii="Arial" w:cs="Arial" w:eastAsia="Arial" w:hAnsi="Arial"/>
                <w:sz w:val="36"/>
                <w:szCs w:val="36"/>
                <w:b w:val="1"/>
                <w:bCs w:val="1"/>
                <w:color w:val="0071CE"/>
              </w:rPr>
              <w:t>Table of Contents</w:t>
            </w:r>
          </w:p>
        </w:tc>
        <w:tc>
          <w:tcPr>
            <w:tcW w:w="1300" w:type="dxa"/>
            <w:vAlign w:val="bottom"/>
          </w:tcPr>
          <w:p>
            <w:pPr>
              <w:spacing w:after="0"/>
              <w:rPr>
                <w:sz w:val="24"/>
                <w:szCs w:val="24"/>
                <w:color w:val="auto"/>
              </w:rPr>
            </w:pPr>
          </w:p>
        </w:tc>
      </w:tr>
      <w:tr>
        <w:trPr>
          <w:trHeight w:val="553"/>
        </w:trPr>
        <w:tc>
          <w:tcPr>
            <w:tcW w:w="972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General Information Concerning Solicitation and Voting</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w:t>
            </w:r>
          </w:p>
        </w:tc>
      </w:tr>
      <w:tr>
        <w:trPr>
          <w:trHeight w:val="237"/>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Record Date</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w:t>
            </w:r>
          </w:p>
        </w:tc>
      </w:tr>
      <w:tr>
        <w:trPr>
          <w:trHeight w:val="243"/>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Revocability of Proxies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w:t>
            </w:r>
          </w:p>
        </w:tc>
      </w:tr>
      <w:tr>
        <w:trPr>
          <w:trHeight w:val="243"/>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Voting and Solicitation</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243"/>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Quorum; Abstentions; Broker Non-Votes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243"/>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Deadline for Receipt of Stockholder Proposals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371"/>
        </w:trPr>
        <w:tc>
          <w:tcPr>
            <w:tcW w:w="972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Proposal One — Election of Directors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w:t>
            </w:r>
          </w:p>
        </w:tc>
      </w:tr>
      <w:tr>
        <w:trPr>
          <w:trHeight w:val="237"/>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12">
              <w:r>
                <w:rPr>
                  <w:rFonts w:ascii="Arial" w:cs="Arial" w:eastAsia="Arial" w:hAnsi="Arial"/>
                  <w:sz w:val="16"/>
                  <w:szCs w:val="16"/>
                  <w:b w:val="1"/>
                  <w:bCs w:val="1"/>
                  <w:u w:val="single" w:color="auto"/>
                  <w:color w:val="0000EE"/>
                </w:rPr>
                <w:t>Board Composition and Nominating Process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8</w:t>
            </w:r>
          </w:p>
        </w:tc>
      </w:tr>
      <w:tr>
        <w:trPr>
          <w:trHeight w:val="243"/>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12">
              <w:r>
                <w:rPr>
                  <w:rFonts w:ascii="Arial" w:cs="Arial" w:eastAsia="Arial" w:hAnsi="Arial"/>
                  <w:sz w:val="16"/>
                  <w:szCs w:val="16"/>
                  <w:b w:val="1"/>
                  <w:bCs w:val="1"/>
                  <w:u w:val="single" w:color="auto"/>
                  <w:color w:val="0000EE"/>
                </w:rPr>
                <w:t>Corporate Governance Policies and Practices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8</w:t>
            </w:r>
          </w:p>
        </w:tc>
      </w:tr>
      <w:tr>
        <w:trPr>
          <w:trHeight w:val="243"/>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13">
              <w:r>
                <w:rPr>
                  <w:rFonts w:ascii="Arial" w:cs="Arial" w:eastAsia="Arial" w:hAnsi="Arial"/>
                  <w:sz w:val="16"/>
                  <w:szCs w:val="16"/>
                  <w:b w:val="1"/>
                  <w:bCs w:val="1"/>
                  <w:u w:val="single" w:color="auto"/>
                  <w:color w:val="0000EE"/>
                </w:rPr>
                <w:t>Stockholder Communications with Directors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9</w:t>
            </w:r>
          </w:p>
        </w:tc>
      </w:tr>
      <w:tr>
        <w:trPr>
          <w:trHeight w:val="243"/>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13">
              <w:r>
                <w:rPr>
                  <w:rFonts w:ascii="Arial" w:cs="Arial" w:eastAsia="Arial" w:hAnsi="Arial"/>
                  <w:sz w:val="16"/>
                  <w:szCs w:val="16"/>
                  <w:b w:val="1"/>
                  <w:bCs w:val="1"/>
                  <w:u w:val="single" w:color="auto"/>
                  <w:color w:val="0000EE"/>
                </w:rPr>
                <w:t>Board Meetings and Committees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9</w:t>
            </w:r>
          </w:p>
        </w:tc>
      </w:tr>
      <w:tr>
        <w:trPr>
          <w:trHeight w:val="370"/>
        </w:trPr>
        <w:tc>
          <w:tcPr>
            <w:tcW w:w="9720" w:type="dxa"/>
            <w:vAlign w:val="bottom"/>
          </w:tcPr>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Director Compensation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11</w:t>
            </w:r>
          </w:p>
        </w:tc>
      </w:tr>
      <w:tr>
        <w:trPr>
          <w:trHeight w:val="365"/>
        </w:trPr>
        <w:tc>
          <w:tcPr>
            <w:tcW w:w="9720" w:type="dxa"/>
            <w:vAlign w:val="bottom"/>
          </w:tcPr>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Proposal Two — Advisory Vote to Approve Executive Compensation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12</w:t>
            </w:r>
          </w:p>
        </w:tc>
      </w:tr>
      <w:tr>
        <w:trPr>
          <w:trHeight w:val="364"/>
        </w:trPr>
        <w:tc>
          <w:tcPr>
            <w:tcW w:w="9720" w:type="dxa"/>
            <w:vAlign w:val="bottom"/>
          </w:tcPr>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Proposal Three — Approval of the Arrowhead Pharmaceuticals, Inc. 2021 Incentive Plan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13</w:t>
            </w:r>
          </w:p>
        </w:tc>
      </w:tr>
      <w:tr>
        <w:trPr>
          <w:trHeight w:val="364"/>
        </w:trPr>
        <w:tc>
          <w:tcPr>
            <w:tcW w:w="972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Executive Compensation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19</w:t>
            </w:r>
          </w:p>
        </w:tc>
      </w:tr>
      <w:tr>
        <w:trPr>
          <w:trHeight w:val="237"/>
        </w:trPr>
        <w:tc>
          <w:tcPr>
            <w:tcW w:w="9720" w:type="dxa"/>
            <w:vAlign w:val="bottom"/>
          </w:tcPr>
          <w:p>
            <w:pPr>
              <w:ind w:left="60"/>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Compensation Discussion and Analysis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19</w:t>
            </w:r>
          </w:p>
        </w:tc>
      </w:tr>
      <w:tr>
        <w:trPr>
          <w:trHeight w:val="235"/>
        </w:trPr>
        <w:tc>
          <w:tcPr>
            <w:tcW w:w="9720" w:type="dxa"/>
            <w:vAlign w:val="bottom"/>
          </w:tcPr>
          <w:p>
            <w:pPr>
              <w:ind w:left="22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Our Company</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Business Development</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Platform</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Pipeline</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Executive Compensation Philosophy</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Executive Compensation Program Design</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Governance of Executive Compensation Program</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Individual Compensation Elements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Employment Arrangements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Post-Employment Compensation Arrangements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Other Compensation Policies and Practices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Tax and Accounting Considerations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9720" w:type="dxa"/>
            <w:vAlign w:val="bottom"/>
          </w:tcPr>
          <w:p>
            <w:pPr>
              <w:ind w:left="22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Compensation Risk Assessment</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78"/>
        </w:trPr>
        <w:tc>
          <w:tcPr>
            <w:tcW w:w="972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Compensation Tables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39</w:t>
            </w:r>
          </w:p>
        </w:tc>
      </w:tr>
      <w:tr>
        <w:trPr>
          <w:trHeight w:val="364"/>
        </w:trPr>
        <w:tc>
          <w:tcPr>
            <w:tcW w:w="9720" w:type="dxa"/>
            <w:vAlign w:val="bottom"/>
          </w:tcPr>
          <w:p>
            <w:pPr>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Proposal Four — Ratification of Appointment of Independent Auditors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46</w:t>
            </w:r>
          </w:p>
        </w:tc>
      </w:tr>
      <w:tr>
        <w:trPr>
          <w:trHeight w:val="365"/>
        </w:trPr>
        <w:tc>
          <w:tcPr>
            <w:tcW w:w="9720" w:type="dxa"/>
            <w:vAlign w:val="bottom"/>
          </w:tcPr>
          <w:p>
            <w:pPr>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Audit Fees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47</w:t>
            </w:r>
          </w:p>
        </w:tc>
      </w:tr>
      <w:tr>
        <w:trPr>
          <w:trHeight w:val="365"/>
        </w:trPr>
        <w:tc>
          <w:tcPr>
            <w:tcW w:w="9720" w:type="dxa"/>
            <w:vAlign w:val="bottom"/>
          </w:tcPr>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Report of the Audit Committee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48</w:t>
            </w:r>
          </w:p>
        </w:tc>
      </w:tr>
      <w:tr>
        <w:trPr>
          <w:trHeight w:val="365"/>
        </w:trPr>
        <w:tc>
          <w:tcPr>
            <w:tcW w:w="9720" w:type="dxa"/>
            <w:vAlign w:val="bottom"/>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Voting Securities of Principal Stockholders and Management</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49</w:t>
            </w:r>
          </w:p>
        </w:tc>
      </w:tr>
      <w:tr>
        <w:trPr>
          <w:trHeight w:val="365"/>
        </w:trPr>
        <w:tc>
          <w:tcPr>
            <w:tcW w:w="9720" w:type="dxa"/>
            <w:vAlign w:val="bottom"/>
          </w:tcPr>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Equity Compensation Plan Information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50</w:t>
            </w:r>
          </w:p>
        </w:tc>
      </w:tr>
      <w:tr>
        <w:trPr>
          <w:trHeight w:val="364"/>
        </w:trPr>
        <w:tc>
          <w:tcPr>
            <w:tcW w:w="9720" w:type="dxa"/>
            <w:vAlign w:val="bottom"/>
          </w:tcPr>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Review and Approval of Related-Party Transactions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52</w:t>
            </w:r>
          </w:p>
        </w:tc>
      </w:tr>
      <w:tr>
        <w:trPr>
          <w:trHeight w:val="365"/>
        </w:trPr>
        <w:tc>
          <w:tcPr>
            <w:tcW w:w="9720" w:type="dxa"/>
            <w:vAlign w:val="bottom"/>
          </w:tcPr>
          <w:p>
            <w:pPr>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Certain Relationships and Related Transactions, and Director Independence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53</w:t>
            </w:r>
          </w:p>
        </w:tc>
      </w:tr>
      <w:tr>
        <w:trPr>
          <w:trHeight w:val="364"/>
        </w:trPr>
        <w:tc>
          <w:tcPr>
            <w:tcW w:w="9720" w:type="dxa"/>
            <w:vAlign w:val="bottom"/>
          </w:tcPr>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Exhibit A — Arrowhead Pharmaceuticals, Inc. 2021 Incentive Plan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112395</wp:posOffset>
            </wp:positionV>
            <wp:extent cx="98615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420"/>
        <w:spacing w:after="0"/>
        <w:tabs>
          <w:tab w:leader="none" w:pos="73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ARROWHEAD PHARMACEUTICALS,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177 E. Colorado Blvd., Suite 700</w:t>
      </w:r>
    </w:p>
    <w:p>
      <w:pPr>
        <w:jc w:val="center"/>
        <w:ind w:right="-119"/>
        <w:spacing w:after="0" w:line="234" w:lineRule="auto"/>
        <w:rPr>
          <w:sz w:val="20"/>
          <w:szCs w:val="20"/>
          <w:color w:val="auto"/>
        </w:rPr>
      </w:pPr>
      <w:r>
        <w:rPr>
          <w:rFonts w:ascii="Arial" w:cs="Arial" w:eastAsia="Arial" w:hAnsi="Arial"/>
          <w:sz w:val="18"/>
          <w:szCs w:val="18"/>
          <w:b w:val="1"/>
          <w:bCs w:val="1"/>
          <w:color w:val="auto"/>
        </w:rPr>
        <w:t>Pasadena, California 91105</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071CE"/>
        </w:rPr>
        <w:t>PROXY STATEMENT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0071CE"/>
        </w:rPr>
        <w:t>FOR ANNUAL MEETING OF STOCKHOLDERS</w:t>
      </w:r>
    </w:p>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4C4C4C"/>
        </w:rPr>
        <w:t>To be held on Thursday,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356"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2021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Thursday, March 18, 2021 at 10:00 a.m., Pacific time, and at any adjournment(s) or postponement(s)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This year’s meeting will be a completely “virtual” meeting of stockholders. If you were a stockholder as of the close of business on the Record Date (as defined below), you can attend the Annual Meeting online, vote your shares electronically, and submit your questions and view our list of stockholders as of the Record Date during the Annual Meeting, by visiting www.virtualshareholdermeeting.com/ARWR2021. You will need to have your 16-digit Control Number included on your Notice Regarding the Availability of Proxy Materials (the “Notice of Internet Availability”) or your proxy card (if you received a printed copy of the proxy materials) to join the Annual Meeting. The meeting webcast will begin promptly at 10:00 a.m. Pacific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w:t>
      </w:r>
    </w:p>
    <w:p>
      <w:pPr>
        <w:spacing w:after="0" w:line="184"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6"/>
          <w:szCs w:val="16"/>
          <w:color w:val="auto"/>
        </w:rPr>
        <w:t>We will endeavor to answer as many stockholder-submitted questions as time permits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spacing w:after="0" w:line="1" w:lineRule="exact"/>
        <w:rPr>
          <w:sz w:val="20"/>
          <w:szCs w:val="20"/>
          <w:color w:val="auto"/>
        </w:rPr>
      </w:pPr>
    </w:p>
    <w:p>
      <w:pPr>
        <w:ind w:left="120" w:right="240"/>
        <w:spacing w:after="0" w:line="265" w:lineRule="auto"/>
        <w:rPr>
          <w:sz w:val="20"/>
          <w:szCs w:val="20"/>
          <w:color w:val="auto"/>
        </w:rPr>
      </w:pPr>
      <w:r>
        <w:rPr>
          <w:rFonts w:ascii="Arial" w:cs="Arial" w:eastAsia="Arial" w:hAnsi="Arial"/>
          <w:sz w:val="16"/>
          <w:szCs w:val="16"/>
          <w:color w:val="auto"/>
        </w:rPr>
        <w:t>Additional information regarding the rules and procedures for participating in the Annual Meeting will be set forth in our meeting rules of conduct, which stockholders can view during the meeting at the meeting website.</w:t>
      </w:r>
    </w:p>
    <w:p>
      <w:pPr>
        <w:spacing w:after="0" w:line="168" w:lineRule="exact"/>
        <w:rPr>
          <w:sz w:val="20"/>
          <w:szCs w:val="20"/>
          <w:color w:val="auto"/>
        </w:rPr>
      </w:pPr>
    </w:p>
    <w:p>
      <w:pPr>
        <w:ind w:left="120" w:right="360"/>
        <w:spacing w:after="0" w:line="274" w:lineRule="auto"/>
        <w:rPr>
          <w:sz w:val="20"/>
          <w:szCs w:val="20"/>
          <w:color w:val="auto"/>
        </w:rPr>
      </w:pPr>
      <w:r>
        <w:rPr>
          <w:rFonts w:ascii="Arial" w:cs="Arial" w:eastAsia="Arial" w:hAnsi="Arial"/>
          <w:sz w:val="16"/>
          <w:szCs w:val="16"/>
          <w:color w:val="auto"/>
        </w:rPr>
        <w:t>By hosting the Annual Meeting virtually, we believe we are able to expand access, improve communication and lower costs while reducing the environmental impact of the meeting. This approach also provides for the health and safety of our stockholders and employees in light of the evolving public health and safety considerations posed by the ongoing coronavirus (“</w:t>
      </w:r>
      <w:r>
        <w:rPr>
          <w:rFonts w:ascii="Arial" w:cs="Arial" w:eastAsia="Arial" w:hAnsi="Arial"/>
          <w:sz w:val="16"/>
          <w:szCs w:val="16"/>
          <w:b w:val="1"/>
          <w:bCs w:val="1"/>
          <w:color w:val="auto"/>
        </w:rPr>
        <w:t>COVID-19</w:t>
      </w:r>
      <w:r>
        <w:rPr>
          <w:rFonts w:ascii="Arial" w:cs="Arial" w:eastAsia="Arial" w:hAnsi="Arial"/>
          <w:sz w:val="16"/>
          <w:szCs w:val="16"/>
          <w:color w:val="auto"/>
        </w:rPr>
        <w:t>”) pandemic.</w:t>
      </w:r>
    </w:p>
    <w:p>
      <w:pPr>
        <w:spacing w:after="0" w:line="153"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auto"/>
        </w:rPr>
        <w:t>The Company anticipates that the Notice of Internet Availability in connection with these proxy solicitation materials will first be mailed on or about January 27, 2021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8" w:lineRule="exact"/>
        <w:rPr>
          <w:sz w:val="20"/>
          <w:szCs w:val="20"/>
          <w:color w:val="auto"/>
        </w:rPr>
      </w:pPr>
    </w:p>
    <w:p>
      <w:pPr>
        <w:ind w:left="120" w:right="20"/>
        <w:spacing w:after="0" w:line="304" w:lineRule="auto"/>
        <w:rPr>
          <w:sz w:val="20"/>
          <w:szCs w:val="20"/>
          <w:color w:val="auto"/>
        </w:rPr>
      </w:pPr>
      <w:r>
        <w:rPr>
          <w:rFonts w:ascii="Arial" w:cs="Arial" w:eastAsia="Arial" w:hAnsi="Arial"/>
          <w:sz w:val="16"/>
          <w:szCs w:val="16"/>
          <w:color w:val="auto"/>
        </w:rPr>
        <w:t>Only holders of record of our common stock at the close of business on January 25, 2021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103,789,410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7" w:lineRule="exact"/>
        <w:rPr>
          <w:sz w:val="20"/>
          <w:szCs w:val="20"/>
          <w:color w:val="auto"/>
        </w:rPr>
      </w:pPr>
    </w:p>
    <w:p>
      <w:pPr>
        <w:jc w:val="both"/>
        <w:ind w:left="120" w:right="80"/>
        <w:spacing w:after="0" w:line="261"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electronically. Stockholders may also revoke their proxy by entering a new vote over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77470</wp:posOffset>
            </wp:positionV>
            <wp:extent cx="9861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1"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0071CE"/>
        </w:rPr>
        <w:t>1</w:t>
      </w:r>
    </w:p>
    <w:p>
      <w:pPr>
        <w:sectPr>
          <w:pgSz w:w="11900" w:h="16838" w:orient="portrait"/>
          <w:cols w:equalWidth="0" w:num="1">
            <w:col w:w="11140"/>
          </w:cols>
          <w:pgMar w:left="32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the Proposals 1, 2, 3 and 4 and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will not be able to attend the Annual Meeting to vote, you may vote your shares via the Internet or by telephone or by mail as set forth in the Notice.</w:t>
      </w:r>
    </w:p>
    <w:p>
      <w:pPr>
        <w:spacing w:after="0" w:line="221" w:lineRule="exact"/>
        <w:rPr>
          <w:sz w:val="20"/>
          <w:szCs w:val="20"/>
          <w:color w:val="auto"/>
        </w:rPr>
      </w:pPr>
    </w:p>
    <w:p>
      <w:pPr>
        <w:jc w:val="both"/>
        <w:ind w:left="120" w:right="300"/>
        <w:spacing w:after="0" w:line="261" w:lineRule="auto"/>
        <w:rPr>
          <w:sz w:val="20"/>
          <w:szCs w:val="20"/>
          <w:color w:val="auto"/>
        </w:rPr>
      </w:pPr>
      <w:r>
        <w:rPr>
          <w:rFonts w:ascii="Arial" w:cs="Arial" w:eastAsia="Arial" w:hAnsi="Arial"/>
          <w:sz w:val="16"/>
          <w:szCs w:val="16"/>
          <w:color w:val="auto"/>
        </w:rPr>
        <w:t>The Company has engaged a proxy solicitor, Alliance Advisors, LLC, to encourage voting by our stockholders. It is estimated that the total cost for the solicitation campaign will be approximately $10,000.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72"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In accordance with the rules of the New York Stock Exchange, banks, brokerage firms and other nominees who hold Arrowhead shares in street name for their customers have authority to vote on “routine” proposals when they have not received instructions from beneficial owners. However, banks, brokerage firms and other nominees are precluded from exercising their voting discretion with respect to non-routine matters.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regard to the election of directors, votes may be cast “FOR,” “AGAINST” or “ABSTAIN” for each director nominee. Because directors are elected by</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majority of votes cast in an uncontested election, abstentions from voting and broker non-votes will be excluded from the vote and will have no effect 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its outcome. If a quorum is present at the meeting, the nominees receiving more “FOR” votes than “AGAINST” votes will be elected. Abstentions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broker non-votes will be excluded from the vote and will have no effect on its outcome. Because Proposal Nos. 2, 3 and 4 must be approved by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affirmative vote of a majority of the shares of Common Stock entitled to vote thereon and present in person or by proxy at the Annual Meeting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Vote</w:t>
      </w:r>
      <w:r>
        <w:rPr>
          <w:rFonts w:ascii="Arial" w:cs="Arial" w:eastAsia="Arial" w:hAnsi="Arial"/>
          <w:sz w:val="16"/>
          <w:szCs w:val="16"/>
          <w:color w:val="auto"/>
        </w:rPr>
        <w:t>”), abstentions will be counted in tabulations of the votes cast on each such proposal and will have the same effect as a vote against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proposal, whereas broker non-votes will be excluded from the vote and will have no effect on its outcome.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Deadline for Receipt of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5" w:lineRule="exact"/>
        <w:rPr>
          <w:sz w:val="20"/>
          <w:szCs w:val="20"/>
          <w:color w:val="auto"/>
        </w:rPr>
      </w:pPr>
    </w:p>
    <w:p>
      <w:pPr>
        <w:ind w:left="120" w:right="380"/>
        <w:spacing w:after="0" w:line="270"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2022 Annual Meeting of Stockholders must ensure that the proposal is received by the Corporate Secretary at Arrowhead Pharmaceuticals, Inc., 177 E. Colorado Blvd., 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73025</wp:posOffset>
            </wp:positionV>
            <wp:extent cx="98615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420"/>
        <w:spacing w:after="0"/>
        <w:tabs>
          <w:tab w:leader="none" w:pos="73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47"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auto"/>
        </w:rPr>
        <w:t>Pasadena, CA 91105, not later than our close of business on September 29, 2021, in order to be considered for inclusion in our proxy materials for that meeting; provided, however, that if the Company’s 2022 Annual Meeting of Stockholders is held before February 16, 2022 or after April 17, 2022, you must provide specified information to us a reasonable time before we begin to print and send our proxy statement for our 2022 Annual Meeting. Proposals received after the specified dates may be excluded from the Company’s proxy statement.</w:t>
      </w:r>
    </w:p>
    <w:p>
      <w:pPr>
        <w:spacing w:after="0" w:line="170"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Additionally, our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xml:space="preserve">”)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2021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2022 Annual Meeting date is advanced by more than 30 days before or delayed by more than 60 days after the anniversary date of the 2021 Annual Meeting, then stockholders must provide notice within time periods specified in our Bylaws. Our Bylaws also specify requirements as to the form and content of a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79375</wp:posOffset>
            </wp:positionV>
            <wp:extent cx="98615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4"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0071CE"/>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25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Board has nominated the following seven persons as directors to serve until the 2022 Annual Meeting and until their successors have been duly elected. Each of the nominees is currently a director of Arrowhead. None of the nominees is related by blood, marriage or adoption to any other nominee or any executive officer of the Company. The nominees receiving more “FOR” votes than “AGAINST” votes at the Annual Meeting will be elected to the seven director positions. Unless otherwise instructed, the proxy holders will vote the proxies received by them for the seven nominees named below. Under Delaware law, a director not receiving a majority of votes cast in an uncontested election would continue to serve as a director as a “holdover director” until the director resigns or is replaced. Under the Company’s director resignation policy, a director who is not reelected by a majority of the votes cast in an uncontested election will be required to tender his or her resignation to the Board, and the Board will then decide whether to accept or reject the resignation, or whether other action is required. Although we have no reason to believe this will occur, if any nominee is unable or declines to serve as director at the time of the Annual Meeting, the proxies will be voted for any nominee who is designated by our present Board to fill the vacancy or, alternatively, the Board may reduce its size. The table below sets forth, with respect to each nominee for election, the nominee’s age and current position with Arrowhead.</w:t>
      </w:r>
    </w:p>
    <w:p>
      <w:pPr>
        <w:spacing w:after="0" w:line="176" w:lineRule="exact"/>
        <w:rPr>
          <w:sz w:val="20"/>
          <w:szCs w:val="20"/>
          <w:color w:val="auto"/>
        </w:rPr>
      </w:pPr>
    </w:p>
    <w:p>
      <w:pPr>
        <w:ind w:left="120" w:right="200"/>
        <w:spacing w:after="0" w:line="294"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w:t>
      </w:r>
      <w:r>
        <w:rPr>
          <w:rFonts w:ascii="Arial" w:cs="Arial" w:eastAsia="Arial" w:hAnsi="Arial"/>
          <w:sz w:val="16"/>
          <w:szCs w:val="16"/>
          <w:b w:val="1"/>
          <w:bCs w:val="1"/>
          <w:color w:val="0071CE"/>
        </w:rPr>
        <w:t xml:space="preserve"> </w:t>
      </w:r>
      <w:r>
        <w:rPr>
          <w:rFonts w:ascii="Arial" w:cs="Arial" w:eastAsia="Arial" w:hAnsi="Arial"/>
          <w:sz w:val="16"/>
          <w:szCs w:val="16"/>
          <w:color w:val="000000"/>
        </w:rPr>
        <w:t>the Company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120650</wp:posOffset>
            </wp:positionV>
            <wp:extent cx="3505835"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05835" cy="39433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71CE"/>
        </w:rPr>
        <w:t>Douglass Given, MD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Chairman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340" w:hanging="143"/>
        <w:spacing w:after="0"/>
        <w:tabs>
          <w:tab w:leader="none" w:pos="340" w:val="left"/>
        </w:tabs>
        <w:numPr>
          <w:ilvl w:val="0"/>
          <w:numId w:val="9"/>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520" w:right="3060"/>
        <w:spacing w:after="0" w:line="304" w:lineRule="auto"/>
        <w:rPr>
          <w:sz w:val="20"/>
          <w:szCs w:val="20"/>
          <w:color w:val="auto"/>
        </w:rPr>
      </w:pPr>
      <w:r>
        <w:rPr>
          <w:rFonts w:ascii="Arial" w:cs="Arial" w:eastAsia="Arial" w:hAnsi="Arial"/>
          <w:sz w:val="16"/>
          <w:szCs w:val="16"/>
          <w:b w:val="1"/>
          <w:bCs w:val="1"/>
          <w:color w:val="auto"/>
        </w:rPr>
        <w:t xml:space="preserve">OUR BOARD UNANIMOUSLY RECOMMENDS A VOTE </w:t>
      </w:r>
      <w:r>
        <w:rPr>
          <w:rFonts w:ascii="Arial" w:cs="Arial" w:eastAsia="Arial" w:hAnsi="Arial"/>
          <w:sz w:val="16"/>
          <w:szCs w:val="16"/>
          <w:b w:val="1"/>
          <w:bCs w:val="1"/>
          <w:color w:val="0071CE"/>
        </w:rPr>
        <w:t xml:space="preserve">“FOR” </w:t>
      </w:r>
      <w:r>
        <w:rPr>
          <w:rFonts w:ascii="Arial" w:cs="Arial" w:eastAsia="Arial" w:hAnsi="Arial"/>
          <w:sz w:val="16"/>
          <w:szCs w:val="16"/>
          <w:b w:val="1"/>
          <w:bCs w:val="1"/>
          <w:color w:val="000000"/>
        </w:rPr>
        <w:t>EACH OF THE NOMINEES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Dr. Given is Chairman of the Board. He has been a director of the Company since 2010. Doug is Managing Partner at Health2047 Capital Partners LLC, a healthcare-focused venture capital firm. He served as Health2047 Inc.’s Chief Executive from its founding in August of 2015 until January 2018. Previously, Doug spent more than a decade in venture capital as an Investment Partner and General Partner at life sciences investor Bay City Capital LLC participating in five sequential life sciences general funds and two sector-specific funds; he was associated with the partnership from 1999 to 2015. A physician and medical scientist by background, Doug has been a global corporate and operating executive at Lilly, Monsanto, Schering Plough and Mallinckrodt and a serial entrepreneur, as well as a venture capitalist. In addition to a number of private companies, he led three public biotechnology and biopharmaceutical companies as CEO.</w:t>
      </w:r>
    </w:p>
    <w:p>
      <w:pPr>
        <w:spacing w:after="0" w:line="9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Dr. Given has served on more than 20 public and private boards. He is currently a Director at Health2047 Inc., board Chair at Akiri Inc., Managing Partner at G5 Partners LLC, and serves on the board at First Mile Care Inc. and Vivaldi Biosciences Inc. He serves on advisory boards at the University of Chicago Medicine, Johns Hopkins Bloomberg School of Public Health, Stanford Medicine, Stanford Institute for Economic Policy Research (SIEPR), and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4894580" cy="866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4580" cy="866140"/>
                    </a:xfrm>
                    <a:prstGeom prst="rect">
                      <a:avLst/>
                    </a:prstGeom>
                    <a:noFill/>
                  </pic:spPr>
                </pic:pic>
              </a:graphicData>
            </a:graphic>
          </wp:anchor>
        </w:drawing>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Dr. Given’s qualifications to serve on the Board include his extensive experience as a physician scientist, in finance and business transactions, particularly investments in the life sciences industry, as well as directorship roles in biopharmaceutical companies. Dr. Given also has had significant leadership roles, including CEO of several biotech companies and Senior Vice President, at several large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48260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151130</wp:posOffset>
            </wp:positionV>
            <wp:extent cx="98615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00"/>
          </w:cols>
          <w:pgMar w:left="320" w:top="455" w:right="459" w:bottom="1440" w:gutter="0" w:footer="0" w:header="0"/>
          <w:type w:val="continuous"/>
        </w:sectPr>
      </w:pP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71CE"/>
        </w:rPr>
        <w:t>4</w:t>
      </w:r>
    </w:p>
    <w:p>
      <w:pPr>
        <w:sectPr>
          <w:pgSz w:w="11900" w:h="16838" w:orient="portrait"/>
          <w:cols w:equalWidth="0" w:num="1">
            <w:col w:w="11120"/>
          </w:cols>
          <w:pgMar w:left="320" w:top="455" w:right="459" w:bottom="1440" w:gutter="0" w:footer="0" w:header="0"/>
          <w:type w:val="continuous"/>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Michael S. Perry, DVM</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Lead Director</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340" w:hanging="143"/>
        <w:spacing w:after="0"/>
        <w:tabs>
          <w:tab w:leader="none" w:pos="3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Compensation Committee (Chair)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7" w:lineRule="exact"/>
        <w:rPr>
          <w:sz w:val="20"/>
          <w:szCs w:val="20"/>
          <w:color w:val="auto"/>
        </w:rPr>
      </w:pPr>
    </w:p>
    <w:p>
      <w:pPr>
        <w:ind w:left="340" w:hanging="143"/>
        <w:spacing w:after="0"/>
        <w:tabs>
          <w:tab w:leader="none" w:pos="34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Avita Medical, Inc.</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Gamida Cell Ltd.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right"/>
        <w:spacing w:after="0"/>
        <w:tabs>
          <w:tab w:leader="none" w:pos="256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Dr. Perry has been Chief Executive Officer and President of Avita Medical Ltd., a regenerative medicine company based in Valencia, CA (ASX: AVH and OTCQX: AVMXY), since 2017, and also currently is Managing Director of Bioscience Managers, a global Venture Capital firm. From 2014 – 2017, Dr. Perry served as Chief Scientific Officer of Novartis’ Cell and Gene Therapy Unit, and from 2012 – 2014 he served as Vice President and Global Head of Stem Cell Therapy for Novartis Pharmaceuticals Corp, a US affiliate of Switzerland-based Novartis AG, a global pharmaceutical company. Dr. Perry is a former member of the board of directors of Ampliphi Bioscience Corp. Dr. Perry has previously served as the Global Head of R&amp;D at Baxter Healthcare, President and CEO of Cell &amp; Gene Therapy at Novartis affiliates Systemix Inc. and Genetic Therapy, Inc., VP Regulatory Affairs at Sandoz Pharmaceuticals Corp. and Syntex Corp, Director of Regulatory Affairs at Schering-Plough Corporation, and Chairman, CEO or CMO at several early stage biotech companies. He also previously served as a Venture Partner with Bay City Capital, LLC, based in San Francisco, California. Dr. Perry holds a Doctor of Veterinary Medicine, a PhD in Biomedical Pharmacology, and a B.Sc. in Physics from the University of Guelph, Ontario, Canada. He is a graduate of the International Advanced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4894580" cy="626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94580" cy="626110"/>
                    </a:xfrm>
                    <a:prstGeom prst="rect">
                      <a:avLst/>
                    </a:prstGeom>
                    <a:noFill/>
                  </pic:spPr>
                </pic:pic>
              </a:graphicData>
            </a:graphic>
          </wp:anchor>
        </w:drawing>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220" w:right="240"/>
        <w:spacing w:after="0" w:line="256"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45085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660"/>
            <w:col w:w="7720"/>
          </w:cols>
          <w:pgMar w:left="320" w:top="455" w:right="439" w:bottom="1440" w:gutter="0" w:footer="0" w:header="0"/>
          <w:type w:val="continuous"/>
        </w:sect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Christopher Anzalone, PhD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0071CE"/>
        </w:rPr>
        <w:t>Chief Executive Officer, President &amp; Director</w:t>
      </w:r>
    </w:p>
    <w:p>
      <w:pPr>
        <w:sectPr>
          <w:pgSz w:w="11900" w:h="16838" w:orient="portrait"/>
          <w:cols w:equalWidth="0" w:num="1">
            <w:col w:w="11140"/>
          </w:cols>
          <w:pgMar w:left="320" w:top="455" w:right="439" w:bottom="1440" w:gutter="0" w:footer="0" w:header="0"/>
          <w:type w:val="continuous"/>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4894580" cy="625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220" w:right="480"/>
        <w:spacing w:after="0" w:line="256"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45085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147955</wp:posOffset>
            </wp:positionV>
            <wp:extent cx="98615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20"/>
          </w:cols>
          <w:pgMar w:left="320" w:top="455" w:right="439" w:bottom="1440" w:gutter="0" w:footer="0" w:header="0"/>
          <w:type w:val="continuous"/>
        </w:sectPr>
      </w:pPr>
    </w:p>
    <w:p>
      <w:pPr>
        <w:spacing w:after="0" w:line="62" w:lineRule="exact"/>
        <w:rPr>
          <w:sz w:val="20"/>
          <w:szCs w:val="20"/>
          <w:color w:val="auto"/>
        </w:rPr>
      </w:pPr>
    </w:p>
    <w:p>
      <w:pPr>
        <w:ind w:left="10980"/>
        <w:spacing w:after="0"/>
        <w:rPr>
          <w:sz w:val="20"/>
          <w:szCs w:val="20"/>
          <w:color w:val="auto"/>
        </w:rPr>
      </w:pPr>
      <w:r>
        <w:rPr>
          <w:rFonts w:ascii="Arial" w:cs="Arial" w:eastAsia="Arial" w:hAnsi="Arial"/>
          <w:sz w:val="17"/>
          <w:szCs w:val="17"/>
          <w:b w:val="1"/>
          <w:bCs w:val="1"/>
          <w:color w:val="0071CE"/>
        </w:rPr>
        <w:t>5</w:t>
      </w:r>
    </w:p>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120"/>
          </w:cols>
          <w:pgMar w:left="320" w:top="455" w:right="459" w:bottom="1440" w:gutter="0" w:footer="0" w:header="0"/>
        </w:sectPr>
      </w:pPr>
    </w:p>
    <w:p>
      <w:pPr>
        <w:spacing w:after="0" w:line="128"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71CE"/>
        </w:rPr>
        <w:t>Marianne De Backer, PhD, MBA</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340" w:hanging="143"/>
        <w:spacing w:after="0"/>
        <w:tabs>
          <w:tab w:leader="none" w:pos="3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Nominating Committee (Chair)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7" w:lineRule="exact"/>
        <w:rPr>
          <w:sz w:val="20"/>
          <w:szCs w:val="20"/>
          <w:color w:val="auto"/>
        </w:rPr>
      </w:pPr>
    </w:p>
    <w:p>
      <w:pPr>
        <w:ind w:left="340" w:hanging="143"/>
        <w:spacing w:after="0"/>
        <w:tabs>
          <w:tab w:leader="none" w:pos="34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Kronos Bio,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Dr. De Backer brings over 25 years of experience in healthcare, biotechnology, innovation, strategy, business and corporate development. She has served as member of the Executive Committee, Executive Vice President and Head of Strategy, Business Development and Licensing of Bayer AG (BAYRY) Pharmaceuticals division since 2019. She is also on the board of directors of Gladstone Foundation and as an advisory member on the Stanford-Bayer Digital advisory board. Previously, from 1991 through 2018, she was at Johnson &amp; Johnson where she most recently held global Business and Corporate Development roles including the position of Vice President of M&amp;A Operations and Divestitures globally for the Pharmaceuticals Group and head of Infectious Diseases &amp; Vaccines Business Development. Prior to that she led a commercial business unit in Europe as well as drug discovery research in both Europe and the United States. Dr. De Backer holds an MBA from Erasmus University Rotterdam, a Master’s degree in Molecular Biology and Biotechnology from Vrije Universiteit Brussels, and a Master’s degree in Engineering and a PhD in Biotechnology from Ghent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4894580" cy="625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jc w:val="both"/>
        <w:ind w:left="220" w:right="840"/>
        <w:spacing w:after="0" w:line="256" w:lineRule="auto"/>
        <w:rPr>
          <w:sz w:val="20"/>
          <w:szCs w:val="20"/>
          <w:color w:val="auto"/>
        </w:rPr>
      </w:pPr>
      <w:r>
        <w:rPr>
          <w:rFonts w:ascii="Arial" w:cs="Arial" w:eastAsia="Arial" w:hAnsi="Arial"/>
          <w:sz w:val="16"/>
          <w:szCs w:val="16"/>
          <w:color w:val="auto"/>
        </w:rPr>
        <w:t>Dr. De Backer’s qualifications to serve on the Board include her extensive background in the biopharmaceutical industry, her scientific, drug development, and pharmaceutical transaction experience, as well as her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45085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80"/>
            <w:col w:w="7700"/>
          </w:cols>
          <w:pgMar w:left="320" w:top="455" w:right="459" w:bottom="1440" w:gutter="0" w:footer="0" w:header="0"/>
          <w:type w:val="continuous"/>
        </w:sect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Mauro Ferrari, PhD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340" w:hanging="143"/>
        <w:spacing w:after="0"/>
        <w:tabs>
          <w:tab w:leader="none" w:pos="3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Science Committee (Co-chair)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Dr. Ferrari currently serves as Affiliate Professor of Pharmaceutics at the University of Washington in Seattle, WA and CEO of DXT Pharmaceutics in Menlo Park, CA. From 2010 to 2019, Dr. Ferrari was President and CEO of The Houston Methodist Hospital Research Institute (TMHRI), Executive Vice President of Houston Methodist Hospital and Senior Associate Dean of Weill Cornell Medical College in New York. He also served as President of the European Research Council. Dr. Ferrari is an internationally recognized expert in nanomedicine and biomedical nanotechnology. Dr. Ferrari was formerly Professor and Chairman of The Department of NanoMedicine and Biomedical Engineering at The University of Texas Health Science Center at 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his graduate Alma Mater UC Berkeley, and The Ohio State University. From 2003 to 2005, Dr. Ferrari served as Special Expert on Nanotechnology and Eminent Scholar at The National Cancer Institute, where he led in the development of NCI’s program in Nanotechnology, which remains the largest program in NanoMedicine in the world. Dr. Ferrari has been serving as the Editor-in-Chief for “Biomedical Microdevices: BioMEMS and Biomedical Nanotechnology” since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4894580" cy="985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94580" cy="985520"/>
                    </a:xfrm>
                    <a:prstGeom prst="rect">
                      <a:avLst/>
                    </a:prstGeom>
                    <a:noFill/>
                  </pic:spPr>
                </pic:pic>
              </a:graphicData>
            </a:graphic>
          </wp:anchor>
        </w:drawing>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Dr. Ferrari’s qualifications to serve on the Board include his extensive training and experience in the fields of nanotechnology, biotechnology and biomedical applications. Dr. Ferrari has significant technical training, several academic appointments, over 300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48895</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151765</wp:posOffset>
            </wp:positionV>
            <wp:extent cx="98615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00"/>
          </w:cols>
          <w:pgMar w:left="320" w:top="455" w:right="459" w:bottom="1440" w:gutter="0" w:footer="0" w:header="0"/>
          <w:type w:val="continuous"/>
        </w:sectPr>
      </w:pPr>
    </w:p>
    <w:p>
      <w:pPr>
        <w:spacing w:after="0" w:line="6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71CE"/>
        </w:rPr>
        <w:t>6</w:t>
      </w:r>
    </w:p>
    <w:p>
      <w:pPr>
        <w:sectPr>
          <w:pgSz w:w="11900" w:h="16838" w:orient="portrait"/>
          <w:cols w:equalWidth="0" w:num="1">
            <w:col w:w="11120"/>
          </w:cols>
          <w:pgMar w:left="320" w:top="455" w:right="459" w:bottom="1440" w:gutter="0" w:footer="0" w:header="0"/>
          <w:type w:val="continuous"/>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Oye Olukotun, MD, MPH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76</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340" w:hanging="143"/>
        <w:spacing w:after="0"/>
        <w:tabs>
          <w:tab w:leader="none" w:pos="3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Science Committee (Co-chair)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7" w:lineRule="exact"/>
        <w:rPr>
          <w:sz w:val="20"/>
          <w:szCs w:val="20"/>
          <w:color w:val="auto"/>
        </w:rPr>
      </w:pPr>
    </w:p>
    <w:p>
      <w:pPr>
        <w:ind w:left="340" w:hanging="143"/>
        <w:spacing w:after="0"/>
        <w:tabs>
          <w:tab w:leader="none" w:pos="3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Tonix Pharmaceuticals Holding Corp.</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right"/>
        <w:spacing w:after="0"/>
        <w:tabs>
          <w:tab w:leader="none" w:pos="256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Dr. Olukotun is a Mayo Clinic trained cardiologist who has served as Chief Executive Officer of CR Strategies, LLC, which consults on clinical trial design and FDA strategy for pharmaceutical development , since 2001. He served as CEO of Epigen Pharmaceuticals, Inc., a discovery phase biotechnology company, from 2014 to 2017, and Vice Chairman of CardioVax, Inc., a clinical-stage biopharmaceutical company, from 2012 to 2016. He spent the first 20 years of his career in roles of increasing responsibility in clinical development, including multiple product approvals, at Pfizer, Bristol-Myers Squibb, and Mallinckrodt. He has over 35 years of experience in the pharmaceutical industry and has been instrumental in the approval and success of numerous cardiology and metabolic medicines, including the first daily beta blocker and the first approved ACE inhibitor, among others. Dr. Olukotun received his Medical Doctor degree from the Albert Einstein College of Medicine in New York, and a Masters in Public Health from Harvard University School of Public Health. Dr. Olukotun was recommended as a director by our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4894580" cy="625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220" w:right="140"/>
        <w:spacing w:after="0" w:line="256" w:lineRule="auto"/>
        <w:rPr>
          <w:sz w:val="20"/>
          <w:szCs w:val="20"/>
          <w:color w:val="auto"/>
        </w:rPr>
      </w:pPr>
      <w:r>
        <w:rPr>
          <w:rFonts w:ascii="Arial" w:cs="Arial" w:eastAsia="Arial" w:hAnsi="Arial"/>
          <w:sz w:val="16"/>
          <w:szCs w:val="16"/>
          <w:color w:val="auto"/>
        </w:rPr>
        <w:t>Dr. Olukotun’s qualifications to serve on the Board include his extensive background in biopharmaceutical development, particularly in the cardiometabolic field, his scientific and public health expertise, and his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45085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420"/>
            <w:col w:w="7720"/>
          </w:cols>
          <w:pgMar w:left="320" w:top="455" w:right="439" w:bottom="1440" w:gutter="0" w:footer="0" w:header="0"/>
          <w:type w:val="continuous"/>
        </w:sect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1CE"/>
        </w:rPr>
        <w:t>William Waddill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340" w:hanging="143"/>
        <w:spacing w:after="0"/>
        <w:tabs>
          <w:tab w:leader="none" w:pos="3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Audit Committee (Chair)</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5" w:lineRule="exact"/>
        <w:rPr>
          <w:rFonts w:ascii="Arial" w:cs="Arial" w:eastAsia="Arial" w:hAnsi="Arial"/>
          <w:sz w:val="16"/>
          <w:szCs w:val="16"/>
          <w:color w:val="0071CE"/>
        </w:rPr>
      </w:pPr>
    </w:p>
    <w:p>
      <w:pPr>
        <w:ind w:left="340" w:hanging="143"/>
        <w:spacing w:after="0"/>
        <w:tabs>
          <w:tab w:leader="none" w:pos="3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Public Company Boards:</w:t>
      </w:r>
    </w:p>
    <w:p>
      <w:pPr>
        <w:spacing w:after="0" w:line="27" w:lineRule="exact"/>
        <w:rPr>
          <w:sz w:val="20"/>
          <w:szCs w:val="20"/>
          <w:color w:val="auto"/>
        </w:rPr>
      </w:pPr>
    </w:p>
    <w:p>
      <w:pPr>
        <w:ind w:left="340" w:hanging="143"/>
        <w:spacing w:after="0"/>
        <w:tabs>
          <w:tab w:leader="none" w:pos="3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Protagonist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Mr. Waddill began his career 30 years ago in commercial banking and public accounting and has been in the biotechnology industry for over 25 years. Since 2016, he has served on the board of Protagonist Therapeutics, a Newark, CA clinical stage biopharmaceutical company and most recently was Senior Vice President and CFO of Calithera Bioscience, a clinical stage pharmaceutical company from 2014 to 2016. Prior to Calithera, Mr. Waddill was Senior Vice President and CFO at OncoMed Pharmaceuticals from 2007 to 2014. Mr. Waddill served as the Senior Vice President and CFO of Ilypsa, Inc., a biotechnology company that was acquired in 2007 by Amgen, Inc. Before joining Ilypsa, he served as the founder and principal at Square One Finance, a financial consulting business, and Mr. Waddill served as Senior Director of Finance and Administration at Exelixis, Inc., a biotechnology company. 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4894580" cy="625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94580" cy="625475"/>
                    </a:xfrm>
                    <a:prstGeom prst="rect">
                      <a:avLst/>
                    </a:prstGeom>
                    <a:noFill/>
                  </pic:spPr>
                </pic:pic>
              </a:graphicData>
            </a:graphic>
          </wp:anchor>
        </w:drawing>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220" w:right="200"/>
        <w:spacing w:after="0" w:line="256"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45085</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147955</wp:posOffset>
            </wp:positionV>
            <wp:extent cx="9861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20"/>
          </w:cols>
          <w:pgMar w:left="320" w:top="455" w:right="439" w:bottom="1440" w:gutter="0" w:footer="0" w:header="0"/>
          <w:type w:val="continuous"/>
        </w:sectPr>
      </w:pPr>
    </w:p>
    <w:p>
      <w:pPr>
        <w:spacing w:after="0" w:line="62" w:lineRule="exact"/>
        <w:rPr>
          <w:sz w:val="20"/>
          <w:szCs w:val="20"/>
          <w:color w:val="auto"/>
        </w:rPr>
      </w:pPr>
    </w:p>
    <w:p>
      <w:pPr>
        <w:ind w:left="10980"/>
        <w:spacing w:after="0"/>
        <w:rPr>
          <w:sz w:val="20"/>
          <w:szCs w:val="20"/>
          <w:color w:val="auto"/>
        </w:rPr>
      </w:pPr>
      <w:r>
        <w:rPr>
          <w:rFonts w:ascii="Arial" w:cs="Arial" w:eastAsia="Arial" w:hAnsi="Arial"/>
          <w:sz w:val="17"/>
          <w:szCs w:val="17"/>
          <w:b w:val="1"/>
          <w:bCs w:val="1"/>
          <w:color w:val="0071CE"/>
        </w:rPr>
        <w:t>7</w:t>
      </w:r>
    </w:p>
    <w:p>
      <w:pPr>
        <w:sectPr>
          <w:pgSz w:w="11900" w:h="16838" w:orient="portrait"/>
          <w:cols w:equalWidth="0" w:num="1">
            <w:col w:w="11140"/>
          </w:cols>
          <w:pgMar w:left="320" w:top="455" w:right="4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Nominating Committee of the Board annually considers the size, composition and needs of the Board and, as appropriate, recommends the nominees for directors to the Board for approval. The Committee considers and evaluates suggestions from many sources regarding possible candidates for directors. Below are general criteria for the evaluation of current and proposed directors:</w:t>
      </w:r>
    </w:p>
    <w:p>
      <w:pPr>
        <w:spacing w:after="0" w:line="70" w:lineRule="exact"/>
        <w:rPr>
          <w:sz w:val="20"/>
          <w:szCs w:val="20"/>
          <w:color w:val="auto"/>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The highest ethical character and shared values with our Code of Corporate Conduct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Accomplishment within candidate’s field, with superior credentials and recognition</w:t>
      </w:r>
    </w:p>
    <w:p>
      <w:pPr>
        <w:spacing w:after="0" w:line="126" w:lineRule="exact"/>
        <w:rPr>
          <w:rFonts w:ascii="Arial" w:cs="Arial" w:eastAsia="Arial" w:hAnsi="Arial"/>
          <w:sz w:val="16"/>
          <w:szCs w:val="16"/>
          <w:color w:val="0071CE"/>
        </w:rPr>
      </w:pPr>
    </w:p>
    <w:p>
      <w:pPr>
        <w:ind w:left="440" w:right="780" w:hanging="216"/>
        <w:spacing w:after="0" w:line="291" w:lineRule="auto"/>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Relevant expertise and experience and the ability to offer advice and guidance to the Chief Executive Officer based on such expertise and experience</w:t>
      </w:r>
    </w:p>
    <w:p>
      <w:pPr>
        <w:spacing w:after="0" w:line="53" w:lineRule="exact"/>
        <w:rPr>
          <w:rFonts w:ascii="Arial" w:cs="Arial" w:eastAsia="Arial" w:hAnsi="Arial"/>
          <w:sz w:val="16"/>
          <w:szCs w:val="16"/>
          <w:color w:val="0071CE"/>
        </w:rPr>
      </w:pPr>
    </w:p>
    <w:p>
      <w:pPr>
        <w:ind w:left="440" w:right="320" w:hanging="216"/>
        <w:spacing w:after="0" w:line="291" w:lineRule="auto"/>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Ability to exercise sound business judgment</w:t>
      </w:r>
    </w:p>
    <w:p>
      <w:pPr>
        <w:spacing w:after="0" w:line="126" w:lineRule="exact"/>
        <w:rPr>
          <w:rFonts w:ascii="Arial" w:cs="Arial" w:eastAsia="Arial" w:hAnsi="Arial"/>
          <w:sz w:val="16"/>
          <w:szCs w:val="16"/>
          <w:color w:val="0071CE"/>
        </w:rPr>
      </w:pPr>
    </w:p>
    <w:p>
      <w:pPr>
        <w:ind w:left="440" w:right="20" w:hanging="216"/>
        <w:spacing w:after="0" w:line="291" w:lineRule="auto"/>
        <w:tabs>
          <w:tab w:leader="none" w:pos="4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Diversity, reflecting differences in skills, regional and industry experience, backgrounds, ages, and other unique characteristics, such as race, gender and ethnicity</w:t>
      </w:r>
    </w:p>
    <w:p>
      <w:pPr>
        <w:spacing w:after="0" w:line="148"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auto"/>
        </w:rPr>
        <w:t>The Committee believes that the Board should represent a diverse mix of skills, regional and industry experience, backgrounds, ages and other unique characteristics, such as race, gender and ethnicity. In furtherance of this goal, the Committee is committed to actively seeking out highly qualified diverse candidates (including women and minority candidates) to include in the pool from which Board nominees are chosen. Currently, one of the Company’s directors self-identifies as Black and one self-identifies as female.</w:t>
      </w:r>
    </w:p>
    <w:p>
      <w:pPr>
        <w:spacing w:after="0" w:line="172"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Additionally, the Committee considers the mix of skills and experience among current and prospective directors with a goal of assembling a Board with complementary skills for the benefit of the Company. Listed below are the relevant contributions of each current board member.</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344"/>
        </w:trPr>
        <w:tc>
          <w:tcPr>
            <w:tcW w:w="2680" w:type="dxa"/>
            <w:vAlign w:val="bottom"/>
            <w:tcBorders>
              <w:bottom w:val="single" w:sz="8" w:color="0071CE"/>
            </w:tcBorders>
            <w:shd w:val="clear" w:color="auto" w:fill="0071CE"/>
          </w:tcPr>
          <w:p>
            <w:pPr>
              <w:ind w:left="80"/>
              <w:spacing w:after="0"/>
              <w:rPr>
                <w:sz w:val="20"/>
                <w:szCs w:val="20"/>
                <w:color w:val="auto"/>
              </w:rPr>
            </w:pPr>
            <w:r>
              <w:rPr>
                <w:rFonts w:ascii="Arial" w:cs="Arial" w:eastAsia="Arial" w:hAnsi="Arial"/>
                <w:sz w:val="14"/>
                <w:szCs w:val="14"/>
                <w:b w:val="1"/>
                <w:bCs w:val="1"/>
                <w:color w:val="FFFFFF"/>
              </w:rPr>
              <w:t>Expertise</w:t>
            </w:r>
          </w:p>
        </w:tc>
        <w:tc>
          <w:tcPr>
            <w:tcW w:w="5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Given</w:t>
            </w:r>
          </w:p>
        </w:tc>
        <w:tc>
          <w:tcPr>
            <w:tcW w:w="4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7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Anzalone</w:t>
            </w:r>
          </w:p>
        </w:tc>
        <w:tc>
          <w:tcPr>
            <w:tcW w:w="8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De Backer</w:t>
            </w:r>
          </w:p>
        </w:tc>
        <w:tc>
          <w:tcPr>
            <w:tcW w:w="5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Ferrari</w:t>
            </w:r>
          </w:p>
        </w:tc>
        <w:tc>
          <w:tcPr>
            <w:tcW w:w="7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Olukotun</w:t>
            </w:r>
          </w:p>
        </w:tc>
        <w:tc>
          <w:tcPr>
            <w:tcW w:w="6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Waddill</w:t>
            </w:r>
          </w:p>
        </w:tc>
        <w:tc>
          <w:tcPr>
            <w:tcW w:w="2740" w:type="dxa"/>
            <w:vAlign w:val="bottom"/>
            <w:vMerge w:val="restart"/>
          </w:tcPr>
          <w:p>
            <w:pPr>
              <w:ind w:left="1400"/>
              <w:spacing w:after="0"/>
              <w:rPr>
                <w:sz w:val="20"/>
                <w:szCs w:val="20"/>
                <w:color w:val="auto"/>
              </w:rPr>
            </w:pPr>
            <w:r>
              <w:rPr>
                <w:rFonts w:ascii="Arial" w:cs="Arial" w:eastAsia="Arial" w:hAnsi="Arial"/>
                <w:sz w:val="18"/>
                <w:szCs w:val="18"/>
                <w:b w:val="1"/>
                <w:bCs w:val="1"/>
                <w:color w:val="0071CE"/>
                <w:w w:val="98"/>
              </w:rPr>
              <w:t>Director Tenure</w:t>
            </w:r>
          </w:p>
        </w:tc>
        <w:tc>
          <w:tcPr>
            <w:tcW w:w="0" w:type="dxa"/>
            <w:vAlign w:val="bottom"/>
          </w:tcPr>
          <w:p>
            <w:pPr>
              <w:spacing w:after="0"/>
              <w:rPr>
                <w:sz w:val="1"/>
                <w:szCs w:val="1"/>
                <w:color w:val="auto"/>
              </w:rPr>
            </w:pPr>
          </w:p>
        </w:tc>
      </w:tr>
      <w:tr>
        <w:trPr>
          <w:trHeight w:val="179"/>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Biopharma Research</w:t>
            </w:r>
          </w:p>
        </w:tc>
        <w:tc>
          <w:tcPr>
            <w:tcW w:w="5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shd w:val="clear" w:color="auto" w:fill="E5E5E5"/>
          </w:tcPr>
          <w:p>
            <w:pPr>
              <w:spacing w:after="0"/>
              <w:rPr>
                <w:sz w:val="15"/>
                <w:szCs w:val="15"/>
                <w:color w:val="auto"/>
              </w:rPr>
            </w:pPr>
          </w:p>
        </w:tc>
        <w:tc>
          <w:tcPr>
            <w:tcW w:w="2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680" w:type="dxa"/>
            <w:vAlign w:val="bottom"/>
            <w:vMerge w:val="restart"/>
            <w:shd w:val="clear" w:color="auto" w:fill="E5E5E5"/>
          </w:tcPr>
          <w:p>
            <w:pPr>
              <w:ind w:left="60"/>
              <w:spacing w:after="0"/>
              <w:rPr>
                <w:sz w:val="20"/>
                <w:szCs w:val="20"/>
                <w:color w:val="auto"/>
              </w:rPr>
            </w:pPr>
            <w:r>
              <w:rPr>
                <w:rFonts w:ascii="Arial" w:cs="Arial" w:eastAsia="Arial" w:hAnsi="Arial"/>
                <w:sz w:val="15"/>
                <w:szCs w:val="15"/>
                <w:b w:val="1"/>
                <w:bCs w:val="1"/>
                <w:color w:val="auto"/>
              </w:rPr>
              <w:t>&amp; Development</w:t>
            </w:r>
          </w:p>
        </w:tc>
        <w:tc>
          <w:tcPr>
            <w:tcW w:w="580" w:type="dxa"/>
            <w:vAlign w:val="bottom"/>
            <w:vMerge w:val="continue"/>
            <w:shd w:val="clear" w:color="auto" w:fill="E5E5E5"/>
          </w:tcPr>
          <w:p>
            <w:pPr>
              <w:spacing w:after="0"/>
              <w:rPr>
                <w:sz w:val="11"/>
                <w:szCs w:val="11"/>
                <w:color w:val="auto"/>
              </w:rPr>
            </w:pPr>
          </w:p>
        </w:tc>
        <w:tc>
          <w:tcPr>
            <w:tcW w:w="480" w:type="dxa"/>
            <w:vAlign w:val="bottom"/>
            <w:vMerge w:val="continue"/>
            <w:shd w:val="clear" w:color="auto" w:fill="E5E5E5"/>
          </w:tcPr>
          <w:p>
            <w:pPr>
              <w:spacing w:after="0"/>
              <w:rPr>
                <w:sz w:val="11"/>
                <w:szCs w:val="11"/>
                <w:color w:val="auto"/>
              </w:rPr>
            </w:pPr>
          </w:p>
        </w:tc>
        <w:tc>
          <w:tcPr>
            <w:tcW w:w="760" w:type="dxa"/>
            <w:vAlign w:val="bottom"/>
            <w:vMerge w:val="continue"/>
            <w:shd w:val="clear" w:color="auto" w:fill="E5E5E5"/>
          </w:tcPr>
          <w:p>
            <w:pPr>
              <w:spacing w:after="0"/>
              <w:rPr>
                <w:sz w:val="11"/>
                <w:szCs w:val="11"/>
                <w:color w:val="auto"/>
              </w:rPr>
            </w:pPr>
          </w:p>
        </w:tc>
        <w:tc>
          <w:tcPr>
            <w:tcW w:w="820" w:type="dxa"/>
            <w:vAlign w:val="bottom"/>
            <w:vMerge w:val="continue"/>
            <w:shd w:val="clear" w:color="auto" w:fill="E5E5E5"/>
          </w:tcPr>
          <w:p>
            <w:pPr>
              <w:spacing w:after="0"/>
              <w:rPr>
                <w:sz w:val="11"/>
                <w:szCs w:val="11"/>
                <w:color w:val="auto"/>
              </w:rPr>
            </w:pPr>
          </w:p>
        </w:tc>
        <w:tc>
          <w:tcPr>
            <w:tcW w:w="560" w:type="dxa"/>
            <w:vAlign w:val="bottom"/>
            <w:vMerge w:val="continue"/>
            <w:shd w:val="clear" w:color="auto" w:fill="E5E5E5"/>
          </w:tcPr>
          <w:p>
            <w:pPr>
              <w:spacing w:after="0"/>
              <w:rPr>
                <w:sz w:val="11"/>
                <w:szCs w:val="11"/>
                <w:color w:val="auto"/>
              </w:rPr>
            </w:pPr>
          </w:p>
        </w:tc>
        <w:tc>
          <w:tcPr>
            <w:tcW w:w="740" w:type="dxa"/>
            <w:vAlign w:val="bottom"/>
            <w:vMerge w:val="continue"/>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680" w:type="dxa"/>
            <w:vAlign w:val="bottom"/>
            <w:tcBorders>
              <w:bottom w:val="single" w:sz="8" w:color="E5E5E5"/>
            </w:tcBorders>
            <w:vMerge w:val="continue"/>
            <w:shd w:val="clear" w:color="auto" w:fill="E5E5E5"/>
          </w:tcPr>
          <w:p>
            <w:pPr>
              <w:spacing w:after="0"/>
              <w:rPr>
                <w:sz w:val="9"/>
                <w:szCs w:val="9"/>
                <w:color w:val="auto"/>
              </w:rPr>
            </w:pPr>
          </w:p>
        </w:tc>
        <w:tc>
          <w:tcPr>
            <w:tcW w:w="580" w:type="dxa"/>
            <w:vAlign w:val="bottom"/>
            <w:tcBorders>
              <w:bottom w:val="single" w:sz="8" w:color="E5E5E5"/>
            </w:tcBorders>
            <w:shd w:val="clear" w:color="auto" w:fill="E5E5E5"/>
          </w:tcPr>
          <w:p>
            <w:pPr>
              <w:spacing w:after="0"/>
              <w:rPr>
                <w:sz w:val="9"/>
                <w:szCs w:val="9"/>
                <w:color w:val="auto"/>
              </w:rPr>
            </w:pPr>
          </w:p>
        </w:tc>
        <w:tc>
          <w:tcPr>
            <w:tcW w:w="480" w:type="dxa"/>
            <w:vAlign w:val="bottom"/>
            <w:tcBorders>
              <w:bottom w:val="single" w:sz="8" w:color="E5E5E5"/>
            </w:tcBorders>
            <w:shd w:val="clear" w:color="auto" w:fill="E5E5E5"/>
          </w:tcPr>
          <w:p>
            <w:pPr>
              <w:spacing w:after="0"/>
              <w:rPr>
                <w:sz w:val="9"/>
                <w:szCs w:val="9"/>
                <w:color w:val="auto"/>
              </w:rPr>
            </w:pPr>
          </w:p>
        </w:tc>
        <w:tc>
          <w:tcPr>
            <w:tcW w:w="760" w:type="dxa"/>
            <w:vAlign w:val="bottom"/>
            <w:tcBorders>
              <w:bottom w:val="single" w:sz="8" w:color="E5E5E5"/>
            </w:tcBorders>
            <w:shd w:val="clear" w:color="auto" w:fill="E5E5E5"/>
          </w:tcPr>
          <w:p>
            <w:pPr>
              <w:spacing w:after="0"/>
              <w:rPr>
                <w:sz w:val="9"/>
                <w:szCs w:val="9"/>
                <w:color w:val="auto"/>
              </w:rPr>
            </w:pPr>
          </w:p>
        </w:tc>
        <w:tc>
          <w:tcPr>
            <w:tcW w:w="820" w:type="dxa"/>
            <w:vAlign w:val="bottom"/>
            <w:tcBorders>
              <w:bottom w:val="single" w:sz="8" w:color="E5E5E5"/>
            </w:tcBorders>
            <w:shd w:val="clear" w:color="auto" w:fill="E5E5E5"/>
          </w:tcPr>
          <w:p>
            <w:pPr>
              <w:spacing w:after="0"/>
              <w:rPr>
                <w:sz w:val="9"/>
                <w:szCs w:val="9"/>
                <w:color w:val="auto"/>
              </w:rPr>
            </w:pPr>
          </w:p>
        </w:tc>
        <w:tc>
          <w:tcPr>
            <w:tcW w:w="560" w:type="dxa"/>
            <w:vAlign w:val="bottom"/>
            <w:tcBorders>
              <w:bottom w:val="single" w:sz="8" w:color="E5E5E5"/>
            </w:tcBorders>
            <w:shd w:val="clear" w:color="auto" w:fill="E5E5E5"/>
          </w:tcPr>
          <w:p>
            <w:pPr>
              <w:spacing w:after="0"/>
              <w:rPr>
                <w:sz w:val="9"/>
                <w:szCs w:val="9"/>
                <w:color w:val="auto"/>
              </w:rPr>
            </w:pPr>
          </w:p>
        </w:tc>
        <w:tc>
          <w:tcPr>
            <w:tcW w:w="740" w:type="dxa"/>
            <w:vAlign w:val="bottom"/>
            <w:tcBorders>
              <w:bottom w:val="single" w:sz="8" w:color="E5E5E5"/>
            </w:tcBorders>
            <w:shd w:val="clear" w:color="auto" w:fill="E5E5E5"/>
          </w:tcPr>
          <w:p>
            <w:pPr>
              <w:spacing w:after="0"/>
              <w:rPr>
                <w:sz w:val="9"/>
                <w:szCs w:val="9"/>
                <w:color w:val="auto"/>
              </w:rPr>
            </w:pPr>
          </w:p>
        </w:tc>
        <w:tc>
          <w:tcPr>
            <w:tcW w:w="620" w:type="dxa"/>
            <w:vAlign w:val="bottom"/>
            <w:tcBorders>
              <w:bottom w:val="single" w:sz="8" w:color="E5E5E5"/>
            </w:tcBorders>
            <w:shd w:val="clear" w:color="auto" w:fill="E5E5E5"/>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Healthcare</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Drug Development</w:t>
            </w:r>
          </w:p>
        </w:tc>
        <w:tc>
          <w:tcPr>
            <w:tcW w:w="5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shd w:val="clear" w:color="auto" w:fill="E5E5E5"/>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8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82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Executive Leadership</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3360" w:type="dxa"/>
            <w:vAlign w:val="bottom"/>
            <w:gridSpan w:val="2"/>
          </w:tcPr>
          <w:p>
            <w:pPr>
              <w:jc w:val="center"/>
              <w:ind w:right="2610"/>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Public Company</w:t>
            </w:r>
          </w:p>
        </w:tc>
        <w:tc>
          <w:tcPr>
            <w:tcW w:w="5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shd w:val="clear" w:color="auto" w:fill="E5E5E5"/>
          </w:tcPr>
          <w:p>
            <w:pPr>
              <w:spacing w:after="0"/>
              <w:rPr>
                <w:sz w:val="22"/>
                <w:szCs w:val="22"/>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Governance</w:t>
            </w:r>
          </w:p>
        </w:tc>
        <w:tc>
          <w:tcPr>
            <w:tcW w:w="5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68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Accounting/Audit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gridSpan w:val="2"/>
          </w:tcPr>
          <w:p>
            <w:pPr>
              <w:jc w:val="center"/>
              <w:ind w:right="2610"/>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Venture Capital</w:t>
            </w:r>
          </w:p>
        </w:tc>
        <w:tc>
          <w:tcPr>
            <w:tcW w:w="5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60" w:type="dxa"/>
            <w:vAlign w:val="bottom"/>
            <w:shd w:val="clear" w:color="auto" w:fill="E5E5E5"/>
          </w:tcPr>
          <w:p>
            <w:pPr>
              <w:spacing w:after="0"/>
              <w:rPr>
                <w:sz w:val="24"/>
                <w:szCs w:val="24"/>
                <w:color w:val="auto"/>
              </w:rPr>
            </w:pPr>
          </w:p>
        </w:tc>
        <w:tc>
          <w:tcPr>
            <w:tcW w:w="740" w:type="dxa"/>
            <w:vAlign w:val="bottom"/>
            <w:shd w:val="clear" w:color="auto" w:fill="E5E5E5"/>
          </w:tcPr>
          <w:p>
            <w:pPr>
              <w:spacing w:after="0"/>
              <w:rPr>
                <w:sz w:val="24"/>
                <w:szCs w:val="24"/>
                <w:color w:val="auto"/>
              </w:rPr>
            </w:pPr>
          </w:p>
        </w:tc>
        <w:tc>
          <w:tcPr>
            <w:tcW w:w="6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80" w:type="dxa"/>
            <w:vAlign w:val="bottom"/>
            <w:tcBorders>
              <w:bottom w:val="single" w:sz="8" w:color="0071CE"/>
            </w:tcBorders>
            <w:shd w:val="clear" w:color="auto" w:fill="E5E5E5"/>
          </w:tcPr>
          <w:p>
            <w:pPr>
              <w:spacing w:after="0"/>
              <w:rPr>
                <w:sz w:val="11"/>
                <w:szCs w:val="11"/>
                <w:color w:val="auto"/>
              </w:rPr>
            </w:pPr>
          </w:p>
        </w:tc>
        <w:tc>
          <w:tcPr>
            <w:tcW w:w="580" w:type="dxa"/>
            <w:vAlign w:val="bottom"/>
            <w:tcBorders>
              <w:bottom w:val="single" w:sz="8" w:color="0071CE"/>
            </w:tcBorders>
            <w:shd w:val="clear" w:color="auto" w:fill="E5E5E5"/>
          </w:tcPr>
          <w:p>
            <w:pPr>
              <w:spacing w:after="0"/>
              <w:rPr>
                <w:sz w:val="11"/>
                <w:szCs w:val="11"/>
                <w:color w:val="auto"/>
              </w:rPr>
            </w:pPr>
          </w:p>
        </w:tc>
        <w:tc>
          <w:tcPr>
            <w:tcW w:w="480" w:type="dxa"/>
            <w:vAlign w:val="bottom"/>
            <w:tcBorders>
              <w:bottom w:val="single" w:sz="8" w:color="0071CE"/>
            </w:tcBorders>
            <w:shd w:val="clear" w:color="auto" w:fill="E5E5E5"/>
          </w:tcPr>
          <w:p>
            <w:pPr>
              <w:spacing w:after="0"/>
              <w:rPr>
                <w:sz w:val="11"/>
                <w:szCs w:val="11"/>
                <w:color w:val="auto"/>
              </w:rPr>
            </w:pPr>
          </w:p>
        </w:tc>
        <w:tc>
          <w:tcPr>
            <w:tcW w:w="760" w:type="dxa"/>
            <w:vAlign w:val="bottom"/>
            <w:tcBorders>
              <w:bottom w:val="single" w:sz="8" w:color="0071CE"/>
            </w:tcBorders>
            <w:shd w:val="clear" w:color="auto" w:fill="E5E5E5"/>
          </w:tcPr>
          <w:p>
            <w:pPr>
              <w:spacing w:after="0"/>
              <w:rPr>
                <w:sz w:val="11"/>
                <w:szCs w:val="11"/>
                <w:color w:val="auto"/>
              </w:rPr>
            </w:pPr>
          </w:p>
        </w:tc>
        <w:tc>
          <w:tcPr>
            <w:tcW w:w="820" w:type="dxa"/>
            <w:vAlign w:val="bottom"/>
            <w:tcBorders>
              <w:bottom w:val="single" w:sz="8" w:color="0071CE"/>
            </w:tcBorders>
            <w:shd w:val="clear" w:color="auto" w:fill="E5E5E5"/>
          </w:tcPr>
          <w:p>
            <w:pPr>
              <w:spacing w:after="0"/>
              <w:rPr>
                <w:sz w:val="11"/>
                <w:szCs w:val="11"/>
                <w:color w:val="auto"/>
              </w:rPr>
            </w:pPr>
          </w:p>
        </w:tc>
        <w:tc>
          <w:tcPr>
            <w:tcW w:w="560" w:type="dxa"/>
            <w:vAlign w:val="bottom"/>
            <w:tcBorders>
              <w:bottom w:val="single" w:sz="8" w:color="0071CE"/>
            </w:tcBorders>
            <w:shd w:val="clear" w:color="auto" w:fill="E5E5E5"/>
          </w:tcPr>
          <w:p>
            <w:pPr>
              <w:spacing w:after="0"/>
              <w:rPr>
                <w:sz w:val="11"/>
                <w:szCs w:val="11"/>
                <w:color w:val="auto"/>
              </w:rPr>
            </w:pPr>
          </w:p>
        </w:tc>
        <w:tc>
          <w:tcPr>
            <w:tcW w:w="740" w:type="dxa"/>
            <w:vAlign w:val="bottom"/>
            <w:tcBorders>
              <w:bottom w:val="single" w:sz="8" w:color="0071CE"/>
            </w:tcBorders>
            <w:shd w:val="clear" w:color="auto" w:fill="E5E5E5"/>
          </w:tcPr>
          <w:p>
            <w:pPr>
              <w:spacing w:after="0"/>
              <w:rPr>
                <w:sz w:val="11"/>
                <w:szCs w:val="11"/>
                <w:color w:val="auto"/>
              </w:rPr>
            </w:pPr>
          </w:p>
        </w:tc>
        <w:tc>
          <w:tcPr>
            <w:tcW w:w="620" w:type="dxa"/>
            <w:vAlign w:val="bottom"/>
            <w:tcBorders>
              <w:bottom w:val="single" w:sz="8" w:color="0071CE"/>
            </w:tcBorders>
            <w:shd w:val="clear" w:color="auto" w:fill="E5E5E5"/>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-1774190</wp:posOffset>
            </wp:positionV>
            <wp:extent cx="1783080" cy="1757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57045"/>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summary of our corporate governance policies and practices:</w:t>
      </w:r>
    </w:p>
    <w:p>
      <w:pPr>
        <w:spacing w:after="0" w:line="127" w:lineRule="exact"/>
        <w:rPr>
          <w:sz w:val="20"/>
          <w:szCs w:val="20"/>
          <w:color w:val="auto"/>
        </w:rPr>
      </w:pPr>
    </w:p>
    <w:p>
      <w:pPr>
        <w:ind w:left="440" w:hanging="216"/>
        <w:spacing w:after="0" w:line="257" w:lineRule="auto"/>
        <w:tabs>
          <w:tab w:leader="none" w:pos="44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The positions of Chairman of the Board and Chief Executive Officer are separated, which allows our Chief Executive Officer to focus on strategic planning and execution as well as our day-to-day business operations,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80645</wp:posOffset>
            </wp:positionV>
            <wp:extent cx="98615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256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47" w:lineRule="exact"/>
        <w:rPr>
          <w:sz w:val="20"/>
          <w:szCs w:val="20"/>
          <w:color w:val="auto"/>
        </w:rPr>
      </w:pPr>
    </w:p>
    <w:p>
      <w:pPr>
        <w:ind w:left="440" w:right="240" w:hanging="216"/>
        <w:spacing w:after="0" w:line="261"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A majority of the members of the Board are independent directors, as defined by Nasdaq Marketplace Rules. The Board has determined that all of the Company’s directors are independent, except Dr. Anzalone, due to his employment relationship with the Company, and Dr. Given, who is the brother of Bruce Given, the Company’s former Chief Operating Officer. Non-employee directors do not receive consulting or other fees from the Company, other than Board and Committee compensation.</w:t>
      </w:r>
    </w:p>
    <w:p>
      <w:pPr>
        <w:spacing w:after="0" w:line="77" w:lineRule="exact"/>
        <w:rPr>
          <w:rFonts w:ascii="Arial" w:cs="Arial" w:eastAsia="Arial" w:hAnsi="Arial"/>
          <w:sz w:val="16"/>
          <w:szCs w:val="16"/>
          <w:color w:val="0071CE"/>
        </w:rPr>
      </w:pPr>
    </w:p>
    <w:p>
      <w:pPr>
        <w:ind w:left="440" w:right="360" w:hanging="216"/>
        <w:spacing w:after="0" w:line="291"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The Board has appointed an independent Lead Director. The Lead Director is tasked with assuring that the Board committees and other relevant issues have independent leadership.</w:t>
      </w:r>
    </w:p>
    <w:p>
      <w:pPr>
        <w:spacing w:after="0" w:line="53" w:lineRule="exact"/>
        <w:rPr>
          <w:rFonts w:ascii="Arial" w:cs="Arial" w:eastAsia="Arial" w:hAnsi="Arial"/>
          <w:sz w:val="16"/>
          <w:szCs w:val="16"/>
          <w:color w:val="0071CE"/>
        </w:rPr>
      </w:pPr>
    </w:p>
    <w:p>
      <w:pPr>
        <w:ind w:left="440" w:right="180" w:hanging="216"/>
        <w:spacing w:after="0" w:line="255"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82" w:lineRule="exact"/>
        <w:rPr>
          <w:rFonts w:ascii="Arial" w:cs="Arial" w:eastAsia="Arial" w:hAnsi="Arial"/>
          <w:sz w:val="16"/>
          <w:szCs w:val="16"/>
          <w:color w:val="0071CE"/>
        </w:rPr>
      </w:pPr>
    </w:p>
    <w:p>
      <w:pPr>
        <w:jc w:val="both"/>
        <w:ind w:left="440" w:right="40" w:hanging="216"/>
        <w:spacing w:after="0" w:line="269"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All the Company’s employees, officers and directors are subject to the Company’s Code of Business Conduct and Ethics Policy, which is available on the Company’s website at www.arrowheadpharma.com. The ethics policy meets the requirements of Nasdaq Marketplace Rules, as well as the code of ethics requirements of the SEC.</w:t>
      </w:r>
    </w:p>
    <w:p>
      <w:pPr>
        <w:spacing w:after="0" w:line="69" w:lineRule="exact"/>
        <w:rPr>
          <w:rFonts w:ascii="Arial" w:cs="Arial" w:eastAsia="Arial" w:hAnsi="Arial"/>
          <w:sz w:val="16"/>
          <w:szCs w:val="16"/>
          <w:color w:val="0071CE"/>
        </w:rPr>
      </w:pPr>
    </w:p>
    <w:p>
      <w:pPr>
        <w:ind w:left="440" w:hanging="216"/>
        <w:spacing w:after="0"/>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The Audit, Compensation and Nominating Committees consist entirely of independent directors.</w:t>
      </w:r>
    </w:p>
    <w:p>
      <w:pPr>
        <w:spacing w:after="0" w:line="126" w:lineRule="exact"/>
        <w:rPr>
          <w:rFonts w:ascii="Arial" w:cs="Arial" w:eastAsia="Arial" w:hAnsi="Arial"/>
          <w:sz w:val="16"/>
          <w:szCs w:val="16"/>
          <w:color w:val="0071CE"/>
        </w:rPr>
      </w:pPr>
    </w:p>
    <w:p>
      <w:pPr>
        <w:ind w:left="440" w:right="20" w:hanging="216"/>
        <w:spacing w:after="0" w:line="291"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The independent directors meet separately in executive session on a regular basis to discuss matters relating to the Company and the Board, without members of the management team present.</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The Board reviews at least annually the Company’s business initiatives, capital projects and budget matters.</w:t>
      </w:r>
    </w:p>
    <w:p>
      <w:pPr>
        <w:spacing w:after="0" w:line="126" w:lineRule="exact"/>
        <w:rPr>
          <w:rFonts w:ascii="Arial" w:cs="Arial" w:eastAsia="Arial" w:hAnsi="Arial"/>
          <w:sz w:val="16"/>
          <w:szCs w:val="16"/>
          <w:color w:val="0071CE"/>
        </w:rPr>
      </w:pPr>
    </w:p>
    <w:p>
      <w:pPr>
        <w:ind w:left="440" w:right="40" w:hanging="216"/>
        <w:spacing w:after="0" w:line="291" w:lineRule="auto"/>
        <w:tabs>
          <w:tab w:leader="none" w:pos="44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left="120" w:right="180"/>
        <w:spacing w:after="0" w:line="269" w:lineRule="auto"/>
        <w:rPr>
          <w:sz w:val="20"/>
          <w:szCs w:val="20"/>
          <w:color w:val="auto"/>
        </w:rPr>
      </w:pPr>
      <w:r>
        <w:rPr>
          <w:rFonts w:ascii="Arial" w:cs="Arial" w:eastAsia="Arial" w:hAnsi="Arial"/>
          <w:sz w:val="16"/>
          <w:szCs w:val="16"/>
          <w:color w:val="auto"/>
        </w:rPr>
        <w:t>Stockholders who wish to communicate with the Board or any individual director can write to: Patrick O’Brien, Corporate Secretary, Arrowhead Pharmaceuticals, Inc., 177 E. Colorado, Suite 700, Pasadena, CA 91105. Your letter should indicate that you are an Arrowhead stockholder. Depending on the subject matter, management will:</w:t>
      </w:r>
    </w:p>
    <w:p>
      <w:pPr>
        <w:spacing w:after="0" w:line="70"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Forward the communication to the Chairman of the Board, if addressed to the board of directors; or</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The Board held a total of six meetings during the fiscal year ended September 30, 2020. The Board has three standing committees: Audit Committee, Compensation Committee and Nominating Committee.</w:t>
      </w:r>
    </w:p>
    <w:p>
      <w:pPr>
        <w:spacing w:after="0" w:line="148"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 and to review any related-party transactions. The Audit Committee met four times during fiscal 2020. The current members of the Audit Committee are William Waddill, Chairman, Marianne De Backer and Michael S. Perry. The Board has determined that all members of the Audit Committee who served during 2020 were independent directors under the rules of the SEC and the listing standards of Nasdaq Marketplace Rules and are financially literate. The Board has determined that Mr. Waddill is an “audit committee financial expert” in accordance with the applicable regulations, based on his experience as noted above. The Audit Committee Charter is available on the Company’s website at www.arrowheadpharma.com.</w:t>
      </w:r>
    </w:p>
    <w:p>
      <w:pPr>
        <w:spacing w:after="0" w:line="183" w:lineRule="exact"/>
        <w:rPr>
          <w:sz w:val="20"/>
          <w:szCs w:val="20"/>
          <w:color w:val="auto"/>
        </w:rPr>
      </w:pPr>
    </w:p>
    <w:p>
      <w:pPr>
        <w:jc w:val="both"/>
        <w:ind w:left="120" w:right="320"/>
        <w:spacing w:after="0" w:line="269"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equity awards and other benefits payable to the Company’s executive officers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73025</wp:posOffset>
            </wp:positionV>
            <wp:extent cx="98615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0071CE"/>
        </w:rPr>
        <w:t>9</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47"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administer the Arrowhead Pharmaceuticals, Inc. 2004 Equity Incentive Plan, 2013 Incentive Plan, and, if approved at the Annual Meeting, the 2021 Incentive Plan.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2020, the Compensation Committee engaged Compensia, Inc., a compensation consulting firm, to provide advice and guidance with regard to compensation for our NEOs. The decision to engage the consultant was not made or recommended by management and the Compensation Committee has the sole discretion to engage or change the consultant. The Compensation Committee met five times during fiscal 2020. The current members of the Compensation Committee are Michael S. Perry, Chairman, Marianne De Backer, Mauro Ferrari, Oye Olukotun, and William Waddill. The Board has determined that all members of the Compensation Committee are independent directors under the listing rules of Nasdaq Marketplace Rules. The Compensation Committee’s charter is available on the Company’s website at www.arrowheadpharma.com. The Compensation Committee has not delegated any of its responsibilities or authorities granted under its charter.</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Nominating Committee is responsible for proposing a slate of directors for election by the stockholders at each annual meeting and for proposing candidates to fill any vacancies. The Nominating Committee met twice during fiscal 2020. The current members of the Nominating Committee are Michael S. Perry, Chairman, Marianne De Backer, Mauro Ferrari, Oye Olukotun, and William Waddill. The Nominating Committee’s charter is available on the Company’s website at www.arrowheadpharma.com. The Nominating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Nominating Committee recommends to the Board whether those individuals should be re-nominated.</w:t>
      </w:r>
    </w:p>
    <w:p>
      <w:pPr>
        <w:spacing w:after="0" w:line="176" w:lineRule="exact"/>
        <w:rPr>
          <w:sz w:val="20"/>
          <w:szCs w:val="20"/>
          <w:color w:val="auto"/>
        </w:rPr>
      </w:pPr>
    </w:p>
    <w:p>
      <w:pPr>
        <w:ind w:left="120" w:right="200"/>
        <w:spacing w:after="0" w:line="254" w:lineRule="auto"/>
        <w:rPr>
          <w:sz w:val="20"/>
          <w:szCs w:val="20"/>
          <w:color w:val="auto"/>
        </w:rPr>
      </w:pPr>
      <w:r>
        <w:rPr>
          <w:rFonts w:ascii="Arial" w:cs="Arial" w:eastAsia="Arial" w:hAnsi="Arial"/>
          <w:sz w:val="16"/>
          <w:szCs w:val="16"/>
          <w:color w:val="auto"/>
        </w:rPr>
        <w:t>On at least an annual basis, the Nominating Committee reviews with the Board whether it believes the Board would benefit from adding new members and, if so, the appropriate skills and characteristics required for any new members. If the Board determines that a new member would be beneficial, the Nominating Committee solicits and receives recommendations for candidates and manages the process for evaluating candidates. All potential candidates, regardless of their source, are reviewed under the same process. The Nominating Committee (or its chairman) screens the available information about the potential candidate(s). Based on the results of the initial screening, interviews with candidates are scheduled with Nominating Committee members, other members of the Board and senior members of management. Upon completion of these interviews and other due diligence, the Nominating Committee may nominate a candidate to the Board for election.</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an executive recruiter. Arrowhead stockholders may also recommend candidates by sending the candidate’s name and resume to the Nominating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76"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The Nominating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as applicable, the SEC. In any given search, the Nominating Committee may also define particular characteristics for candidates to balance the overall mix of skills, backgrounds and characteristics of the Board and the needs of the Company. During any search, the Nominating Committee reserves the right to modify its stated search criteria for exceptional candidates.</w:t>
      </w:r>
    </w:p>
    <w:p>
      <w:pPr>
        <w:spacing w:after="0" w:line="369" w:lineRule="exact"/>
        <w:rPr>
          <w:sz w:val="20"/>
          <w:szCs w:val="20"/>
          <w:color w:val="auto"/>
        </w:rPr>
      </w:pPr>
    </w:p>
    <w:p>
      <w:pPr>
        <w:ind w:left="120" w:right="900"/>
        <w:spacing w:after="0" w:line="291" w:lineRule="auto"/>
        <w:rPr>
          <w:sz w:val="20"/>
          <w:szCs w:val="20"/>
          <w:color w:val="auto"/>
        </w:rPr>
      </w:pPr>
      <w:r>
        <w:rPr>
          <w:rFonts w:ascii="Arial" w:cs="Arial" w:eastAsia="Arial" w:hAnsi="Arial"/>
          <w:sz w:val="16"/>
          <w:szCs w:val="16"/>
          <w:color w:val="auto"/>
        </w:rPr>
        <w:t>The Nominating Committee assesses its effectiveness in achieving its goal of building a diverse board as part of its annual assessment of the composition of the Board.</w:t>
      </w:r>
    </w:p>
    <w:p>
      <w:pPr>
        <w:spacing w:after="0" w:line="14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2018, the Board established an ad hoc Science Committee to review and advise on science topics of interest to the Company. The current members of the committee are Mauro Ferrari, Co-chairman, Oye Olukotun, Co-Chairman, and Douglass Given.</w:t>
      </w:r>
    </w:p>
    <w:p>
      <w:pPr>
        <w:spacing w:after="0" w:line="148"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No incumbent director attended fewer than 75% of the aggregate of (i) the total number of meetings of the Board held during fiscal 2020, and (ii) the total number of meetings held by all committees of the Board during fiscal 2020 on which such person served, in each case during the period in which such person served on the Board or committee.</w:t>
      </w:r>
    </w:p>
    <w:p>
      <w:pPr>
        <w:spacing w:after="0" w:line="164" w:lineRule="exact"/>
        <w:rPr>
          <w:sz w:val="20"/>
          <w:szCs w:val="20"/>
          <w:color w:val="auto"/>
        </w:rPr>
      </w:pPr>
    </w:p>
    <w:p>
      <w:pPr>
        <w:ind w:left="120" w:right="720"/>
        <w:spacing w:after="0" w:line="291" w:lineRule="auto"/>
        <w:rPr>
          <w:sz w:val="20"/>
          <w:szCs w:val="20"/>
          <w:color w:val="auto"/>
        </w:rPr>
      </w:pPr>
      <w:r>
        <w:rPr>
          <w:rFonts w:ascii="Arial" w:cs="Arial" w:eastAsia="Arial" w:hAnsi="Arial"/>
          <w:sz w:val="16"/>
          <w:szCs w:val="16"/>
          <w:color w:val="auto"/>
        </w:rPr>
        <w:t>In addition, all of the directors then serving on the Board attended the virtual 2020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62230</wp:posOffset>
            </wp:positionV>
            <wp:extent cx="98615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Director Compensation</w:t>
      </w:r>
    </w:p>
    <w:p>
      <w:pPr>
        <w:spacing w:after="0" w:line="358"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2020, the Company maintained the structure of director compensation it adopted in 2019 to provide a base retainer for each director with higher base retainers for service by the Chairman of the Board and the Lead Independent Director. The Company provides additional retainers for committee service with higher retainers for committee leadership. The Compensation Committee believes the structure aligns compensation according to specific leadership and committee service contributions by each director.</w:t>
      </w:r>
    </w:p>
    <w:p>
      <w:pPr>
        <w:spacing w:after="0" w:line="176"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2020. Dr. Anzalone’s compensation is set forth in the discussion of Executive Compensation and in the Summary Compensation Table.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7420" w:type="dxa"/>
            <w:vAlign w:val="bottom"/>
            <w:shd w:val="clear" w:color="auto" w:fill="0071CE"/>
          </w:tcPr>
          <w:p>
            <w:pPr>
              <w:spacing w:after="0"/>
              <w:rPr>
                <w:sz w:val="15"/>
                <w:szCs w:val="15"/>
                <w:color w:val="auto"/>
              </w:rPr>
            </w:pPr>
          </w:p>
        </w:tc>
        <w:tc>
          <w:tcPr>
            <w:tcW w:w="1380" w:type="dxa"/>
            <w:vAlign w:val="bottom"/>
            <w:gridSpan w:val="2"/>
            <w:shd w:val="clear" w:color="auto" w:fill="0071CE"/>
          </w:tcPr>
          <w:p>
            <w:pPr>
              <w:jc w:val="center"/>
              <w:ind w:left="41"/>
              <w:spacing w:after="0"/>
              <w:rPr>
                <w:sz w:val="20"/>
                <w:szCs w:val="20"/>
                <w:color w:val="auto"/>
              </w:rPr>
            </w:pPr>
            <w:r>
              <w:rPr>
                <w:rFonts w:ascii="Arial" w:cs="Arial" w:eastAsia="Arial" w:hAnsi="Arial"/>
                <w:sz w:val="14"/>
                <w:szCs w:val="14"/>
                <w:b w:val="1"/>
                <w:bCs w:val="1"/>
                <w:color w:val="FFFFFF"/>
              </w:rPr>
              <w:t>Fee Earned</w:t>
            </w:r>
          </w:p>
        </w:tc>
        <w:tc>
          <w:tcPr>
            <w:tcW w:w="340" w:type="dxa"/>
            <w:vAlign w:val="bottom"/>
            <w:shd w:val="clear" w:color="auto" w:fill="0071CE"/>
          </w:tcPr>
          <w:p>
            <w:pPr>
              <w:spacing w:after="0"/>
              <w:rPr>
                <w:sz w:val="15"/>
                <w:szCs w:val="15"/>
                <w:color w:val="auto"/>
              </w:rPr>
            </w:pPr>
          </w:p>
        </w:tc>
        <w:tc>
          <w:tcPr>
            <w:tcW w:w="800" w:type="dxa"/>
            <w:vAlign w:val="bottom"/>
            <w:vMerge w:val="restart"/>
            <w:shd w:val="clear" w:color="auto" w:fill="0071CE"/>
          </w:tcPr>
          <w:p>
            <w:pPr>
              <w:jc w:val="right"/>
              <w:ind w:right="262"/>
              <w:spacing w:after="0"/>
              <w:rPr>
                <w:sz w:val="20"/>
                <w:szCs w:val="20"/>
                <w:color w:val="auto"/>
              </w:rPr>
            </w:pPr>
            <w:r>
              <w:rPr>
                <w:rFonts w:ascii="Arial" w:cs="Arial" w:eastAsia="Arial" w:hAnsi="Arial"/>
                <w:sz w:val="14"/>
                <w:szCs w:val="14"/>
                <w:b w:val="1"/>
                <w:bCs w:val="1"/>
                <w:color w:val="FFFFFF"/>
              </w:rPr>
              <w:t>Stock</w:t>
            </w:r>
          </w:p>
        </w:tc>
        <w:tc>
          <w:tcPr>
            <w:tcW w:w="240" w:type="dxa"/>
            <w:vAlign w:val="bottom"/>
            <w:shd w:val="clear" w:color="auto" w:fill="0071CE"/>
          </w:tcPr>
          <w:p>
            <w:pPr>
              <w:spacing w:after="0"/>
              <w:rPr>
                <w:sz w:val="15"/>
                <w:szCs w:val="15"/>
                <w:color w:val="auto"/>
              </w:rPr>
            </w:pPr>
          </w:p>
        </w:tc>
        <w:tc>
          <w:tcPr>
            <w:tcW w:w="84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7420" w:type="dxa"/>
            <w:vAlign w:val="bottom"/>
            <w:shd w:val="clear" w:color="auto" w:fill="0071CE"/>
          </w:tcPr>
          <w:p>
            <w:pPr>
              <w:spacing w:after="0"/>
              <w:rPr>
                <w:sz w:val="13"/>
                <w:szCs w:val="13"/>
                <w:color w:val="auto"/>
              </w:rPr>
            </w:pPr>
          </w:p>
        </w:tc>
        <w:tc>
          <w:tcPr>
            <w:tcW w:w="500" w:type="dxa"/>
            <w:vAlign w:val="bottom"/>
            <w:shd w:val="clear" w:color="auto" w:fill="0071CE"/>
          </w:tcPr>
          <w:p>
            <w:pPr>
              <w:spacing w:after="0"/>
              <w:rPr>
                <w:sz w:val="13"/>
                <w:szCs w:val="13"/>
                <w:color w:val="auto"/>
              </w:rPr>
            </w:pPr>
          </w:p>
        </w:tc>
        <w:tc>
          <w:tcPr>
            <w:tcW w:w="880" w:type="dxa"/>
            <w:vAlign w:val="bottom"/>
            <w:shd w:val="clear" w:color="auto" w:fill="0071CE"/>
          </w:tcPr>
          <w:p>
            <w:pPr>
              <w:jc w:val="center"/>
              <w:ind w:right="301"/>
              <w:spacing w:after="0" w:line="150" w:lineRule="exact"/>
              <w:rPr>
                <w:sz w:val="20"/>
                <w:szCs w:val="20"/>
                <w:color w:val="auto"/>
              </w:rPr>
            </w:pPr>
            <w:r>
              <w:rPr>
                <w:rFonts w:ascii="Arial" w:cs="Arial" w:eastAsia="Arial" w:hAnsi="Arial"/>
                <w:sz w:val="14"/>
                <w:szCs w:val="14"/>
                <w:b w:val="1"/>
                <w:bCs w:val="1"/>
                <w:color w:val="FFFFFF"/>
                <w:w w:val="99"/>
              </w:rPr>
              <w:t>or</w:t>
            </w:r>
          </w:p>
        </w:tc>
        <w:tc>
          <w:tcPr>
            <w:tcW w:w="340" w:type="dxa"/>
            <w:vAlign w:val="bottom"/>
            <w:shd w:val="clear" w:color="auto" w:fill="0071CE"/>
          </w:tcPr>
          <w:p>
            <w:pPr>
              <w:spacing w:after="0"/>
              <w:rPr>
                <w:sz w:val="13"/>
                <w:szCs w:val="13"/>
                <w:color w:val="auto"/>
              </w:rPr>
            </w:pPr>
          </w:p>
        </w:tc>
        <w:tc>
          <w:tcPr>
            <w:tcW w:w="800" w:type="dxa"/>
            <w:vAlign w:val="bottom"/>
            <w:vMerge w:val="continue"/>
            <w:shd w:val="clear" w:color="auto" w:fill="0071CE"/>
          </w:tcPr>
          <w:p>
            <w:pPr>
              <w:spacing w:after="0"/>
              <w:rPr>
                <w:sz w:val="13"/>
                <w:szCs w:val="13"/>
                <w:color w:val="auto"/>
              </w:rPr>
            </w:pPr>
          </w:p>
        </w:tc>
        <w:tc>
          <w:tcPr>
            <w:tcW w:w="240" w:type="dxa"/>
            <w:vAlign w:val="bottom"/>
            <w:shd w:val="clear" w:color="auto" w:fill="0071CE"/>
          </w:tcPr>
          <w:p>
            <w:pPr>
              <w:spacing w:after="0"/>
              <w:rPr>
                <w:sz w:val="13"/>
                <w:szCs w:val="13"/>
                <w:color w:val="auto"/>
              </w:rPr>
            </w:pPr>
          </w:p>
        </w:tc>
        <w:tc>
          <w:tcPr>
            <w:tcW w:w="840" w:type="dxa"/>
            <w:vAlign w:val="bottom"/>
            <w:shd w:val="clear" w:color="auto" w:fill="0071C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20" w:type="dxa"/>
            <w:vAlign w:val="bottom"/>
            <w:shd w:val="clear" w:color="auto" w:fill="0071CE"/>
          </w:tcPr>
          <w:p>
            <w:pPr>
              <w:spacing w:after="0"/>
              <w:rPr>
                <w:sz w:val="14"/>
                <w:szCs w:val="14"/>
                <w:color w:val="auto"/>
              </w:rPr>
            </w:pPr>
          </w:p>
        </w:tc>
        <w:tc>
          <w:tcPr>
            <w:tcW w:w="1380" w:type="dxa"/>
            <w:vAlign w:val="bottom"/>
            <w:gridSpan w:val="2"/>
            <w:shd w:val="clear" w:color="auto" w:fill="0071CE"/>
          </w:tcPr>
          <w:p>
            <w:pPr>
              <w:ind w:left="320"/>
              <w:spacing w:after="0"/>
              <w:rPr>
                <w:sz w:val="20"/>
                <w:szCs w:val="20"/>
                <w:color w:val="auto"/>
              </w:rPr>
            </w:pPr>
            <w:r>
              <w:rPr>
                <w:rFonts w:ascii="Arial" w:cs="Arial" w:eastAsia="Arial" w:hAnsi="Arial"/>
                <w:sz w:val="14"/>
                <w:szCs w:val="14"/>
                <w:b w:val="1"/>
                <w:bCs w:val="1"/>
                <w:color w:val="FFFFFF"/>
              </w:rPr>
              <w:t>Paid in Cash</w:t>
            </w:r>
          </w:p>
        </w:tc>
        <w:tc>
          <w:tcPr>
            <w:tcW w:w="1140" w:type="dxa"/>
            <w:vAlign w:val="bottom"/>
            <w:gridSpan w:val="2"/>
            <w:shd w:val="clear" w:color="auto" w:fill="0071CE"/>
          </w:tcPr>
          <w:p>
            <w:pPr>
              <w:jc w:val="right"/>
              <w:ind w:right="102"/>
              <w:spacing w:after="0"/>
              <w:rPr>
                <w:sz w:val="20"/>
                <w:szCs w:val="20"/>
                <w:color w:val="auto"/>
              </w:rPr>
            </w:pPr>
            <w:r>
              <w:rPr>
                <w:rFonts w:ascii="Arial" w:cs="Arial" w:eastAsia="Arial" w:hAnsi="Arial"/>
                <w:sz w:val="14"/>
                <w:szCs w:val="14"/>
                <w:b w:val="1"/>
                <w:bCs w:val="1"/>
                <w:color w:val="FFFFFF"/>
              </w:rPr>
              <w:t>Awards ($)</w:t>
            </w:r>
          </w:p>
        </w:tc>
        <w:tc>
          <w:tcPr>
            <w:tcW w:w="24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0071CE"/>
            </w:tcBorders>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500" w:type="dxa"/>
            <w:vAlign w:val="bottom"/>
            <w:tcBorders>
              <w:bottom w:val="single" w:sz="8" w:color="0071CE"/>
            </w:tcBorders>
            <w:shd w:val="clear" w:color="auto" w:fill="0071CE"/>
          </w:tcPr>
          <w:p>
            <w:pPr>
              <w:spacing w:after="0"/>
              <w:rPr>
                <w:sz w:val="17"/>
                <w:szCs w:val="17"/>
                <w:color w:val="auto"/>
              </w:rPr>
            </w:pPr>
          </w:p>
        </w:tc>
        <w:tc>
          <w:tcPr>
            <w:tcW w:w="880" w:type="dxa"/>
            <w:vAlign w:val="bottom"/>
            <w:tcBorders>
              <w:bottom w:val="single" w:sz="8" w:color="0071CE"/>
            </w:tcBorders>
            <w:shd w:val="clear" w:color="auto" w:fill="0071CE"/>
          </w:tcPr>
          <w:p>
            <w:pPr>
              <w:jc w:val="center"/>
              <w:ind w:right="301"/>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0071CE"/>
            </w:tcBorders>
            <w:shd w:val="clear" w:color="auto" w:fill="0071CE"/>
          </w:tcPr>
          <w:p>
            <w:pPr>
              <w:spacing w:after="0"/>
              <w:rPr>
                <w:sz w:val="17"/>
                <w:szCs w:val="17"/>
                <w:color w:val="auto"/>
              </w:rPr>
            </w:pPr>
          </w:p>
        </w:tc>
        <w:tc>
          <w:tcPr>
            <w:tcW w:w="800" w:type="dxa"/>
            <w:vAlign w:val="bottom"/>
            <w:tcBorders>
              <w:bottom w:val="single" w:sz="8" w:color="0071CE"/>
            </w:tcBorders>
            <w:shd w:val="clear" w:color="auto" w:fill="0071CE"/>
          </w:tcPr>
          <w:p>
            <w:pPr>
              <w:jc w:val="right"/>
              <w:ind w:right="262"/>
              <w:spacing w:after="0"/>
              <w:rPr>
                <w:sz w:val="20"/>
                <w:szCs w:val="20"/>
                <w:color w:val="auto"/>
              </w:rPr>
            </w:pPr>
            <w:r>
              <w:rPr>
                <w:rFonts w:ascii="Arial" w:cs="Arial" w:eastAsia="Arial" w:hAnsi="Arial"/>
                <w:sz w:val="14"/>
                <w:szCs w:val="14"/>
                <w:b w:val="1"/>
                <w:bCs w:val="1"/>
                <w:color w:val="FFFFFF"/>
              </w:rPr>
              <w:t>(1) (2)</w:t>
            </w:r>
          </w:p>
        </w:tc>
        <w:tc>
          <w:tcPr>
            <w:tcW w:w="240" w:type="dxa"/>
            <w:vAlign w:val="bottom"/>
            <w:tcBorders>
              <w:bottom w:val="single" w:sz="8" w:color="0071CE"/>
            </w:tcBorders>
            <w:shd w:val="clear" w:color="auto" w:fill="0071CE"/>
          </w:tcPr>
          <w:p>
            <w:pPr>
              <w:spacing w:after="0"/>
              <w:rPr>
                <w:sz w:val="17"/>
                <w:szCs w:val="17"/>
                <w:color w:val="auto"/>
              </w:rPr>
            </w:pPr>
          </w:p>
        </w:tc>
        <w:tc>
          <w:tcPr>
            <w:tcW w:w="840" w:type="dxa"/>
            <w:vAlign w:val="bottom"/>
            <w:tcBorders>
              <w:bottom w:val="single" w:sz="8" w:color="0071CE"/>
            </w:tcBorders>
            <w:shd w:val="clear" w:color="auto" w:fill="0071CE"/>
          </w:tcPr>
          <w:p>
            <w:pPr>
              <w:jc w:val="right"/>
              <w:ind w:right="220"/>
              <w:spacing w:after="0"/>
              <w:rPr>
                <w:sz w:val="20"/>
                <w:szCs w:val="20"/>
                <w:color w:val="auto"/>
              </w:rPr>
            </w:pPr>
            <w:r>
              <w:rPr>
                <w:rFonts w:ascii="Arial" w:cs="Arial" w:eastAsia="Arial" w:hAnsi="Arial"/>
                <w:sz w:val="14"/>
                <w:szCs w:val="14"/>
                <w:b w:val="1"/>
                <w:bCs w:val="1"/>
                <w:color w:val="FFFFFF"/>
                <w:w w:val="95"/>
              </w:rPr>
              <w:t>Total ($)</w:t>
            </w:r>
          </w:p>
        </w:tc>
        <w:tc>
          <w:tcPr>
            <w:tcW w:w="0" w:type="dxa"/>
            <w:vAlign w:val="bottom"/>
          </w:tcPr>
          <w:p>
            <w:pPr>
              <w:spacing w:after="0"/>
              <w:rPr>
                <w:sz w:val="1"/>
                <w:szCs w:val="1"/>
                <w:color w:val="auto"/>
              </w:rPr>
            </w:pPr>
          </w:p>
        </w:tc>
      </w:tr>
      <w:tr>
        <w:trPr>
          <w:trHeight w:val="257"/>
        </w:trPr>
        <w:tc>
          <w:tcPr>
            <w:tcW w:w="74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Douglass Given (3)</w:t>
            </w:r>
          </w:p>
        </w:tc>
        <w:tc>
          <w:tcPr>
            <w:tcW w:w="5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125,417</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507,440</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632,857</w:t>
            </w:r>
          </w:p>
        </w:tc>
        <w:tc>
          <w:tcPr>
            <w:tcW w:w="0" w:type="dxa"/>
            <w:vAlign w:val="bottom"/>
          </w:tcPr>
          <w:p>
            <w:pPr>
              <w:spacing w:after="0"/>
              <w:rPr>
                <w:sz w:val="1"/>
                <w:szCs w:val="1"/>
                <w:color w:val="auto"/>
              </w:rPr>
            </w:pPr>
          </w:p>
        </w:tc>
      </w:tr>
      <w:tr>
        <w:trPr>
          <w:trHeight w:val="249"/>
        </w:trPr>
        <w:tc>
          <w:tcPr>
            <w:tcW w:w="7420" w:type="dxa"/>
            <w:vAlign w:val="bottom"/>
          </w:tcPr>
          <w:p>
            <w:pPr>
              <w:ind w:left="160"/>
              <w:spacing w:after="0"/>
              <w:rPr>
                <w:sz w:val="20"/>
                <w:szCs w:val="20"/>
                <w:color w:val="auto"/>
              </w:rPr>
            </w:pPr>
            <w:r>
              <w:rPr>
                <w:rFonts w:ascii="Arial" w:cs="Arial" w:eastAsia="Arial" w:hAnsi="Arial"/>
                <w:sz w:val="16"/>
                <w:szCs w:val="16"/>
                <w:color w:val="auto"/>
              </w:rPr>
              <w:t>Michael S. Perry</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80,000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507,440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587,440</w:t>
            </w:r>
          </w:p>
        </w:tc>
        <w:tc>
          <w:tcPr>
            <w:tcW w:w="0" w:type="dxa"/>
            <w:vAlign w:val="bottom"/>
          </w:tcPr>
          <w:p>
            <w:pPr>
              <w:spacing w:after="0"/>
              <w:rPr>
                <w:sz w:val="1"/>
                <w:szCs w:val="1"/>
                <w:color w:val="auto"/>
              </w:rPr>
            </w:pPr>
          </w:p>
        </w:tc>
      </w:tr>
      <w:tr>
        <w:trPr>
          <w:trHeight w:val="264"/>
        </w:trPr>
        <w:tc>
          <w:tcPr>
            <w:tcW w:w="74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Mauro Ferrari (4)</w:t>
            </w:r>
          </w:p>
        </w:tc>
        <w:tc>
          <w:tcPr>
            <w:tcW w:w="5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143,750</w:t>
            </w:r>
          </w:p>
        </w:tc>
        <w:tc>
          <w:tcPr>
            <w:tcW w:w="114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color w:val="auto"/>
              </w:rPr>
              <w:t>$1,572,310</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w w:val="98"/>
              </w:rPr>
              <w:t>1,716,060</w:t>
            </w:r>
          </w:p>
        </w:tc>
        <w:tc>
          <w:tcPr>
            <w:tcW w:w="0" w:type="dxa"/>
            <w:vAlign w:val="bottom"/>
          </w:tcPr>
          <w:p>
            <w:pPr>
              <w:spacing w:after="0"/>
              <w:rPr>
                <w:sz w:val="1"/>
                <w:szCs w:val="1"/>
                <w:color w:val="auto"/>
              </w:rPr>
            </w:pPr>
          </w:p>
        </w:tc>
      </w:tr>
      <w:tr>
        <w:trPr>
          <w:trHeight w:val="249"/>
        </w:trPr>
        <w:tc>
          <w:tcPr>
            <w:tcW w:w="7420" w:type="dxa"/>
            <w:vAlign w:val="bottom"/>
          </w:tcPr>
          <w:p>
            <w:pPr>
              <w:ind w:left="160"/>
              <w:spacing w:after="0"/>
              <w:rPr>
                <w:sz w:val="20"/>
                <w:szCs w:val="20"/>
                <w:color w:val="auto"/>
              </w:rPr>
            </w:pPr>
            <w:r>
              <w:rPr>
                <w:rFonts w:ascii="Arial" w:cs="Arial" w:eastAsia="Arial" w:hAnsi="Arial"/>
                <w:sz w:val="16"/>
                <w:szCs w:val="16"/>
                <w:color w:val="auto"/>
              </w:rPr>
              <w:t>William Waddill</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73,750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475,725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549,475</w:t>
            </w:r>
          </w:p>
        </w:tc>
        <w:tc>
          <w:tcPr>
            <w:tcW w:w="0" w:type="dxa"/>
            <w:vAlign w:val="bottom"/>
          </w:tcPr>
          <w:p>
            <w:pPr>
              <w:spacing w:after="0"/>
              <w:rPr>
                <w:sz w:val="1"/>
                <w:szCs w:val="1"/>
                <w:color w:val="auto"/>
              </w:rPr>
            </w:pPr>
          </w:p>
        </w:tc>
      </w:tr>
      <w:tr>
        <w:trPr>
          <w:trHeight w:val="264"/>
        </w:trPr>
        <w:tc>
          <w:tcPr>
            <w:tcW w:w="74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Marianne De Backer (5)</w:t>
            </w:r>
          </w:p>
        </w:tc>
        <w:tc>
          <w:tcPr>
            <w:tcW w:w="5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52,500</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812,325</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864,825</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0071CE"/>
            </w:tcBorders>
          </w:tcPr>
          <w:p>
            <w:pPr>
              <w:ind w:left="140"/>
              <w:spacing w:after="0"/>
              <w:rPr>
                <w:sz w:val="20"/>
                <w:szCs w:val="20"/>
                <w:color w:val="auto"/>
              </w:rPr>
            </w:pPr>
            <w:r>
              <w:rPr>
                <w:rFonts w:ascii="Arial" w:cs="Arial" w:eastAsia="Arial" w:hAnsi="Arial"/>
                <w:sz w:val="16"/>
                <w:szCs w:val="16"/>
                <w:color w:val="auto"/>
              </w:rPr>
              <w:t>Adeoye Olukotun (6)</w:t>
            </w:r>
          </w:p>
        </w:tc>
        <w:tc>
          <w:tcPr>
            <w:tcW w:w="500" w:type="dxa"/>
            <w:vAlign w:val="bottom"/>
            <w:tcBorders>
              <w:bottom w:val="single" w:sz="8" w:color="0071CE"/>
            </w:tcBorders>
          </w:tcPr>
          <w:p>
            <w:pPr>
              <w:ind w:left="3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71CE"/>
            </w:tcBorders>
          </w:tcPr>
          <w:p>
            <w:pPr>
              <w:jc w:val="right"/>
              <w:ind w:right="121"/>
              <w:spacing w:after="0"/>
              <w:rPr>
                <w:sz w:val="20"/>
                <w:szCs w:val="20"/>
                <w:color w:val="auto"/>
              </w:rPr>
            </w:pPr>
            <w:r>
              <w:rPr>
                <w:rFonts w:ascii="Arial" w:cs="Arial" w:eastAsia="Arial" w:hAnsi="Arial"/>
                <w:sz w:val="16"/>
                <w:szCs w:val="16"/>
                <w:color w:val="auto"/>
              </w:rPr>
              <w:t>23,333</w:t>
            </w:r>
          </w:p>
        </w:tc>
        <w:tc>
          <w:tcPr>
            <w:tcW w:w="34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71CE"/>
            </w:tcBorders>
          </w:tcPr>
          <w:p>
            <w:pPr>
              <w:jc w:val="right"/>
              <w:ind w:right="42"/>
              <w:spacing w:after="0"/>
              <w:rPr>
                <w:sz w:val="20"/>
                <w:szCs w:val="20"/>
                <w:color w:val="auto"/>
              </w:rPr>
            </w:pPr>
            <w:r>
              <w:rPr>
                <w:rFonts w:ascii="Arial" w:cs="Arial" w:eastAsia="Arial" w:hAnsi="Arial"/>
                <w:sz w:val="16"/>
                <w:szCs w:val="16"/>
                <w:color w:val="auto"/>
              </w:rPr>
              <w:t>176,000</w:t>
            </w:r>
          </w:p>
        </w:tc>
        <w:tc>
          <w:tcPr>
            <w:tcW w:w="24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0071CE"/>
            </w:tcBorders>
          </w:tcPr>
          <w:p>
            <w:pPr>
              <w:jc w:val="right"/>
              <w:ind w:right="40"/>
              <w:spacing w:after="0"/>
              <w:rPr>
                <w:sz w:val="20"/>
                <w:szCs w:val="20"/>
                <w:color w:val="auto"/>
              </w:rPr>
            </w:pPr>
            <w:r>
              <w:rPr>
                <w:rFonts w:ascii="Arial" w:cs="Arial" w:eastAsia="Arial" w:hAnsi="Arial"/>
                <w:sz w:val="16"/>
                <w:szCs w:val="16"/>
                <w:color w:val="auto"/>
              </w:rPr>
              <w:t>199,333</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40" w:right="540" w:hanging="424"/>
        <w:spacing w:after="0" w:line="291"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restricted stock units granted during fiscal year 2020 for each director.</w:t>
      </w:r>
    </w:p>
    <w:p>
      <w:pPr>
        <w:spacing w:after="0" w:line="14" w:lineRule="exact"/>
        <w:rPr>
          <w:rFonts w:ascii="Arial" w:cs="Arial" w:eastAsia="Arial" w:hAnsi="Arial"/>
          <w:sz w:val="14"/>
          <w:szCs w:val="14"/>
          <w:color w:val="auto"/>
        </w:rPr>
      </w:pPr>
    </w:p>
    <w:p>
      <w:pPr>
        <w:ind w:left="540" w:hanging="424"/>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 RSUs granted to Dr. Ferrari vested as discussed in footnote 4 below.</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Given’s fees earned in cash include his annual fees of $83,750 and cash compensation relating to a special board project of $41,667.</w:t>
      </w:r>
    </w:p>
    <w:p>
      <w:pPr>
        <w:spacing w:after="0" w:line="82" w:lineRule="exact"/>
        <w:rPr>
          <w:rFonts w:ascii="Arial" w:cs="Arial" w:eastAsia="Arial" w:hAnsi="Arial"/>
          <w:sz w:val="14"/>
          <w:szCs w:val="14"/>
          <w:color w:val="auto"/>
        </w:rPr>
      </w:pPr>
    </w:p>
    <w:p>
      <w:pPr>
        <w:ind w:left="540" w:right="160" w:hanging="424"/>
        <w:spacing w:after="0" w:line="258"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Ferrari’s fees earned in cash include his annual fees of $68,750 and cash compensation relating to a special board project of $75,000. Dr. Ferrari’s stock awards include an award of 26,571 shares of common stock on 2/17/20, valued at $1,096,585. This was made to make up the difference between the number of shares awarded to Dr. Ferrari originally in January 2019 and the number of shares awarded to other directors in January 2019. Additionally, Dr. Ferrari received an award of 7,500 RSUs in January 2020, valued at $475,725 and vesting 1 year from the grant date, which was commensurate with the other directors.</w:t>
      </w:r>
    </w:p>
    <w:p>
      <w:pPr>
        <w:spacing w:after="0" w:line="36" w:lineRule="exact"/>
        <w:rPr>
          <w:rFonts w:ascii="Arial" w:cs="Arial" w:eastAsia="Arial" w:hAnsi="Arial"/>
          <w:sz w:val="14"/>
          <w:szCs w:val="14"/>
          <w:color w:val="auto"/>
        </w:rPr>
      </w:pPr>
    </w:p>
    <w:p>
      <w:pPr>
        <w:ind w:left="540" w:right="120" w:hanging="424"/>
        <w:spacing w:after="0" w:line="266"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De Backer joined the board in December 2019. Upon joining the board, Dr. De Backer received an award of 5,000 RSUs, valued at $336,600 and vesting 1 year from the grant date. Additionally, Dr. De Backer received an award of 7,500 RSUs in January 2020, valued at $475,725 and vesting 1 year from the grant date, which was commensurate with the other directors.</w:t>
      </w:r>
    </w:p>
    <w:p>
      <w:pPr>
        <w:spacing w:after="0" w:line="31" w:lineRule="exact"/>
        <w:rPr>
          <w:rFonts w:ascii="Arial" w:cs="Arial" w:eastAsia="Arial" w:hAnsi="Arial"/>
          <w:sz w:val="14"/>
          <w:szCs w:val="14"/>
          <w:color w:val="auto"/>
        </w:rPr>
      </w:pPr>
    </w:p>
    <w:p>
      <w:pPr>
        <w:ind w:left="540" w:right="20" w:hanging="424"/>
        <w:spacing w:after="0" w:line="291"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Olukotun joined the board in September 2020. Upon joining the board, Dr. Olukotun received an award of 5,000 RSUs, valued at $176,000 and vesting 1 year from the grant date.</w:t>
      </w:r>
    </w:p>
    <w:p>
      <w:pPr>
        <w:spacing w:after="0" w:line="145" w:lineRule="exact"/>
        <w:rPr>
          <w:sz w:val="20"/>
          <w:szCs w:val="20"/>
          <w:color w:val="auto"/>
        </w:rPr>
      </w:pPr>
    </w:p>
    <w:p>
      <w:pPr>
        <w:jc w:val="both"/>
        <w:ind w:left="120" w:right="220"/>
        <w:spacing w:after="0" w:line="269" w:lineRule="auto"/>
        <w:rPr>
          <w:sz w:val="20"/>
          <w:szCs w:val="20"/>
          <w:color w:val="auto"/>
        </w:rPr>
      </w:pPr>
      <w:r>
        <w:rPr>
          <w:rFonts w:ascii="Arial" w:cs="Arial" w:eastAsia="Arial" w:hAnsi="Arial"/>
          <w:sz w:val="16"/>
          <w:szCs w:val="16"/>
          <w:color w:val="auto"/>
        </w:rPr>
        <w:t>As of the last day of fiscal year 2020, the directors held the following outstanding restricted stock unit grants in the aggregate: Douglass Given — 8,000 restricted stock units; Michael S. Perry — 8,000 restricted stock units; Mauro Ferrari — 7,500 restricted stock units; William Waddill — 7,500 restricted stock units; Marianne De Backer — 12,500 restricted stock units; and Adeoye Olukoton — 5,000 restricted stock units.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18"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The seven nominees receiving more “FOR” votes than “AGAINST” votes, assuming a quorum is present, will be elected to the seven director positions to serve until their terms expire or until their successors have been duly elected and qualified. Because directors are elected by a majority of votes cast, abstentions from voting and broker non-votes will be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132715</wp:posOffset>
            </wp:positionV>
            <wp:extent cx="3505835" cy="539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05835" cy="539750"/>
                    </a:xfrm>
                    <a:prstGeom prst="rect">
                      <a:avLst/>
                    </a:prstGeom>
                    <a:noFill/>
                  </pic:spPr>
                </pic:pic>
              </a:graphicData>
            </a:graphic>
          </wp:anchor>
        </w:drawing>
      </w:r>
    </w:p>
    <w:p>
      <w:pPr>
        <w:spacing w:after="0" w:line="264" w:lineRule="exact"/>
        <w:rPr>
          <w:sz w:val="20"/>
          <w:szCs w:val="20"/>
          <w:color w:val="auto"/>
        </w:rPr>
      </w:pPr>
    </w:p>
    <w:p>
      <w:pPr>
        <w:ind w:left="4020" w:right="2920"/>
        <w:spacing w:after="0" w:line="237"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EACH OF THE NOMINEES FOR DIRECTOR IN</w:t>
      </w:r>
      <w:r>
        <w:rPr>
          <w:rFonts w:ascii="Arial" w:cs="Arial" w:eastAsia="Arial" w:hAnsi="Arial"/>
          <w:sz w:val="21"/>
          <w:szCs w:val="21"/>
          <w:b w:val="1"/>
          <w:bCs w:val="1"/>
          <w:color w:val="0071CE"/>
        </w:rPr>
        <w:t xml:space="preserve"> </w:t>
      </w:r>
      <w:r>
        <w:rPr>
          <w:rFonts w:ascii="Arial" w:cs="Arial" w:eastAsia="Arial" w:hAnsi="Arial"/>
          <w:sz w:val="16"/>
          <w:szCs w:val="16"/>
          <w:b w:val="1"/>
          <w:bCs w:val="1"/>
          <w:color w:val="000000"/>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168910</wp:posOffset>
            </wp:positionV>
            <wp:extent cx="98615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75"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11</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56" w:lineRule="exact"/>
        <w:rPr>
          <w:sz w:val="20"/>
          <w:szCs w:val="20"/>
          <w:color w:val="auto"/>
        </w:rPr>
      </w:pPr>
    </w:p>
    <w:p>
      <w:pPr>
        <w:ind w:left="120" w:right="200"/>
        <w:spacing w:after="0" w:line="294" w:lineRule="auto"/>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of this proxy statement for the year ended September 30, 2020. The Board is asking stockholders to cast a non-binding, advisory vote FOR the following resolution:</w:t>
      </w:r>
    </w:p>
    <w:p>
      <w:pPr>
        <w:spacing w:after="0" w:line="37" w:lineRule="exact"/>
        <w:rPr>
          <w:sz w:val="20"/>
          <w:szCs w:val="20"/>
          <w:color w:val="auto"/>
        </w:rPr>
      </w:pPr>
    </w:p>
    <w:p>
      <w:pPr>
        <w:ind w:left="560" w:right="100"/>
        <w:spacing w:after="0" w:line="291"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is hereby APPROVED.”</w:t>
      </w:r>
    </w:p>
    <w:p>
      <w:pPr>
        <w:spacing w:after="0" w:line="148"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NEOs.</w:t>
      </w:r>
    </w:p>
    <w:p>
      <w:pPr>
        <w:spacing w:after="0" w:line="148" w:lineRule="exact"/>
        <w:rPr>
          <w:sz w:val="20"/>
          <w:szCs w:val="20"/>
          <w:color w:val="auto"/>
        </w:rPr>
      </w:pPr>
    </w:p>
    <w:p>
      <w:pPr>
        <w:ind w:left="120" w:right="420"/>
        <w:spacing w:after="0" w:line="291"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2022.</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1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122555</wp:posOffset>
            </wp:positionV>
            <wp:extent cx="3505835" cy="539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05835" cy="539750"/>
                    </a:xfrm>
                    <a:prstGeom prst="rect">
                      <a:avLst/>
                    </a:prstGeom>
                    <a:noFill/>
                  </pic:spPr>
                </pic:pic>
              </a:graphicData>
            </a:graphic>
          </wp:anchor>
        </w:drawing>
      </w:r>
    </w:p>
    <w:p>
      <w:pPr>
        <w:spacing w:after="0" w:line="247" w:lineRule="exact"/>
        <w:rPr>
          <w:sz w:val="20"/>
          <w:szCs w:val="20"/>
          <w:color w:val="auto"/>
        </w:rPr>
      </w:pPr>
    </w:p>
    <w:p>
      <w:pPr>
        <w:ind w:left="4020" w:right="3000"/>
        <w:spacing w:after="0" w:line="292"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258445</wp:posOffset>
            </wp:positionV>
            <wp:extent cx="986155"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3220"/>
        <w:spacing w:after="0"/>
        <w:tabs>
          <w:tab w:leader="none" w:pos="51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2021 Incentive Plan</w:t>
      </w:r>
    </w:p>
    <w:p>
      <w:pPr>
        <w:spacing w:after="0" w:line="123" w:lineRule="exact"/>
        <w:rPr>
          <w:sz w:val="20"/>
          <w:szCs w:val="20"/>
          <w:color w:val="auto"/>
        </w:rPr>
      </w:pPr>
    </w:p>
    <w:p>
      <w:pPr>
        <w:ind w:left="120" w:right="600"/>
        <w:spacing w:after="0" w:line="306" w:lineRule="auto"/>
        <w:rPr>
          <w:sz w:val="20"/>
          <w:szCs w:val="20"/>
          <w:color w:val="auto"/>
        </w:rPr>
      </w:pPr>
      <w:r>
        <w:rPr>
          <w:rFonts w:ascii="Arial" w:cs="Arial" w:eastAsia="Arial" w:hAnsi="Arial"/>
          <w:sz w:val="32"/>
          <w:szCs w:val="32"/>
          <w:b w:val="1"/>
          <w:bCs w:val="1"/>
          <w:color w:val="0071CE"/>
        </w:rPr>
        <w:t>Proposal Three — Approval of the Arrowhead Pharmaceuticals, Inc. 2021 Incentive Plan</w:t>
      </w:r>
    </w:p>
    <w:p>
      <w:pPr>
        <w:spacing w:after="0" w:line="16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 xml:space="preserve">In Proposal 3, we are asking stockholders to approve the adoption of the Arrowhead Pharmaceuticals, Inc. 2021 Incentive Plan (the “ </w:t>
      </w:r>
      <w:r>
        <w:rPr>
          <w:rFonts w:ascii="Arial" w:cs="Arial" w:eastAsia="Arial" w:hAnsi="Arial"/>
          <w:sz w:val="16"/>
          <w:szCs w:val="16"/>
          <w:b w:val="1"/>
          <w:bCs w:val="1"/>
          <w:color w:val="auto"/>
        </w:rPr>
        <w:t>2021 Plan</w:t>
      </w:r>
      <w:r>
        <w:rPr>
          <w:rFonts w:ascii="Arial" w:cs="Arial" w:eastAsia="Arial" w:hAnsi="Arial"/>
          <w:sz w:val="16"/>
          <w:szCs w:val="16"/>
          <w:color w:val="auto"/>
        </w:rPr>
        <w:t>”). The 2021 Plan was adopted by the Board on January 26, 2021and will become effective only after approval of stockholders at the Annual Meeting. We believe that employees, directors, consultants and key advisors should have a significant stake in the Company under programs that link compensation to stockholder return. As a result, equity compensation is considered to be an integral part of the Company’s compensation program. The Board approved the 2021 Plan because our 2013 Incentive Plan (the “</w:t>
      </w:r>
      <w:r>
        <w:rPr>
          <w:rFonts w:ascii="Arial" w:cs="Arial" w:eastAsia="Arial" w:hAnsi="Arial"/>
          <w:sz w:val="16"/>
          <w:szCs w:val="16"/>
          <w:b w:val="1"/>
          <w:bCs w:val="1"/>
          <w:color w:val="auto"/>
        </w:rPr>
        <w:t>2013 Plan</w:t>
      </w:r>
      <w:r>
        <w:rPr>
          <w:rFonts w:ascii="Arial" w:cs="Arial" w:eastAsia="Arial" w:hAnsi="Arial"/>
          <w:sz w:val="16"/>
          <w:szCs w:val="16"/>
          <w:color w:val="auto"/>
        </w:rPr>
        <w:t>”) has very limited remaining shares in the 2013 Plan available for grant and the Company does not have any other plans under which equity awards can be granted. If stockholders approve the 2021 Plan, available shares under the 2013 Plan will be cancelled.</w:t>
      </w:r>
    </w:p>
    <w:p>
      <w:pPr>
        <w:spacing w:after="0" w:line="178" w:lineRule="exact"/>
        <w:rPr>
          <w:sz w:val="20"/>
          <w:szCs w:val="20"/>
          <w:color w:val="auto"/>
        </w:rPr>
      </w:pPr>
    </w:p>
    <w:p>
      <w:pPr>
        <w:ind w:left="120" w:right="740"/>
        <w:spacing w:after="0" w:line="291" w:lineRule="auto"/>
        <w:rPr>
          <w:sz w:val="20"/>
          <w:szCs w:val="20"/>
          <w:color w:val="auto"/>
        </w:rPr>
      </w:pPr>
      <w:r>
        <w:rPr>
          <w:rFonts w:ascii="Arial" w:cs="Arial" w:eastAsia="Arial" w:hAnsi="Arial"/>
          <w:sz w:val="16"/>
          <w:szCs w:val="16"/>
          <w:color w:val="auto"/>
        </w:rPr>
        <w:t>The Board believes that the 2021 Plan will promote the interests of stockholders and is consistent with principles of good corporate governance, including:</w:t>
      </w:r>
    </w:p>
    <w:p>
      <w:pPr>
        <w:spacing w:after="0" w:line="53" w:lineRule="exact"/>
        <w:rPr>
          <w:sz w:val="20"/>
          <w:szCs w:val="20"/>
          <w:color w:val="auto"/>
        </w:rPr>
      </w:pPr>
    </w:p>
    <w:p>
      <w:pPr>
        <w:ind w:left="440" w:right="140" w:hanging="216"/>
        <w:spacing w:after="0" w:line="291" w:lineRule="auto"/>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i w:val="1"/>
          <w:iCs w:val="1"/>
          <w:color w:val="auto"/>
        </w:rPr>
        <w:t>Independent Committee</w:t>
      </w:r>
      <w:r>
        <w:rPr>
          <w:rFonts w:ascii="Arial" w:cs="Arial" w:eastAsia="Arial" w:hAnsi="Arial"/>
          <w:sz w:val="16"/>
          <w:szCs w:val="16"/>
          <w:color w:val="auto"/>
        </w:rPr>
        <w:t>. The 2021 Plan will be administered by our Compensation Committee, which is composed entirely of independent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who meet the Nasdaq standards for independence and who meet the definition of “non-employee directors” under Rule 16b-3(b)(3).</w:t>
      </w:r>
    </w:p>
    <w:p>
      <w:pPr>
        <w:spacing w:after="0" w:line="51" w:lineRule="exact"/>
        <w:rPr>
          <w:rFonts w:ascii="Arial" w:cs="Arial" w:eastAsia="Arial" w:hAnsi="Arial"/>
          <w:sz w:val="16"/>
          <w:szCs w:val="16"/>
          <w:color w:val="0071CE"/>
        </w:rPr>
      </w:pPr>
    </w:p>
    <w:p>
      <w:pPr>
        <w:ind w:left="440" w:right="120" w:hanging="216"/>
        <w:spacing w:after="0" w:line="294" w:lineRule="auto"/>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i w:val="1"/>
          <w:iCs w:val="1"/>
          <w:color w:val="auto"/>
        </w:rPr>
        <w:t>No Discounted Stock Options or SARs</w:t>
      </w:r>
      <w:r>
        <w:rPr>
          <w:rFonts w:ascii="Arial" w:cs="Arial" w:eastAsia="Arial" w:hAnsi="Arial"/>
          <w:sz w:val="16"/>
          <w:szCs w:val="16"/>
          <w:color w:val="auto"/>
        </w:rPr>
        <w:t>. All stock option and stock appreciation rights (“</w:t>
      </w:r>
      <w:r>
        <w:rPr>
          <w:rFonts w:ascii="Arial" w:cs="Arial" w:eastAsia="Arial" w:hAnsi="Arial"/>
          <w:sz w:val="16"/>
          <w:szCs w:val="16"/>
          <w:b w:val="1"/>
          <w:bCs w:val="1"/>
          <w:color w:val="auto"/>
        </w:rPr>
        <w:t>SAR</w:t>
      </w:r>
      <w:r>
        <w:rPr>
          <w:rFonts w:ascii="Arial" w:cs="Arial" w:eastAsia="Arial" w:hAnsi="Arial"/>
          <w:sz w:val="16"/>
          <w:szCs w:val="16"/>
          <w:color w:val="auto"/>
        </w:rPr>
        <w:t>”) awards under the 2021 Plan must have an exercise or</w:t>
      </w:r>
      <w:r>
        <w:rPr>
          <w:rFonts w:ascii="Arial" w:cs="Arial" w:eastAsia="Arial" w:hAnsi="Arial"/>
          <w:sz w:val="16"/>
          <w:szCs w:val="16"/>
          <w:i w:val="1"/>
          <w:iCs w:val="1"/>
          <w:color w:val="auto"/>
        </w:rPr>
        <w:t xml:space="preserve"> </w:t>
      </w:r>
      <w:r>
        <w:rPr>
          <w:rFonts w:ascii="Arial" w:cs="Arial" w:eastAsia="Arial" w:hAnsi="Arial"/>
          <w:sz w:val="16"/>
          <w:szCs w:val="16"/>
          <w:color w:val="auto"/>
        </w:rPr>
        <w:t>base price that is not less than the fair market value of the underlying common stock on the date of grant.</w:t>
      </w:r>
    </w:p>
    <w:p>
      <w:pPr>
        <w:spacing w:after="0" w:line="50" w:lineRule="exact"/>
        <w:rPr>
          <w:rFonts w:ascii="Arial" w:cs="Arial" w:eastAsia="Arial" w:hAnsi="Arial"/>
          <w:sz w:val="16"/>
          <w:szCs w:val="16"/>
          <w:color w:val="0071CE"/>
        </w:rPr>
      </w:pPr>
    </w:p>
    <w:p>
      <w:pPr>
        <w:ind w:left="660" w:right="120" w:hanging="220"/>
        <w:spacing w:after="0" w:line="291" w:lineRule="auto"/>
        <w:tabs>
          <w:tab w:leader="none" w:pos="660" w:val="left"/>
        </w:tabs>
        <w:numPr>
          <w:ilvl w:val="1"/>
          <w:numId w:val="24"/>
        </w:numPr>
        <w:rPr>
          <w:rFonts w:ascii="Arial" w:cs="Arial" w:eastAsia="Arial" w:hAnsi="Arial"/>
          <w:sz w:val="16"/>
          <w:szCs w:val="16"/>
          <w:color w:val="0071CE"/>
        </w:rPr>
      </w:pPr>
      <w:r>
        <w:rPr>
          <w:rFonts w:ascii="Arial" w:cs="Arial" w:eastAsia="Arial" w:hAnsi="Arial"/>
          <w:sz w:val="16"/>
          <w:szCs w:val="16"/>
          <w:i w:val="1"/>
          <w:iCs w:val="1"/>
          <w:color w:val="auto"/>
        </w:rPr>
        <w:t>No Repricing</w:t>
      </w:r>
      <w:r>
        <w:rPr>
          <w:rFonts w:ascii="Arial" w:cs="Arial" w:eastAsia="Arial" w:hAnsi="Arial"/>
          <w:sz w:val="16"/>
          <w:szCs w:val="16"/>
          <w:color w:val="auto"/>
        </w:rPr>
        <w:t>. Other than in connection with a corporate transaction affecting the Company, the 2021 Plan prohibits any repricing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SARs without stockholder approval.</w:t>
      </w:r>
    </w:p>
    <w:p>
      <w:pPr>
        <w:spacing w:after="0" w:line="53" w:lineRule="exact"/>
        <w:rPr>
          <w:rFonts w:ascii="Arial" w:cs="Arial" w:eastAsia="Arial" w:hAnsi="Arial"/>
          <w:sz w:val="16"/>
          <w:szCs w:val="16"/>
          <w:color w:val="0071CE"/>
        </w:rPr>
      </w:pPr>
    </w:p>
    <w:p>
      <w:pPr>
        <w:ind w:left="660" w:right="180" w:hanging="220"/>
        <w:spacing w:after="0" w:line="291" w:lineRule="auto"/>
        <w:tabs>
          <w:tab w:leader="none" w:pos="660" w:val="left"/>
        </w:tabs>
        <w:numPr>
          <w:ilvl w:val="1"/>
          <w:numId w:val="24"/>
        </w:numPr>
        <w:rPr>
          <w:rFonts w:ascii="Arial" w:cs="Arial" w:eastAsia="Arial" w:hAnsi="Arial"/>
          <w:sz w:val="16"/>
          <w:szCs w:val="16"/>
          <w:color w:val="0071CE"/>
        </w:rPr>
      </w:pPr>
      <w:r>
        <w:rPr>
          <w:rFonts w:ascii="Arial" w:cs="Arial" w:eastAsia="Arial" w:hAnsi="Arial"/>
          <w:sz w:val="16"/>
          <w:szCs w:val="16"/>
          <w:i w:val="1"/>
          <w:iCs w:val="1"/>
          <w:color w:val="auto"/>
        </w:rPr>
        <w:t>No Dividends on Unvested Awards</w:t>
      </w:r>
      <w:r>
        <w:rPr>
          <w:rFonts w:ascii="Arial" w:cs="Arial" w:eastAsia="Arial" w:hAnsi="Arial"/>
          <w:sz w:val="16"/>
          <w:szCs w:val="16"/>
          <w:color w:val="auto"/>
        </w:rPr>
        <w:t>. Dividends or dividend equivalent amounts payable in respect of awards are subject to the same vesting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restrictions as apply to the underlying awards.</w:t>
      </w:r>
    </w:p>
    <w:p>
      <w:pPr>
        <w:spacing w:after="0" w:line="53" w:lineRule="exact"/>
        <w:rPr>
          <w:rFonts w:ascii="Arial" w:cs="Arial" w:eastAsia="Arial" w:hAnsi="Arial"/>
          <w:sz w:val="16"/>
          <w:szCs w:val="16"/>
          <w:color w:val="0071CE"/>
        </w:rPr>
      </w:pPr>
    </w:p>
    <w:p>
      <w:pPr>
        <w:ind w:left="440" w:right="80" w:hanging="216"/>
        <w:spacing w:after="0" w:line="261" w:lineRule="auto"/>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i w:val="1"/>
          <w:iCs w:val="1"/>
          <w:color w:val="auto"/>
        </w:rPr>
        <w:t>Minimum Vesting</w:t>
      </w:r>
      <w:r>
        <w:rPr>
          <w:rFonts w:ascii="Arial" w:cs="Arial" w:eastAsia="Arial" w:hAnsi="Arial"/>
          <w:sz w:val="16"/>
          <w:szCs w:val="16"/>
          <w:color w:val="auto"/>
        </w:rPr>
        <w:t>. All awards are subject to a one-year minimum vesting requirement, provided that we may grant up to a maximum of 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number of shares available for issuance under the 2021 Plan without such a minimum vesting period and provided further that awards to non-employee directors need not comply with the one year minimum vesting requirement so long as such awards do not vest earlier than the date of the annual meeting following the grant date.</w:t>
      </w:r>
    </w:p>
    <w:p>
      <w:pPr>
        <w:spacing w:after="0" w:line="77" w:lineRule="exact"/>
        <w:rPr>
          <w:rFonts w:ascii="Arial" w:cs="Arial" w:eastAsia="Arial" w:hAnsi="Arial"/>
          <w:sz w:val="16"/>
          <w:szCs w:val="16"/>
          <w:color w:val="0071CE"/>
        </w:rPr>
      </w:pPr>
    </w:p>
    <w:p>
      <w:pPr>
        <w:ind w:left="440" w:right="100" w:hanging="216"/>
        <w:spacing w:after="0" w:line="269" w:lineRule="auto"/>
        <w:tabs>
          <w:tab w:leader="none" w:pos="4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Holding Period. All awards granted under the 2021 Plan to our Chief Executive Officer will be subject to a 12-month holding period requirement pursuant to which the Chief Executive Officer may not transfer or dispose of any shares received upon exercise or settlement of an award (net of tax withholding) for a period of 12 months following the date of such exercise or settlement.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Existing Equity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We currently have two plans that provide for equity-based compensation. Under the 2004 Equity Incentive Plan and 2013 Incentive Plan, as of January 14, 2021, 496,793 and 6,647,989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January 14, 2021, there were options granted and outstanding to purchase 496,793 and 2,286,884 shares of Common Stock under the 2004 Equity Incentive Plan and the 2013 Incentive Plan, respectively, and there were 3,229,700 restricted stock units granted and outstanding under the 2013 Incentive Plan. Also, as of January 14, 2021, there were 1,231,449 shares reserved for options and 731,700 shares reserved for restricted stock units issued as inducement grants to new employees outside of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80645</wp:posOffset>
            </wp:positionV>
            <wp:extent cx="98615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6"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2021 Incentive Plan</w:t>
      </w:r>
    </w:p>
    <w:p>
      <w:pPr>
        <w:spacing w:after="0" w:line="14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following table includes aggregated information regarding awards outstanding as of January 14, 2021, and the proposed number of shares issuable under the 2021 Plan:</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120" w:type="dxa"/>
            <w:vAlign w:val="bottom"/>
            <w:tcBorders>
              <w:top w:val="single" w:sz="8" w:color="0071CE"/>
            </w:tcBorders>
            <w:shd w:val="clear" w:color="auto" w:fill="E5F0FA"/>
          </w:tcPr>
          <w:p>
            <w:pPr>
              <w:ind w:left="60"/>
              <w:spacing w:after="0"/>
              <w:rPr>
                <w:sz w:val="20"/>
                <w:szCs w:val="20"/>
                <w:color w:val="auto"/>
              </w:rPr>
            </w:pPr>
            <w:r>
              <w:rPr>
                <w:rFonts w:ascii="Arial" w:cs="Arial" w:eastAsia="Arial" w:hAnsi="Arial"/>
                <w:sz w:val="18"/>
                <w:szCs w:val="18"/>
                <w:color w:val="auto"/>
              </w:rPr>
              <w:t>Outstanding Appreciation Awards Under All Plans</w:t>
            </w:r>
          </w:p>
        </w:tc>
        <w:tc>
          <w:tcPr>
            <w:tcW w:w="2860" w:type="dxa"/>
            <w:vAlign w:val="bottom"/>
            <w:tcBorders>
              <w:top w:val="single" w:sz="8" w:color="0071CE"/>
            </w:tcBorders>
            <w:shd w:val="clear" w:color="auto" w:fill="E5F0FA"/>
          </w:tcPr>
          <w:p>
            <w:pPr>
              <w:spacing w:after="0"/>
              <w:rPr>
                <w:sz w:val="18"/>
                <w:szCs w:val="18"/>
                <w:color w:val="auto"/>
              </w:rPr>
            </w:pPr>
          </w:p>
        </w:tc>
        <w:tc>
          <w:tcPr>
            <w:tcW w:w="1040" w:type="dxa"/>
            <w:vAlign w:val="bottom"/>
            <w:tcBorders>
              <w:top w:val="single" w:sz="8" w:color="0071CE"/>
            </w:tcBorders>
            <w:shd w:val="clear" w:color="auto" w:fill="E5F0FA"/>
          </w:tcPr>
          <w:p>
            <w:pPr>
              <w:jc w:val="right"/>
              <w:ind w:right="130"/>
              <w:spacing w:after="0"/>
              <w:rPr>
                <w:sz w:val="20"/>
                <w:szCs w:val="20"/>
                <w:color w:val="auto"/>
              </w:rPr>
            </w:pPr>
            <w:r>
              <w:rPr>
                <w:rFonts w:ascii="Arial" w:cs="Arial" w:eastAsia="Arial" w:hAnsi="Arial"/>
                <w:sz w:val="18"/>
                <w:szCs w:val="18"/>
                <w:color w:val="auto"/>
                <w:w w:val="99"/>
              </w:rPr>
              <w:t>4,015,126</w:t>
            </w:r>
          </w:p>
        </w:tc>
      </w:tr>
      <w:tr>
        <w:trPr>
          <w:trHeight w:val="203"/>
        </w:trPr>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Weighted Average Exercise Price</w:t>
            </w:r>
          </w:p>
        </w:tc>
        <w:tc>
          <w:tcPr>
            <w:tcW w:w="2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19.31</w:t>
            </w:r>
          </w:p>
        </w:tc>
      </w:tr>
      <w:tr>
        <w:trPr>
          <w:trHeight w:val="203"/>
        </w:trPr>
        <w:tc>
          <w:tcPr>
            <w:tcW w:w="7120" w:type="dxa"/>
            <w:vAlign w:val="bottom"/>
            <w:shd w:val="clear" w:color="auto" w:fill="E5F0FA"/>
          </w:tcPr>
          <w:p>
            <w:pPr>
              <w:ind w:left="60"/>
              <w:spacing w:after="0" w:line="202" w:lineRule="exact"/>
              <w:rPr>
                <w:sz w:val="20"/>
                <w:szCs w:val="20"/>
                <w:color w:val="auto"/>
              </w:rPr>
            </w:pPr>
            <w:r>
              <w:rPr>
                <w:rFonts w:ascii="Arial" w:cs="Arial" w:eastAsia="Arial" w:hAnsi="Arial"/>
                <w:sz w:val="18"/>
                <w:szCs w:val="18"/>
                <w:color w:val="auto"/>
              </w:rPr>
              <w:t>Weighted Average Remaining Term</w:t>
            </w:r>
          </w:p>
        </w:tc>
        <w:tc>
          <w:tcPr>
            <w:tcW w:w="2860" w:type="dxa"/>
            <w:vAlign w:val="bottom"/>
            <w:shd w:val="clear" w:color="auto" w:fill="E5F0FA"/>
          </w:tcPr>
          <w:p>
            <w:pPr>
              <w:spacing w:after="0"/>
              <w:rPr>
                <w:sz w:val="17"/>
                <w:szCs w:val="17"/>
                <w:color w:val="auto"/>
              </w:rPr>
            </w:pPr>
          </w:p>
        </w:tc>
        <w:tc>
          <w:tcPr>
            <w:tcW w:w="1040" w:type="dxa"/>
            <w:vAlign w:val="bottom"/>
            <w:shd w:val="clear" w:color="auto" w:fill="E5F0FA"/>
          </w:tcPr>
          <w:p>
            <w:pPr>
              <w:jc w:val="right"/>
              <w:ind w:right="130"/>
              <w:spacing w:after="0" w:line="202" w:lineRule="exact"/>
              <w:rPr>
                <w:sz w:val="20"/>
                <w:szCs w:val="20"/>
                <w:color w:val="auto"/>
              </w:rPr>
            </w:pPr>
            <w:r>
              <w:rPr>
                <w:rFonts w:ascii="Arial" w:cs="Arial" w:eastAsia="Arial" w:hAnsi="Arial"/>
                <w:sz w:val="18"/>
                <w:szCs w:val="18"/>
                <w:color w:val="auto"/>
              </w:rPr>
              <w:t>4.8</w:t>
            </w:r>
          </w:p>
        </w:tc>
      </w:tr>
      <w:tr>
        <w:trPr>
          <w:trHeight w:val="203"/>
        </w:trPr>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Outstanding Full Value Awards Under All Plans</w:t>
            </w:r>
          </w:p>
        </w:tc>
        <w:tc>
          <w:tcPr>
            <w:tcW w:w="2860" w:type="dxa"/>
            <w:vAlign w:val="bottom"/>
          </w:tcPr>
          <w:p>
            <w:pPr>
              <w:spacing w:after="0"/>
              <w:rPr>
                <w:sz w:val="17"/>
                <w:szCs w:val="17"/>
                <w:color w:val="auto"/>
              </w:rPr>
            </w:pP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3,961,400</w:t>
            </w:r>
          </w:p>
        </w:tc>
      </w:tr>
      <w:tr>
        <w:trPr>
          <w:trHeight w:val="203"/>
        </w:trPr>
        <w:tc>
          <w:tcPr>
            <w:tcW w:w="7120" w:type="dxa"/>
            <w:vAlign w:val="bottom"/>
            <w:shd w:val="clear" w:color="auto" w:fill="E5F0FA"/>
          </w:tcPr>
          <w:p>
            <w:pPr>
              <w:ind w:left="60"/>
              <w:spacing w:after="0" w:line="202" w:lineRule="exact"/>
              <w:rPr>
                <w:sz w:val="20"/>
                <w:szCs w:val="20"/>
                <w:color w:val="auto"/>
              </w:rPr>
            </w:pPr>
            <w:r>
              <w:rPr>
                <w:rFonts w:ascii="Arial" w:cs="Arial" w:eastAsia="Arial" w:hAnsi="Arial"/>
                <w:sz w:val="18"/>
                <w:szCs w:val="18"/>
                <w:color w:val="auto"/>
              </w:rPr>
              <w:t>Number of Shares Available for Grant Under All Plans</w:t>
            </w:r>
          </w:p>
        </w:tc>
        <w:tc>
          <w:tcPr>
            <w:tcW w:w="2860" w:type="dxa"/>
            <w:vAlign w:val="bottom"/>
            <w:shd w:val="clear" w:color="auto" w:fill="E5F0FA"/>
          </w:tcPr>
          <w:p>
            <w:pPr>
              <w:spacing w:after="0"/>
              <w:rPr>
                <w:sz w:val="17"/>
                <w:szCs w:val="17"/>
                <w:color w:val="auto"/>
              </w:rPr>
            </w:pPr>
          </w:p>
        </w:tc>
        <w:tc>
          <w:tcPr>
            <w:tcW w:w="1040" w:type="dxa"/>
            <w:vAlign w:val="bottom"/>
            <w:shd w:val="clear" w:color="auto" w:fill="E5F0FA"/>
          </w:tcPr>
          <w:p>
            <w:pPr>
              <w:jc w:val="right"/>
              <w:ind w:right="130"/>
              <w:spacing w:after="0" w:line="202" w:lineRule="exact"/>
              <w:rPr>
                <w:sz w:val="20"/>
                <w:szCs w:val="20"/>
                <w:color w:val="auto"/>
              </w:rPr>
            </w:pPr>
            <w:r>
              <w:rPr>
                <w:rFonts w:ascii="Arial" w:cs="Arial" w:eastAsia="Arial" w:hAnsi="Arial"/>
                <w:sz w:val="18"/>
                <w:szCs w:val="18"/>
                <w:color w:val="auto"/>
                <w:w w:val="99"/>
              </w:rPr>
              <w:t>1,178,905</w:t>
            </w:r>
          </w:p>
        </w:tc>
      </w:tr>
      <w:tr>
        <w:trPr>
          <w:trHeight w:val="203"/>
        </w:trPr>
        <w:tc>
          <w:tcPr>
            <w:tcW w:w="7120" w:type="dxa"/>
            <w:vAlign w:val="bottom"/>
            <w:tcBorders>
              <w:bottom w:val="single" w:sz="8" w:color="0071CE"/>
            </w:tcBorders>
          </w:tcPr>
          <w:p>
            <w:pPr>
              <w:ind w:left="60"/>
              <w:spacing w:after="0" w:line="202" w:lineRule="exact"/>
              <w:rPr>
                <w:sz w:val="20"/>
                <w:szCs w:val="20"/>
                <w:color w:val="auto"/>
              </w:rPr>
            </w:pPr>
            <w:r>
              <w:rPr>
                <w:rFonts w:ascii="Arial" w:cs="Arial" w:eastAsia="Arial" w:hAnsi="Arial"/>
                <w:sz w:val="18"/>
                <w:szCs w:val="18"/>
                <w:color w:val="auto"/>
              </w:rPr>
              <w:t>Number of Shares Requested for 2021 Plan</w:t>
            </w:r>
          </w:p>
        </w:tc>
        <w:tc>
          <w:tcPr>
            <w:tcW w:w="2860" w:type="dxa"/>
            <w:vAlign w:val="bottom"/>
            <w:tcBorders>
              <w:bottom w:val="single" w:sz="8" w:color="0071CE"/>
            </w:tcBorders>
          </w:tcPr>
          <w:p>
            <w:pPr>
              <w:spacing w:after="0"/>
              <w:rPr>
                <w:sz w:val="17"/>
                <w:szCs w:val="17"/>
                <w:color w:val="auto"/>
              </w:rPr>
            </w:pPr>
          </w:p>
        </w:tc>
        <w:tc>
          <w:tcPr>
            <w:tcW w:w="1040" w:type="dxa"/>
            <w:vAlign w:val="bottom"/>
            <w:tcBorders>
              <w:bottom w:val="single" w:sz="8" w:color="0071CE"/>
            </w:tcBorders>
          </w:tcPr>
          <w:p>
            <w:pPr>
              <w:jc w:val="right"/>
              <w:ind w:right="130"/>
              <w:spacing w:after="0" w:line="202" w:lineRule="exact"/>
              <w:rPr>
                <w:sz w:val="20"/>
                <w:szCs w:val="20"/>
                <w:color w:val="auto"/>
              </w:rPr>
            </w:pPr>
            <w:r>
              <w:rPr>
                <w:rFonts w:ascii="Arial" w:cs="Arial" w:eastAsia="Arial" w:hAnsi="Arial"/>
                <w:sz w:val="18"/>
                <w:szCs w:val="18"/>
                <w:color w:val="auto"/>
                <w:w w:val="99"/>
              </w:rPr>
              <w:t>8,000,000</w:t>
            </w: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Reasons for Seeking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120"/>
        <w:spacing w:after="0" w:line="257" w:lineRule="auto"/>
        <w:rPr>
          <w:sz w:val="20"/>
          <w:szCs w:val="20"/>
          <w:color w:val="auto"/>
        </w:rPr>
      </w:pPr>
      <w:r>
        <w:rPr>
          <w:rFonts w:ascii="Arial" w:cs="Arial" w:eastAsia="Arial" w:hAnsi="Arial"/>
          <w:sz w:val="16"/>
          <w:szCs w:val="16"/>
          <w:color w:val="auto"/>
        </w:rPr>
        <w:t>The Board believes that equity grants are a critical part of the Company’s compensation program. Stockholder approval of the 2021 Plan would allow us to continue to attract and retain employees, directors, consultants and key advisors with equity incentives. The Board believes that the number of shares authorized to be issued under the 2021 Plan is necessary in order to continue to meet our compensation objectives. Stock-based awards comprise a significant component of the compensation of our executive management team and are important tool in attracting and retaining key employees. Furthermore, the Board believes the grant of equity based compensation awards aligns the long-term interests of stockholders and key employees.</w:t>
      </w:r>
    </w:p>
    <w:p>
      <w:pPr>
        <w:spacing w:after="0" w:line="176"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When approving the 2021 Plan and the number of shares available for issuance thereunder, the Board considered the burn rate with respect to the equity awards granted by the Company, as well as the Company’s overhang. The burn rate is equal to the total number of equity awards the Company granted in a fiscal year divided by the weighted average common stock outstanding during the year. Overhang is equal to the total number of equity awards outstanding plus the total number of shares available for grant under the Company’s equity plans, divided by the sum of the total common stock outstanding, the number of equity awards outstanding and the total number of shares available for grant under the Company’s equity plans. The Company’s three-year average burn ratefor fiscal years 2020, 2019, and 2018, was approximately 2.8%. The Company’s overhang as of September 30, 2020 was 7.6%. If the 2021 Plan is approved, the Company’s overhang would increase to 13.3%. If this Proposal Three is approved, it is expected we will have enough shares to fund future equity grants under the 2021 Plan for approximately the next five years.</w:t>
      </w:r>
    </w:p>
    <w:p>
      <w:pPr>
        <w:spacing w:after="0" w:line="183"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Our stockholders approved the 2013 Plan at our Annual Meeting in 2014. If stockholders do not approve this Proposal Three, the Company can continue to make awards under the 2013 Plan, but we will have very limited shares available for future equity grants.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Summary of the 2021 Plan</w:t>
      </w:r>
    </w:p>
    <w:p>
      <w:pPr>
        <w:spacing w:after="0" w:line="110" w:lineRule="exact"/>
        <w:rPr>
          <w:sz w:val="20"/>
          <w:szCs w:val="20"/>
          <w:color w:val="auto"/>
        </w:rPr>
      </w:pPr>
    </w:p>
    <w:p>
      <w:pPr>
        <w:ind w:left="120" w:right="560"/>
        <w:spacing w:after="0" w:line="291" w:lineRule="auto"/>
        <w:rPr>
          <w:sz w:val="20"/>
          <w:szCs w:val="20"/>
          <w:color w:val="auto"/>
        </w:rPr>
      </w:pPr>
      <w:r>
        <w:rPr>
          <w:rFonts w:ascii="Arial" w:cs="Arial" w:eastAsia="Arial" w:hAnsi="Arial"/>
          <w:sz w:val="16"/>
          <w:szCs w:val="16"/>
          <w:color w:val="auto"/>
        </w:rPr>
        <w:t>On January 26, 2021, the Board adopted the 2021 Plan, subject to approval by our stockholders. This summary is not a complete description of all provisions of the 2021 Plan and is qualified in its entirety by reference to the 2021 Plan, which is attached as Exhibit A to this Proxy Statement.</w:t>
      </w:r>
    </w:p>
    <w:p>
      <w:pPr>
        <w:spacing w:after="0" w:line="14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2021 Plan is to advance the Company’s interests by providing for the grant to participants of stock-based and other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awards.</w:t>
      </w:r>
    </w:p>
    <w:p>
      <w:pPr>
        <w:spacing w:after="0" w:line="148"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2021 Plan is administered by our Compensation Committee, who has the authority to, among other things, interpret the 2021</w:t>
      </w:r>
      <w:r>
        <w:rPr>
          <w:rFonts w:ascii="Arial" w:cs="Arial" w:eastAsia="Arial" w:hAnsi="Arial"/>
          <w:sz w:val="16"/>
          <w:szCs w:val="16"/>
          <w:i w:val="1"/>
          <w:iCs w:val="1"/>
          <w:color w:val="auto"/>
        </w:rPr>
        <w:t xml:space="preserve"> </w:t>
      </w:r>
      <w:r>
        <w:rPr>
          <w:rFonts w:ascii="Arial" w:cs="Arial" w:eastAsia="Arial" w:hAnsi="Arial"/>
          <w:sz w:val="16"/>
          <w:szCs w:val="16"/>
          <w:color w:val="auto"/>
        </w:rPr>
        <w:t>Plan, determine eligibility for, grant and determine the terms of awards under the 2021 Plan, and to do all things necessary or appropriate to carry out the purposes of the 2021 Plan. Our Compensation Committee’s determinations under the 2021 Plan are conclusive and binding.</w:t>
      </w:r>
    </w:p>
    <w:p>
      <w:pPr>
        <w:spacing w:after="0" w:line="164" w:lineRule="exact"/>
        <w:rPr>
          <w:sz w:val="20"/>
          <w:szCs w:val="20"/>
          <w:color w:val="auto"/>
        </w:rPr>
      </w:pPr>
    </w:p>
    <w:p>
      <w:pPr>
        <w:ind w:left="120" w:right="660"/>
        <w:spacing w:after="0" w:line="291" w:lineRule="auto"/>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No awards will be made after the tenth anniversary of the plan’s adoption, but previously granted awards may continue beyond that date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their terms.</w:t>
      </w:r>
    </w:p>
    <w:p>
      <w:pPr>
        <w:spacing w:after="0" w:line="148"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Subject to adjustment, the maximum number of shares of our common stock that may be delivered in satisfaction of awards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2021 Plan is 8,000,000, reduced by any shares of common stock subject to awards made under the 2013 Plan after January 1, 2021. Shares of common stock subject to outstanding awards under the 2013 Plan as of January 1, 2021 that, after January 1, 2021, are canceled, expired, forfeited or otherwise not issued under such award (other than as a result of being tendered or withheld to pay the exercise price or withholding taxes in connection with any such awards) or settled in cash will be added to the number of shares of common stock issuable under the 2021 Plan. There were no shares issued from the 2013 Plan after January 1, 2021 and before 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81280</wp:posOffset>
            </wp:positionV>
            <wp:extent cx="986155"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14</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3220"/>
        <w:spacing w:after="0"/>
        <w:tabs>
          <w:tab w:leader="none" w:pos="51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2021 Incentive Plan</w:t>
      </w:r>
    </w:p>
    <w:p>
      <w:pPr>
        <w:spacing w:after="0" w:line="147" w:lineRule="exact"/>
        <w:rPr>
          <w:sz w:val="20"/>
          <w:szCs w:val="20"/>
          <w:color w:val="auto"/>
        </w:rPr>
      </w:pPr>
    </w:p>
    <w:p>
      <w:pPr>
        <w:ind w:left="120" w:right="120"/>
        <w:spacing w:after="0" w:line="255" w:lineRule="auto"/>
        <w:rPr>
          <w:sz w:val="20"/>
          <w:szCs w:val="20"/>
          <w:color w:val="auto"/>
        </w:rPr>
      </w:pPr>
      <w:r>
        <w:rPr>
          <w:rFonts w:ascii="Arial" w:cs="Arial" w:eastAsia="Arial" w:hAnsi="Arial"/>
          <w:sz w:val="16"/>
          <w:szCs w:val="16"/>
          <w:color w:val="auto"/>
        </w:rPr>
        <w:t>Any shares of common stock underlying awards that are settled in cash or that otherwise expire, terminate or are forfeited prior to the issuance of stock, would again be available for issuance under the 2021 Plan. Shares of common stock that are tendered to or withheld by the Company from an award in payment of the exercise price of any award requiring exercise or in satisfaction of the tax withholding requirements with respect to any award and shares of stock purchased by the Company with proceeds from the exercise of stock options will not again be available for issuance under the 2021 Plan. Stock delivered under the 2021 Plan may be authorized but unissued stock or previously issued stock acquired by the Company. On January 14, 2021, the closing price of our common stock as reflected on Nasdaq was $82.86.</w:t>
      </w:r>
    </w:p>
    <w:p>
      <w:pPr>
        <w:spacing w:after="0" w:line="177"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Our Compensation Committee selects participants from among the key employees, directors, consultants and advisors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Eligibility for options intended to be incentive stock options (“</w:t>
      </w:r>
      <w:r>
        <w:rPr>
          <w:rFonts w:ascii="Arial" w:cs="Arial" w:eastAsia="Arial" w:hAnsi="Arial"/>
          <w:sz w:val="16"/>
          <w:szCs w:val="16"/>
          <w:b w:val="1"/>
          <w:bCs w:val="1"/>
          <w:color w:val="auto"/>
        </w:rPr>
        <w:t>ISOs</w:t>
      </w:r>
      <w:r>
        <w:rPr>
          <w:rFonts w:ascii="Arial" w:cs="Arial" w:eastAsia="Arial" w:hAnsi="Arial"/>
          <w:sz w:val="16"/>
          <w:szCs w:val="16"/>
          <w:color w:val="auto"/>
        </w:rPr>
        <w:t>”) is limited to employees of the Company or certain affiliates. As of January 14, 2021, approximately 250 employees and 6 directors would be eligible to participate in the 2021 Plan.</w:t>
      </w:r>
    </w:p>
    <w:p>
      <w:pPr>
        <w:spacing w:after="0" w:line="164" w:lineRule="exact"/>
        <w:rPr>
          <w:sz w:val="20"/>
          <w:szCs w:val="20"/>
          <w:color w:val="auto"/>
        </w:rPr>
      </w:pPr>
    </w:p>
    <w:p>
      <w:pPr>
        <w:jc w:val="both"/>
        <w:ind w:left="120" w:right="520"/>
        <w:spacing w:after="0" w:line="26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2021 Plan provides for grants of options, SARs, restricted and unrestricted stock and stock units, performance awards, cash</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and other awards convertible into or otherwise based on shares of our stock. Dividend equivalents may also be provided in connection with awards under the 2021 Plan.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80" w:type="dxa"/>
            <w:vAlign w:val="bottom"/>
            <w:tcBorders>
              <w:top w:val="single" w:sz="8" w:color="0071CE"/>
            </w:tcBorders>
            <w:shd w:val="clear" w:color="auto" w:fill="E5F0FA"/>
          </w:tcPr>
          <w:p>
            <w:pPr>
              <w:ind w:left="60"/>
              <w:spacing w:after="0"/>
              <w:rPr>
                <w:sz w:val="20"/>
                <w:szCs w:val="20"/>
                <w:color w:val="auto"/>
              </w:rPr>
            </w:pPr>
            <w:r>
              <w:rPr>
                <w:rFonts w:ascii="Arial" w:cs="Arial" w:eastAsia="Arial" w:hAnsi="Arial"/>
                <w:sz w:val="16"/>
                <w:szCs w:val="16"/>
                <w:i w:val="1"/>
                <w:iCs w:val="1"/>
                <w:color w:val="auto"/>
              </w:rPr>
              <w:t>Restricted and Unrestricted Stock</w:t>
            </w:r>
          </w:p>
        </w:tc>
        <w:tc>
          <w:tcPr>
            <w:tcW w:w="7740" w:type="dxa"/>
            <w:vAlign w:val="bottom"/>
            <w:tcBorders>
              <w:top w:val="single" w:sz="8" w:color="0071CE"/>
            </w:tcBorders>
            <w:shd w:val="clear" w:color="auto" w:fill="E5F0FA"/>
          </w:tcPr>
          <w:p>
            <w:pPr>
              <w:ind w:left="140"/>
              <w:spacing w:after="0"/>
              <w:rPr>
                <w:sz w:val="20"/>
                <w:szCs w:val="20"/>
                <w:color w:val="auto"/>
              </w:rPr>
            </w:pPr>
            <w:r>
              <w:rPr>
                <w:rFonts w:ascii="Arial" w:cs="Arial" w:eastAsia="Arial" w:hAnsi="Arial"/>
                <w:sz w:val="16"/>
                <w:szCs w:val="16"/>
                <w:color w:val="auto"/>
              </w:rPr>
              <w:t>A restricted stock award is an award of common stock subject to forfeiture restrictions, while an</w:t>
            </w:r>
          </w:p>
        </w:tc>
      </w:tr>
      <w:tr>
        <w:trPr>
          <w:trHeight w:val="207"/>
        </w:trPr>
        <w:tc>
          <w:tcPr>
            <w:tcW w:w="3280" w:type="dxa"/>
            <w:vAlign w:val="bottom"/>
            <w:shd w:val="clear" w:color="auto" w:fill="E5F0FA"/>
          </w:tcPr>
          <w:p>
            <w:pPr>
              <w:spacing w:after="0"/>
              <w:rPr>
                <w:sz w:val="18"/>
                <w:szCs w:val="18"/>
                <w:color w:val="auto"/>
              </w:rPr>
            </w:pPr>
          </w:p>
        </w:tc>
        <w:tc>
          <w:tcPr>
            <w:tcW w:w="7740" w:type="dxa"/>
            <w:vAlign w:val="bottom"/>
            <w:shd w:val="clear" w:color="auto" w:fill="E5F0FA"/>
          </w:tcPr>
          <w:p>
            <w:pPr>
              <w:ind w:left="140"/>
              <w:spacing w:after="0"/>
              <w:rPr>
                <w:sz w:val="20"/>
                <w:szCs w:val="20"/>
                <w:color w:val="auto"/>
              </w:rPr>
            </w:pPr>
            <w:r>
              <w:rPr>
                <w:rFonts w:ascii="Arial" w:cs="Arial" w:eastAsia="Arial" w:hAnsi="Arial"/>
                <w:sz w:val="16"/>
                <w:szCs w:val="16"/>
                <w:color w:val="auto"/>
              </w:rPr>
              <w:t>unrestricted stock award is not subject to restrictions.</w:t>
            </w:r>
          </w:p>
        </w:tc>
      </w:tr>
      <w:tr>
        <w:trPr>
          <w:trHeight w:val="279"/>
        </w:trPr>
        <w:tc>
          <w:tcPr>
            <w:tcW w:w="3280" w:type="dxa"/>
            <w:vAlign w:val="bottom"/>
          </w:tcPr>
          <w:p>
            <w:pPr>
              <w:ind w:left="60"/>
              <w:spacing w:after="0"/>
              <w:rPr>
                <w:sz w:val="20"/>
                <w:szCs w:val="20"/>
                <w:color w:val="auto"/>
              </w:rPr>
            </w:pPr>
            <w:r>
              <w:rPr>
                <w:rFonts w:ascii="Arial" w:cs="Arial" w:eastAsia="Arial" w:hAnsi="Arial"/>
                <w:sz w:val="16"/>
                <w:szCs w:val="16"/>
                <w:color w:val="auto"/>
              </w:rPr>
              <w:t>Stock Options and SARs</w:t>
            </w:r>
          </w:p>
        </w:tc>
        <w:tc>
          <w:tcPr>
            <w:tcW w:w="7740" w:type="dxa"/>
            <w:vAlign w:val="bottom"/>
          </w:tcPr>
          <w:p>
            <w:pPr>
              <w:ind w:left="140"/>
              <w:spacing w:after="0"/>
              <w:rPr>
                <w:sz w:val="20"/>
                <w:szCs w:val="20"/>
                <w:color w:val="auto"/>
              </w:rPr>
            </w:pPr>
            <w:r>
              <w:rPr>
                <w:rFonts w:ascii="Arial" w:cs="Arial" w:eastAsia="Arial" w:hAnsi="Arial"/>
                <w:sz w:val="16"/>
                <w:szCs w:val="16"/>
                <w:color w:val="auto"/>
              </w:rPr>
              <w:t>The 2021 Plan provides for the grant of ISOs, non-qualified stock options (“</w:t>
            </w:r>
            <w:r>
              <w:rPr>
                <w:rFonts w:ascii="Arial" w:cs="Arial" w:eastAsia="Arial" w:hAnsi="Arial"/>
                <w:sz w:val="16"/>
                <w:szCs w:val="16"/>
                <w:b w:val="1"/>
                <w:bCs w:val="1"/>
                <w:color w:val="auto"/>
              </w:rPr>
              <w:t>NSOs</w:t>
            </w:r>
            <w:r>
              <w:rPr>
                <w:rFonts w:ascii="Arial" w:cs="Arial" w:eastAsia="Arial" w:hAnsi="Arial"/>
                <w:sz w:val="16"/>
                <w:szCs w:val="16"/>
                <w:color w:val="auto"/>
              </w:rPr>
              <w:t>”), and SARs. The</w:t>
            </w:r>
          </w:p>
        </w:tc>
      </w:tr>
      <w:tr>
        <w:trPr>
          <w:trHeight w:val="189"/>
        </w:trPr>
        <w:tc>
          <w:tcPr>
            <w:tcW w:w="3280" w:type="dxa"/>
            <w:vAlign w:val="bottom"/>
          </w:tcPr>
          <w:p>
            <w:pPr>
              <w:spacing w:after="0"/>
              <w:rPr>
                <w:sz w:val="16"/>
                <w:szCs w:val="16"/>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exercise price of an option, and the base price against which a SAR is to be measured, may not be less</w:t>
            </w:r>
          </w:p>
        </w:tc>
      </w:tr>
      <w:tr>
        <w:trPr>
          <w:trHeight w:val="189"/>
        </w:trPr>
        <w:tc>
          <w:tcPr>
            <w:tcW w:w="3280" w:type="dxa"/>
            <w:vAlign w:val="bottom"/>
          </w:tcPr>
          <w:p>
            <w:pPr>
              <w:spacing w:after="0"/>
              <w:rPr>
                <w:sz w:val="16"/>
                <w:szCs w:val="16"/>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than the fair market value (or, in the case of an ISO granted to a ten percent stockholder, 110% of the fair</w:t>
            </w:r>
          </w:p>
        </w:tc>
      </w:tr>
      <w:tr>
        <w:trPr>
          <w:trHeight w:val="189"/>
        </w:trPr>
        <w:tc>
          <w:tcPr>
            <w:tcW w:w="3280" w:type="dxa"/>
            <w:vAlign w:val="bottom"/>
          </w:tcPr>
          <w:p>
            <w:pPr>
              <w:spacing w:after="0"/>
              <w:rPr>
                <w:sz w:val="16"/>
                <w:szCs w:val="16"/>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market value) of a share of common stock on the date of grant. Subject to the minimum vesting</w:t>
            </w:r>
          </w:p>
        </w:tc>
      </w:tr>
      <w:tr>
        <w:trPr>
          <w:trHeight w:val="189"/>
        </w:trPr>
        <w:tc>
          <w:tcPr>
            <w:tcW w:w="3280" w:type="dxa"/>
            <w:vAlign w:val="bottom"/>
          </w:tcPr>
          <w:p>
            <w:pPr>
              <w:spacing w:after="0"/>
              <w:rPr>
                <w:sz w:val="16"/>
                <w:szCs w:val="16"/>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requirement described below, our Compensation Committee determines when stock options or SARs</w:t>
            </w:r>
          </w:p>
        </w:tc>
      </w:tr>
      <w:tr>
        <w:trPr>
          <w:trHeight w:val="189"/>
        </w:trPr>
        <w:tc>
          <w:tcPr>
            <w:tcW w:w="3280" w:type="dxa"/>
            <w:vAlign w:val="bottom"/>
          </w:tcPr>
          <w:p>
            <w:pPr>
              <w:spacing w:after="0"/>
              <w:rPr>
                <w:sz w:val="16"/>
                <w:szCs w:val="16"/>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become exercisable and the terms on which such awards remain exercisable. Stock options and SARs</w:t>
            </w:r>
          </w:p>
        </w:tc>
      </w:tr>
      <w:tr>
        <w:trPr>
          <w:trHeight w:val="189"/>
        </w:trPr>
        <w:tc>
          <w:tcPr>
            <w:tcW w:w="3280" w:type="dxa"/>
            <w:vAlign w:val="bottom"/>
          </w:tcPr>
          <w:p>
            <w:pPr>
              <w:spacing w:after="0"/>
              <w:rPr>
                <w:sz w:val="16"/>
                <w:szCs w:val="16"/>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will generally have a maximum term of ten years. SARs are payable in cash, in shares of our common</w:t>
            </w:r>
          </w:p>
        </w:tc>
      </w:tr>
      <w:tr>
        <w:trPr>
          <w:trHeight w:val="207"/>
        </w:trPr>
        <w:tc>
          <w:tcPr>
            <w:tcW w:w="3280" w:type="dxa"/>
            <w:vAlign w:val="bottom"/>
          </w:tcPr>
          <w:p>
            <w:pPr>
              <w:spacing w:after="0"/>
              <w:rPr>
                <w:sz w:val="18"/>
                <w:szCs w:val="18"/>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stock or in a combination of cash and shares</w:t>
            </w:r>
          </w:p>
        </w:tc>
      </w:tr>
      <w:tr>
        <w:trPr>
          <w:trHeight w:val="279"/>
        </w:trPr>
        <w:tc>
          <w:tcPr>
            <w:tcW w:w="3280" w:type="dxa"/>
            <w:vAlign w:val="bottom"/>
            <w:shd w:val="clear" w:color="auto" w:fill="E5F0FA"/>
          </w:tcPr>
          <w:p>
            <w:pPr>
              <w:ind w:left="60"/>
              <w:spacing w:after="0"/>
              <w:rPr>
                <w:sz w:val="20"/>
                <w:szCs w:val="20"/>
                <w:color w:val="auto"/>
              </w:rPr>
            </w:pPr>
            <w:r>
              <w:rPr>
                <w:rFonts w:ascii="Arial" w:cs="Arial" w:eastAsia="Arial" w:hAnsi="Arial"/>
                <w:sz w:val="16"/>
                <w:szCs w:val="16"/>
                <w:color w:val="auto"/>
              </w:rPr>
              <w:t>Stock Units</w:t>
            </w:r>
          </w:p>
        </w:tc>
        <w:tc>
          <w:tcPr>
            <w:tcW w:w="7740" w:type="dxa"/>
            <w:vAlign w:val="bottom"/>
            <w:shd w:val="clear" w:color="auto" w:fill="E5F0FA"/>
          </w:tcPr>
          <w:p>
            <w:pPr>
              <w:ind w:left="140"/>
              <w:spacing w:after="0"/>
              <w:rPr>
                <w:sz w:val="20"/>
                <w:szCs w:val="20"/>
                <w:color w:val="auto"/>
              </w:rPr>
            </w:pPr>
            <w:r>
              <w:rPr>
                <w:rFonts w:ascii="Arial" w:cs="Arial" w:eastAsia="Arial" w:hAnsi="Arial"/>
                <w:sz w:val="16"/>
                <w:szCs w:val="16"/>
                <w:color w:val="auto"/>
              </w:rPr>
              <w:t>A stock unit award is denominated in shares of common stock and entitles the participant to receive stock</w:t>
            </w:r>
          </w:p>
        </w:tc>
      </w:tr>
      <w:tr>
        <w:trPr>
          <w:trHeight w:val="189"/>
        </w:trPr>
        <w:tc>
          <w:tcPr>
            <w:tcW w:w="3280" w:type="dxa"/>
            <w:vAlign w:val="bottom"/>
            <w:shd w:val="clear" w:color="auto" w:fill="E5F0FA"/>
          </w:tcPr>
          <w:p>
            <w:pPr>
              <w:spacing w:after="0"/>
              <w:rPr>
                <w:sz w:val="16"/>
                <w:szCs w:val="16"/>
                <w:color w:val="auto"/>
              </w:rPr>
            </w:pPr>
          </w:p>
        </w:tc>
        <w:tc>
          <w:tcPr>
            <w:tcW w:w="7740" w:type="dxa"/>
            <w:vAlign w:val="bottom"/>
            <w:shd w:val="clear" w:color="auto" w:fill="E5F0FA"/>
          </w:tcPr>
          <w:p>
            <w:pPr>
              <w:ind w:left="140"/>
              <w:spacing w:after="0"/>
              <w:rPr>
                <w:sz w:val="20"/>
                <w:szCs w:val="20"/>
                <w:color w:val="auto"/>
              </w:rPr>
            </w:pPr>
            <w:r>
              <w:rPr>
                <w:rFonts w:ascii="Arial" w:cs="Arial" w:eastAsia="Arial" w:hAnsi="Arial"/>
                <w:sz w:val="16"/>
                <w:szCs w:val="16"/>
                <w:color w:val="auto"/>
              </w:rPr>
              <w:t>or cash measured by the value of the shares in the future. The delivery of stock or cash under a stock unit</w:t>
            </w:r>
          </w:p>
        </w:tc>
      </w:tr>
      <w:tr>
        <w:trPr>
          <w:trHeight w:val="207"/>
        </w:trPr>
        <w:tc>
          <w:tcPr>
            <w:tcW w:w="3280" w:type="dxa"/>
            <w:vAlign w:val="bottom"/>
            <w:shd w:val="clear" w:color="auto" w:fill="E5F0FA"/>
          </w:tcPr>
          <w:p>
            <w:pPr>
              <w:spacing w:after="0"/>
              <w:rPr>
                <w:sz w:val="18"/>
                <w:szCs w:val="18"/>
                <w:color w:val="auto"/>
              </w:rPr>
            </w:pPr>
          </w:p>
        </w:tc>
        <w:tc>
          <w:tcPr>
            <w:tcW w:w="7740" w:type="dxa"/>
            <w:vAlign w:val="bottom"/>
            <w:shd w:val="clear" w:color="auto" w:fill="E5F0FA"/>
          </w:tcPr>
          <w:p>
            <w:pPr>
              <w:ind w:left="140"/>
              <w:spacing w:after="0"/>
              <w:rPr>
                <w:sz w:val="20"/>
                <w:szCs w:val="20"/>
                <w:color w:val="auto"/>
              </w:rPr>
            </w:pPr>
            <w:r>
              <w:rPr>
                <w:rFonts w:ascii="Arial" w:cs="Arial" w:eastAsia="Arial" w:hAnsi="Arial"/>
                <w:sz w:val="16"/>
                <w:szCs w:val="16"/>
                <w:color w:val="auto"/>
              </w:rPr>
              <w:t>may be subject to the satisfaction of performance or other vesting conditions.</w:t>
            </w:r>
          </w:p>
        </w:tc>
      </w:tr>
      <w:tr>
        <w:trPr>
          <w:trHeight w:val="279"/>
        </w:trPr>
        <w:tc>
          <w:tcPr>
            <w:tcW w:w="3280" w:type="dxa"/>
            <w:vAlign w:val="bottom"/>
          </w:tcPr>
          <w:p>
            <w:pPr>
              <w:ind w:left="60"/>
              <w:spacing w:after="0"/>
              <w:rPr>
                <w:sz w:val="20"/>
                <w:szCs w:val="20"/>
                <w:color w:val="auto"/>
              </w:rPr>
            </w:pPr>
            <w:r>
              <w:rPr>
                <w:rFonts w:ascii="Arial" w:cs="Arial" w:eastAsia="Arial" w:hAnsi="Arial"/>
                <w:sz w:val="16"/>
                <w:szCs w:val="16"/>
                <w:color w:val="auto"/>
              </w:rPr>
              <w:t>Performance Awards</w:t>
            </w:r>
          </w:p>
        </w:tc>
        <w:tc>
          <w:tcPr>
            <w:tcW w:w="7740" w:type="dxa"/>
            <w:vAlign w:val="bottom"/>
          </w:tcPr>
          <w:p>
            <w:pPr>
              <w:ind w:left="140"/>
              <w:spacing w:after="0"/>
              <w:rPr>
                <w:sz w:val="20"/>
                <w:szCs w:val="20"/>
                <w:color w:val="auto"/>
              </w:rPr>
            </w:pPr>
            <w:r>
              <w:rPr>
                <w:rFonts w:ascii="Arial" w:cs="Arial" w:eastAsia="Arial" w:hAnsi="Arial"/>
                <w:sz w:val="16"/>
                <w:szCs w:val="16"/>
                <w:color w:val="auto"/>
              </w:rPr>
              <w:t>A performance award is an award the vesting, settlement or exercisability of which is subject to specified</w:t>
            </w:r>
          </w:p>
        </w:tc>
      </w:tr>
      <w:tr>
        <w:trPr>
          <w:trHeight w:val="207"/>
        </w:trPr>
        <w:tc>
          <w:tcPr>
            <w:tcW w:w="3280" w:type="dxa"/>
            <w:vAlign w:val="bottom"/>
          </w:tcPr>
          <w:p>
            <w:pPr>
              <w:spacing w:after="0"/>
              <w:rPr>
                <w:sz w:val="18"/>
                <w:szCs w:val="18"/>
                <w:color w:val="auto"/>
              </w:rPr>
            </w:pPr>
          </w:p>
        </w:tc>
        <w:tc>
          <w:tcPr>
            <w:tcW w:w="7740" w:type="dxa"/>
            <w:vAlign w:val="bottom"/>
          </w:tcPr>
          <w:p>
            <w:pPr>
              <w:ind w:left="140"/>
              <w:spacing w:after="0"/>
              <w:rPr>
                <w:sz w:val="20"/>
                <w:szCs w:val="20"/>
                <w:color w:val="auto"/>
              </w:rPr>
            </w:pPr>
            <w:r>
              <w:rPr>
                <w:rFonts w:ascii="Arial" w:cs="Arial" w:eastAsia="Arial" w:hAnsi="Arial"/>
                <w:sz w:val="16"/>
                <w:szCs w:val="16"/>
                <w:color w:val="auto"/>
              </w:rPr>
              <w:t>performance criteria.</w:t>
            </w:r>
          </w:p>
        </w:tc>
      </w:tr>
      <w:tr>
        <w:trPr>
          <w:trHeight w:val="297"/>
        </w:trPr>
        <w:tc>
          <w:tcPr>
            <w:tcW w:w="3280" w:type="dxa"/>
            <w:vAlign w:val="bottom"/>
            <w:tcBorders>
              <w:bottom w:val="single" w:sz="8" w:color="0071CE"/>
            </w:tcBorders>
            <w:shd w:val="clear" w:color="auto" w:fill="E5F0FA"/>
          </w:tcPr>
          <w:p>
            <w:pPr>
              <w:ind w:left="60"/>
              <w:spacing w:after="0"/>
              <w:rPr>
                <w:sz w:val="20"/>
                <w:szCs w:val="20"/>
                <w:color w:val="auto"/>
              </w:rPr>
            </w:pPr>
            <w:r>
              <w:rPr>
                <w:rFonts w:ascii="Arial" w:cs="Arial" w:eastAsia="Arial" w:hAnsi="Arial"/>
                <w:sz w:val="16"/>
                <w:szCs w:val="16"/>
                <w:color w:val="auto"/>
              </w:rPr>
              <w:t>Cash Awards</w:t>
            </w:r>
          </w:p>
        </w:tc>
        <w:tc>
          <w:tcPr>
            <w:tcW w:w="7740" w:type="dxa"/>
            <w:vAlign w:val="bottom"/>
            <w:tcBorders>
              <w:bottom w:val="single" w:sz="8" w:color="0071CE"/>
            </w:tcBorders>
            <w:shd w:val="clear" w:color="auto" w:fill="E5F0FA"/>
          </w:tcPr>
          <w:p>
            <w:pPr>
              <w:ind w:left="140"/>
              <w:spacing w:after="0"/>
              <w:rPr>
                <w:sz w:val="20"/>
                <w:szCs w:val="20"/>
                <w:color w:val="auto"/>
              </w:rPr>
            </w:pPr>
            <w:r>
              <w:rPr>
                <w:rFonts w:ascii="Arial" w:cs="Arial" w:eastAsia="Arial" w:hAnsi="Arial"/>
                <w:sz w:val="16"/>
                <w:szCs w:val="16"/>
                <w:color w:val="auto"/>
              </w:rPr>
              <w:t>A cash award is an award denominated in cash.</w:t>
            </w:r>
          </w:p>
        </w:tc>
      </w:tr>
    </w:tbl>
    <w:p>
      <w:pPr>
        <w:spacing w:after="0" w:line="19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i w:val="1"/>
          <w:iCs w:val="1"/>
          <w:color w:val="auto"/>
        </w:rPr>
        <w:t xml:space="preserve">Vesting </w:t>
      </w:r>
      <w:r>
        <w:rPr>
          <w:rFonts w:ascii="Arial" w:cs="Arial" w:eastAsia="Arial" w:hAnsi="Arial"/>
          <w:sz w:val="16"/>
          <w:szCs w:val="16"/>
          <w:color w:val="auto"/>
        </w:rPr>
        <w:t>. Subject to the minimum vesting requirement described in the next sentence, our Compensation Committee has the authority to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schedule applicable to each award, and to accelerate the vesting or exercisability of any award. No award may be granted with terms providing for any right of vesting, exercise or lapse of vesting requirements earlier than a date that is at least one (1) year following the date of grant (or, in the case of a performance award, earlier than the one (1) year anniversary of the commencement of the performance period). Notwithstanding the foregoing, the Compensation Committee may grant up to a maximum of 5% of the aggregate number of shares available for issuance under the 2021 Plan without such a minimum vesting period and awards granted to non-employee directors may grant earlier than one (1) year from the date of grant so long as such awards do not vest earlier than the date of the next annual meeting of stockholders following the grant date.</w:t>
      </w:r>
    </w:p>
    <w:p>
      <w:pPr>
        <w:spacing w:after="0" w:line="176"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In addition, all awards granted under the 2021 Plan to our Chief Executive Officer will be subject to a 12-month holding period requirement pursuant to which the Chief Executive Officer may not transfer or dispose of any shares received upon exercise or settlement of an award (net of tax withholding) for a period of 12 months following the date of such exercise or settlement.</w:t>
      </w:r>
    </w:p>
    <w:p>
      <w:pPr>
        <w:spacing w:after="0" w:line="164" w:lineRule="exact"/>
        <w:rPr>
          <w:sz w:val="20"/>
          <w:szCs w:val="20"/>
          <w:color w:val="auto"/>
        </w:rPr>
      </w:pPr>
    </w:p>
    <w:p>
      <w:pPr>
        <w:jc w:val="both"/>
        <w:ind w:left="120" w:right="40"/>
        <w:spacing w:after="0" w:line="269"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Our Compensation Committee determines the effect of termination of employment or service on an award. Unless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our Compensation Committee or in an award agreement, upon a termination of employment or service all unvested options and other awards requiring exercise will terminate and all other unvested awards will be forfeited.</w:t>
      </w:r>
    </w:p>
    <w:p>
      <w:pPr>
        <w:spacing w:after="0" w:line="164" w:lineRule="exact"/>
        <w:rPr>
          <w:sz w:val="20"/>
          <w:szCs w:val="20"/>
          <w:color w:val="auto"/>
        </w:rPr>
      </w:pPr>
    </w:p>
    <w:p>
      <w:pPr>
        <w:ind w:left="120" w:right="420"/>
        <w:spacing w:after="0" w:line="291" w:lineRule="auto"/>
        <w:rPr>
          <w:sz w:val="20"/>
          <w:szCs w:val="20"/>
          <w:color w:val="auto"/>
        </w:rPr>
      </w:pPr>
      <w:r>
        <w:rPr>
          <w:rFonts w:ascii="Arial" w:cs="Arial" w:eastAsia="Arial" w:hAnsi="Arial"/>
          <w:sz w:val="16"/>
          <w:szCs w:val="16"/>
          <w:i w:val="1"/>
          <w:iCs w:val="1"/>
          <w:color w:val="auto"/>
        </w:rPr>
        <w:t>Performance Criteria</w:t>
      </w:r>
      <w:r>
        <w:rPr>
          <w:rFonts w:ascii="Arial" w:cs="Arial" w:eastAsia="Arial" w:hAnsi="Arial"/>
          <w:sz w:val="16"/>
          <w:szCs w:val="16"/>
          <w:color w:val="auto"/>
        </w:rPr>
        <w:t>. The 2021 Plan provides that grants of performance awards may be made based upon, and subject to achieving,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over a specified performance period. Performance objectives may include,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62230</wp:posOffset>
            </wp:positionV>
            <wp:extent cx="98615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15</w:t>
      </w:r>
    </w:p>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2021 Incentive Plan</w:t>
      </w:r>
    </w:p>
    <w:p>
      <w:pPr>
        <w:spacing w:after="0" w:line="147"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limitation, a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w:t>
      </w:r>
    </w:p>
    <w:p>
      <w:pPr>
        <w:spacing w:after="0" w:line="17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Awards under the 2021 Plan may not be transferred except by will or by the laws of descent and distribution, unless (for awards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ISOs) otherwise provided by our Compensation Committee.</w:t>
      </w:r>
    </w:p>
    <w:p>
      <w:pPr>
        <w:spacing w:after="0" w:line="148" w:lineRule="exact"/>
        <w:rPr>
          <w:sz w:val="20"/>
          <w:szCs w:val="20"/>
          <w:color w:val="auto"/>
        </w:rPr>
      </w:pPr>
    </w:p>
    <w:p>
      <w:pPr>
        <w:ind w:left="120" w:right="80"/>
        <w:spacing w:after="0" w:line="26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a consolidation, merger or similar transaction, a sale or transfer of all or substantially all of the Company’s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or a dissolution or liquidation of the Company, our Compensation Committee may, among other things, provide for the continuation or assumption of outstanding awards, for new grants in substitution of outstanding awards, for the accelerated vesting or delivery of shares under awards or for a cash-out of outstanding awards, in each case on such terms and with such restrictions as it deems appropriate.</w:t>
      </w:r>
    </w:p>
    <w:p>
      <w:pPr>
        <w:spacing w:after="0" w:line="172"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Unless otherwise expressly provided for in the award agreement or another contract, including an employment or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severance plan, or under the terms of a transaction constituting a Change in Control, in the event of a Change in Control, each outstanding award will fully vest and become exercisable, including to the maximal value of performance awards. Except as our Compensation Committee may otherwise determine awards not assumed or exercised will terminate in connection with such corporate transaction. Change in Control has the meaning set forth in the 2021 Plan, but generally means a person or entity becoming the owner of securities representing fifty percent (50%) or more of the combined voting power of the Company’s then outstanding securities entitled to vote for directors; the consummation of a merger or consolidation of the Company with any other corporation, other than a merger or consolidation that would result in the voting securities of the Company continuing to represent more than fifty percent (50%) of the total voting power represented by the voting securities of the Company or such surviving entity outstanding immediately after such merger or consolidation; the consummation of the sale or disposition by the Company of all or substantially all of its assets; or a change in the composition of the Board, as a result of which fewer than a majority of the directors are incumbent directors.</w:t>
      </w:r>
    </w:p>
    <w:p>
      <w:pPr>
        <w:spacing w:after="0" w:line="18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i w:val="1"/>
          <w:iCs w:val="1"/>
          <w:color w:val="auto"/>
        </w:rPr>
        <w:t>Adjustment</w:t>
      </w:r>
      <w:r>
        <w:rPr>
          <w:rFonts w:ascii="Arial" w:cs="Arial" w:eastAsia="Arial" w:hAnsi="Arial"/>
          <w:sz w:val="16"/>
          <w:szCs w:val="16"/>
          <w:color w:val="auto"/>
        </w:rPr>
        <w:t>. In the event of certain corporate transactions (including, but not limited to, a stock dividend, stock split or combination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or other change in the Company’s capital structure that constitutes an equity restructuring within the meaning of ASC 718), our Compensation Committee will make appropriate adjustments to the maximum number of shares that may be delivered under the 2021 Plan, and will also make appropriate adjustments to the number and kind of shares of stock or securities subject to awards, the exercise prices of such awards or any other terms of awards affected by such change. Our Compensation Committee may also make the types of adjustments described above to take into account distributions to stockholders and events other than those listed above if it determines that such adjustments are appropriate to avoid distortion in the operation of the plan.</w:t>
      </w:r>
    </w:p>
    <w:p>
      <w:pPr>
        <w:spacing w:after="0" w:line="176" w:lineRule="exact"/>
        <w:rPr>
          <w:sz w:val="20"/>
          <w:szCs w:val="20"/>
          <w:color w:val="auto"/>
        </w:rPr>
      </w:pPr>
    </w:p>
    <w:p>
      <w:pPr>
        <w:ind w:left="120" w:right="260"/>
        <w:spacing w:after="0" w:line="257"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Compensation Committee can amend the 2021 Plan or outstanding awards, or terminate the 2021 Plan as to future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of awards, except that our Compensation Committee will not be able alter the terms of an award if it would affect materially and adversely a participant’s rights under the award without the participant’s consent (unless expressly provided in the 2021 Plan or reserved by our Compensation Committee at the time of grant). Stockholder approval will be required for any amendment to the extent such approval is required by law, including the Code or applicable stock exchange requirements.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Federal Income Tax Consequences Under 2021 Plan</w:t>
      </w:r>
    </w:p>
    <w:p>
      <w:pPr>
        <w:spacing w:after="0" w:line="110"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following is a summary of some of the material federal income tax consequences associated with the grant and exercise of awards under the 2021 Plan under current federal tax laws and certain other tax considerations associated with awards under the 2021 Plan. The summary does not address tax rates or non-U.S., state or local tax consequences, nor does it address employment-tax or other federal tax consequences except as noted.</w:t>
      </w:r>
    </w:p>
    <w:p>
      <w:pPr>
        <w:spacing w:after="0" w:line="164" w:lineRule="exact"/>
        <w:rPr>
          <w:sz w:val="20"/>
          <w:szCs w:val="20"/>
          <w:color w:val="auto"/>
        </w:rPr>
      </w:pPr>
    </w:p>
    <w:p>
      <w:pPr>
        <w:ind w:left="120"/>
        <w:spacing w:after="0" w:line="26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participant who is awarded or purchases shares subject to a substantial risk of forfeiture generally does not have income until the risk</w:t>
      </w:r>
      <w:r>
        <w:rPr>
          <w:rFonts w:ascii="Arial" w:cs="Arial" w:eastAsia="Arial" w:hAnsi="Arial"/>
          <w:sz w:val="16"/>
          <w:szCs w:val="16"/>
          <w:i w:val="1"/>
          <w:iCs w:val="1"/>
          <w:color w:val="auto"/>
        </w:rPr>
        <w:t xml:space="preserve"> </w:t>
      </w:r>
      <w:r>
        <w:rPr>
          <w:rFonts w:ascii="Arial" w:cs="Arial" w:eastAsia="Arial" w:hAnsi="Arial"/>
          <w:sz w:val="16"/>
          <w:szCs w:val="16"/>
          <w:color w:val="auto"/>
        </w:rPr>
        <w:t>of 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to be taxed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77470</wp:posOffset>
            </wp:positionV>
            <wp:extent cx="98615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3220"/>
        <w:spacing w:after="0"/>
        <w:tabs>
          <w:tab w:leader="none" w:pos="51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2021 Incentive Plan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restricted stock when it is acquired rather than later, when the substantial risk of forfeiture lapses. An 83(b) election must be made not later than thirty</w:t>
      </w:r>
    </w:p>
    <w:p>
      <w:pPr>
        <w:spacing w:after="0" w:line="25" w:lineRule="exact"/>
        <w:rPr>
          <w:sz w:val="20"/>
          <w:szCs w:val="20"/>
          <w:color w:val="auto"/>
        </w:rPr>
      </w:pPr>
    </w:p>
    <w:p>
      <w:pPr>
        <w:ind w:left="120" w:right="460" w:hanging="4"/>
        <w:spacing w:after="0" w:line="252" w:lineRule="auto"/>
        <w:tabs>
          <w:tab w:leader="none" w:pos="4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days after the transfer of the shares to the participant and must satisfy certain other requirements. A participant who makes an effective 83(b) election will realize ordinary income equal to the fair market value of the shares as of the time of acquisition less any price paid for the shares. A corresponding deduction will generally be available to the Company. Fair market value for this purpose is determined without regard to the forfeiture restrictions. If a participant makes an effective 83(b) election, no additional income results by reason of the lapsing of the restrictions.</w:t>
      </w:r>
    </w:p>
    <w:p>
      <w:pPr>
        <w:spacing w:after="0" w:line="179" w:lineRule="exact"/>
        <w:rPr>
          <w:sz w:val="20"/>
          <w:szCs w:val="20"/>
          <w:color w:val="auto"/>
        </w:rPr>
      </w:pPr>
    </w:p>
    <w:p>
      <w:pPr>
        <w:ind w:left="120" w:right="180"/>
        <w:spacing w:after="0" w:line="257" w:lineRule="auto"/>
        <w:rPr>
          <w:sz w:val="20"/>
          <w:szCs w:val="20"/>
          <w:color w:val="auto"/>
        </w:rPr>
      </w:pPr>
      <w:r>
        <w:rPr>
          <w:rFonts w:ascii="Arial" w:cs="Arial" w:eastAsia="Arial" w:hAnsi="Arial"/>
          <w:sz w:val="16"/>
          <w:szCs w:val="16"/>
          <w:color w:val="auto"/>
        </w:rPr>
        <w:t>For purposes of determining capital gain or loss on a sale of shares awarded under the 2021 Plan, the holding period in the shares begins when the participant realizes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76"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i w:val="1"/>
          <w:iCs w:val="1"/>
          <w:color w:val="auto"/>
        </w:rPr>
        <w:t>ISOs</w:t>
      </w:r>
      <w:r>
        <w:rPr>
          <w:rFonts w:ascii="Arial" w:cs="Arial" w:eastAsia="Arial" w:hAnsi="Arial"/>
          <w:sz w:val="16"/>
          <w:szCs w:val="16"/>
          <w:color w:val="auto"/>
        </w:rPr>
        <w:t>. In general, a participant realizes no taxable income upon the grant or exercise of an ISO. However, the exercise of an ISO may result in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minimum tax liability to the participant. With some exceptions, a disposition of shares purchased under an ISO within two years from the date of grant or within one year after exercise produces ordinary income to the participant (and generally a deduction to the Company) equal to the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77"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i w:val="1"/>
          <w:iCs w:val="1"/>
          <w:color w:val="auto"/>
        </w:rPr>
        <w:t>NSOs</w:t>
      </w:r>
      <w:r>
        <w:rPr>
          <w:rFonts w:ascii="Arial" w:cs="Arial" w:eastAsia="Arial" w:hAnsi="Arial"/>
          <w:sz w:val="16"/>
          <w:szCs w:val="16"/>
          <w:color w:val="auto"/>
        </w:rPr>
        <w:t>. In general, a participant has no taxable income upon the grant of an NSO but realizes income in connection with exercise of the option in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equal to the excess (at time of exercise) of the fair market value of the shares acquired upon exercise over the exercise price. A corresponding deduction is generally available to the Company. Upon a subsequent sale or exchange of the shares, any recognized gain or loss is treated as a capital gain or loss for which the Company is not entitled to a deduction. An ISO that is exercised more than three months after termination of employment (other than termination by reason of death) is generally treated as an NSO. ISOs are also treated as NSOs to the extent they first become exercisable by an individual in any calendar year for shares having a fair market value (determined as of the date of grant) in excess of $100,000.</w:t>
      </w:r>
    </w:p>
    <w:p>
      <w:pPr>
        <w:spacing w:after="0" w:line="177" w:lineRule="exact"/>
        <w:rPr>
          <w:sz w:val="20"/>
          <w:szCs w:val="20"/>
          <w:color w:val="auto"/>
        </w:rPr>
      </w:pPr>
    </w:p>
    <w:p>
      <w:pPr>
        <w:jc w:val="both"/>
        <w:ind w:left="120" w:right="540"/>
        <w:spacing w:after="0" w:line="269"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The grant of a SAR does not itself result in taxable income, nor does taxable income result merely because a SAR becomes exercisable.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 participant who exercises a SAR for shares of stock or receives payment in cancellation of a SAR will have ordinary income equal to the amount of any cash and the fair market value of any stock received. A corresponding deduction is generally available to the Company.</w:t>
      </w:r>
    </w:p>
    <w:p>
      <w:pPr>
        <w:spacing w:after="0" w:line="164" w:lineRule="exact"/>
        <w:rPr>
          <w:sz w:val="20"/>
          <w:szCs w:val="20"/>
          <w:color w:val="auto"/>
        </w:rPr>
      </w:pPr>
    </w:p>
    <w:p>
      <w:pPr>
        <w:ind w:left="120" w:right="100"/>
        <w:spacing w:after="0" w:line="261"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The grant of a restricted stock unit does not itself generally result in taxable income. Instead, the participant is taxed upon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a corresponding deduction is generally available to the Company), unless he or she has made a proper election to defer receipt of the shares (or cash if the award is cash settled) under Section 409A of the Code (“Section 409A”). If the shares delivered are restricted for tax purposes, the participant will instead be subject to the rules described above for restricted stock.</w:t>
      </w:r>
    </w:p>
    <w:p>
      <w:pPr>
        <w:spacing w:after="0" w:line="172"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Section 409A imposes an additional 20% income tax, plus, in some cases, a further income tax in the nature of interest, on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compensation that does not comply with deferral, payment-timing and other formal and operational requirements specified in Section 409A and related regulations and that is not exempt from those requirements. Stock options and SARs granted under the 2021 Plan are intended to be exempt from Section 409A. The 2021 Plan gives the Compensation Committee the flexibility to prescribe terms for other awards that are consistent with the requirements of, or an exemption from, Section 409A.</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i w:val="1"/>
          <w:iCs w:val="1"/>
          <w:color w:val="auto"/>
        </w:rPr>
        <w:t>Certain Change of Control Payments</w:t>
      </w:r>
      <w:r>
        <w:rPr>
          <w:rFonts w:ascii="Arial" w:cs="Arial" w:eastAsia="Arial" w:hAnsi="Arial"/>
          <w:sz w:val="16"/>
          <w:szCs w:val="16"/>
          <w:color w:val="auto"/>
        </w:rPr>
        <w:t>. Under Section 280G of the Code, the vesting or accelerated exercisability of options or the vesting and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other awards in connection with a change of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80645</wp:posOffset>
            </wp:positionV>
            <wp:extent cx="98615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6"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Three — Approval of the Arrowhead Pharmaceuticals, Inc. 2021 Incentive Plan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is asking stockholders to cast a vote FOR the following resolution:</w:t>
      </w:r>
    </w:p>
    <w:p>
      <w:pPr>
        <w:spacing w:after="0" w:line="113"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“RESOLVED, that the stockholders of the Company approve the 2021 Arrowhead Pharmaceuticals, Inc. 2021 Incentive Plan in a form substantially as provided in Exhibit A to this Proxy Statement.”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1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Proposal Three must be approved by the Required Vote, assuming a quorum is present. For this purpose, abstentions will be counted as a vote against the proposal, while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122555</wp:posOffset>
            </wp:positionV>
            <wp:extent cx="3505835" cy="540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05835" cy="540385"/>
                    </a:xfrm>
                    <a:prstGeom prst="rect">
                      <a:avLst/>
                    </a:prstGeom>
                    <a:noFill/>
                  </pic:spPr>
                </pic:pic>
              </a:graphicData>
            </a:graphic>
          </wp:anchor>
        </w:drawing>
      </w:r>
    </w:p>
    <w:p>
      <w:pPr>
        <w:spacing w:after="0" w:line="396" w:lineRule="exact"/>
        <w:rPr>
          <w:sz w:val="20"/>
          <w:szCs w:val="20"/>
          <w:color w:val="auto"/>
        </w:rPr>
      </w:pPr>
    </w:p>
    <w:p>
      <w:pPr>
        <w:ind w:left="4020" w:right="2960"/>
        <w:spacing w:after="0" w:line="292"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163830</wp:posOffset>
            </wp:positionV>
            <wp:extent cx="98615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18</w:t>
      </w:r>
    </w:p>
    <w:p>
      <w:pPr>
        <w:sectPr>
          <w:pgSz w:w="11900" w:h="16838" w:orient="portrait"/>
          <w:cols w:equalWidth="0" w:num="1">
            <w:col w:w="11060"/>
          </w:cols>
          <w:pgMar w:left="320" w:top="455"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Executive Compensation</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compensation programs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Compensation Discussion and Analysis describes the compensation program for our NEOs. During fiscal year 2020, these individuals were:</w:t>
      </w:r>
    </w:p>
    <w:p>
      <w:pPr>
        <w:spacing w:after="0" w:line="125" w:lineRule="exact"/>
        <w:rPr>
          <w:sz w:val="20"/>
          <w:szCs w:val="20"/>
          <w:color w:val="auto"/>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Christopher Anzalone, our President and Chief Executive Officer (our “</w:t>
      </w:r>
      <w:r>
        <w:rPr>
          <w:rFonts w:ascii="Arial" w:cs="Arial" w:eastAsia="Arial" w:hAnsi="Arial"/>
          <w:sz w:val="16"/>
          <w:szCs w:val="16"/>
          <w:b w:val="1"/>
          <w:bCs w:val="1"/>
          <w:color w:val="auto"/>
        </w:rPr>
        <w:t>CEO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Kenneth Myszkowski, our Chief Financial Officer (our “</w:t>
      </w:r>
      <w:r>
        <w:rPr>
          <w:rFonts w:ascii="Arial" w:cs="Arial" w:eastAsia="Arial" w:hAnsi="Arial"/>
          <w:sz w:val="16"/>
          <w:szCs w:val="16"/>
          <w:b w:val="1"/>
          <w:bCs w:val="1"/>
          <w:color w:val="auto"/>
        </w:rPr>
        <w:t>CFO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Javier San Martin, our Chief Medical Officer (our “</w:t>
      </w:r>
      <w:r>
        <w:rPr>
          <w:rFonts w:ascii="Arial" w:cs="Arial" w:eastAsia="Arial" w:hAnsi="Arial"/>
          <w:sz w:val="16"/>
          <w:szCs w:val="16"/>
          <w:b w:val="1"/>
          <w:bCs w:val="1"/>
          <w:color w:val="auto"/>
        </w:rPr>
        <w:t>CMO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James Hassard, our Chief Commercial Officer (our “</w:t>
      </w:r>
      <w:r>
        <w:rPr>
          <w:rFonts w:ascii="Arial" w:cs="Arial" w:eastAsia="Arial" w:hAnsi="Arial"/>
          <w:sz w:val="16"/>
          <w:szCs w:val="16"/>
          <w:b w:val="1"/>
          <w:bCs w:val="1"/>
          <w:color w:val="auto"/>
        </w:rPr>
        <w:t>CCO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Curt Bradshaw, our former Chief Scientific Officer (our “</w:t>
      </w:r>
      <w:r>
        <w:rPr>
          <w:rFonts w:ascii="Arial" w:cs="Arial" w:eastAsia="Arial" w:hAnsi="Arial"/>
          <w:sz w:val="16"/>
          <w:szCs w:val="16"/>
          <w:b w:val="1"/>
          <w:bCs w:val="1"/>
          <w:color w:val="auto"/>
        </w:rPr>
        <w:t>CSO</w:t>
      </w:r>
      <w:r>
        <w:rPr>
          <w:rFonts w:ascii="Arial" w:cs="Arial" w:eastAsia="Arial" w:hAnsi="Arial"/>
          <w:sz w:val="16"/>
          <w:szCs w:val="16"/>
          <w:color w:val="auto"/>
        </w:rPr>
        <w:t>”);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Bruce D. Given, our former Chief Operating Officer (our “</w:t>
      </w:r>
      <w:r>
        <w:rPr>
          <w:rFonts w:ascii="Arial" w:cs="Arial" w:eastAsia="Arial" w:hAnsi="Arial"/>
          <w:sz w:val="16"/>
          <w:szCs w:val="16"/>
          <w:b w:val="1"/>
          <w:bCs w:val="1"/>
          <w:color w:val="auto"/>
        </w:rPr>
        <w:t>COO</w:t>
      </w:r>
      <w:r>
        <w:rPr>
          <w:rFonts w:ascii="Arial" w:cs="Arial" w:eastAsia="Arial" w:hAnsi="Arial"/>
          <w:sz w:val="16"/>
          <w:szCs w:val="16"/>
          <w:color w:val="auto"/>
        </w:rPr>
        <w:t>”).</w:t>
      </w:r>
    </w:p>
    <w:p>
      <w:pPr>
        <w:spacing w:after="0" w:line="223" w:lineRule="exact"/>
        <w:rPr>
          <w:sz w:val="20"/>
          <w:szCs w:val="20"/>
          <w:color w:val="auto"/>
        </w:rPr>
      </w:pPr>
    </w:p>
    <w:p>
      <w:pPr>
        <w:ind w:left="120" w:right="240"/>
        <w:spacing w:after="0" w:line="257"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2020. It also provides an overview of our executive compensation philosophy and objectives and summarizes our executive compensation policies and practices. Finally, it analyzes how and why the Compensation Committee of our Board of Directors (the “Compensation Committee”) arrived at the specific compensation decisions for our executive officers, including our NEOs for 2020 including the key factors that the Compensation Committee considered in determining their compensation.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Our Company</w:t>
      </w:r>
    </w:p>
    <w:p>
      <w:pPr>
        <w:spacing w:after="0" w:line="108" w:lineRule="exact"/>
        <w:rPr>
          <w:sz w:val="20"/>
          <w:szCs w:val="20"/>
          <w:color w:val="auto"/>
        </w:rPr>
      </w:pPr>
    </w:p>
    <w:p>
      <w:pPr>
        <w:ind w:left="120" w:right="240"/>
        <w:spacing w:after="0" w:line="261"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72" w:lineRule="exact"/>
        <w:rPr>
          <w:sz w:val="20"/>
          <w:szCs w:val="20"/>
          <w:color w:val="auto"/>
        </w:rPr>
      </w:pPr>
    </w:p>
    <w:p>
      <w:pPr>
        <w:ind w:left="120" w:right="420"/>
        <w:spacing w:after="0" w:line="269"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2020 Business Highlights</w:t>
      </w:r>
    </w:p>
    <w:p>
      <w:pPr>
        <w:spacing w:after="0" w:line="124" w:lineRule="exact"/>
        <w:rPr>
          <w:sz w:val="20"/>
          <w:szCs w:val="20"/>
          <w:color w:val="auto"/>
        </w:rPr>
      </w:pPr>
    </w:p>
    <w:p>
      <w:pPr>
        <w:ind w:left="440" w:right="240" w:hanging="216"/>
        <w:spacing w:after="0" w:line="269" w:lineRule="auto"/>
        <w:tabs>
          <w:tab w:leader="none" w:pos="4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Reported interim multiple-dose results on two cardiometabolic candidates ARO-APOC3, being developed as a potential treatment for patients with severe hypertriglyceridemia, and ARO-ANG3, being developed for the treatment of dyslipidemias and metabolic diseases, showing high levels of reduction in APOC3, ANGPTL3, triglycerides, and other lipid parameters;</w:t>
      </w:r>
    </w:p>
    <w:p>
      <w:pPr>
        <w:spacing w:after="0" w:line="69" w:lineRule="exact"/>
        <w:rPr>
          <w:rFonts w:ascii="Arial" w:cs="Arial" w:eastAsia="Arial" w:hAnsi="Arial"/>
          <w:sz w:val="16"/>
          <w:szCs w:val="16"/>
          <w:color w:val="0071CE"/>
        </w:rPr>
      </w:pPr>
    </w:p>
    <w:p>
      <w:pPr>
        <w:ind w:left="440" w:right="140" w:hanging="216"/>
        <w:spacing w:after="0" w:line="291" w:lineRule="auto"/>
        <w:tabs>
          <w:tab w:leader="none" w:pos="4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Dosed the first patients in AROHSD1001, a Phase 1/2 clinical study of ARO-HSD, the Company’s investigational RNAi therapeutic being developed as a treatment for patients with alcohol related and nonalcohol related liver diseases, such as nonalcoholic steatohepatitis;</w:t>
      </w:r>
    </w:p>
    <w:p>
      <w:pPr>
        <w:spacing w:after="0" w:line="53" w:lineRule="exact"/>
        <w:rPr>
          <w:rFonts w:ascii="Arial" w:cs="Arial" w:eastAsia="Arial" w:hAnsi="Arial"/>
          <w:sz w:val="16"/>
          <w:szCs w:val="16"/>
          <w:color w:val="0071CE"/>
        </w:rPr>
      </w:pPr>
    </w:p>
    <w:p>
      <w:pPr>
        <w:ind w:left="440" w:right="480" w:hanging="216"/>
        <w:spacing w:after="0" w:line="291" w:lineRule="auto"/>
        <w:tabs>
          <w:tab w:leader="none" w:pos="4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Opened a second Research and Development facility in San Diego, which allows Arrowhead to tap into additional skill sets in one the country’s premier biotech hubs and also expands capacity for preclinical models to do more early research work in parallel;</w:t>
      </w:r>
    </w:p>
    <w:p>
      <w:pPr>
        <w:spacing w:after="0" w:line="53" w:lineRule="exact"/>
        <w:rPr>
          <w:rFonts w:ascii="Arial" w:cs="Arial" w:eastAsia="Arial" w:hAnsi="Arial"/>
          <w:sz w:val="16"/>
          <w:szCs w:val="16"/>
          <w:color w:val="0071CE"/>
        </w:rPr>
      </w:pPr>
    </w:p>
    <w:p>
      <w:pPr>
        <w:ind w:left="440" w:right="120" w:hanging="216"/>
        <w:spacing w:after="0" w:line="291" w:lineRule="auto"/>
        <w:tabs>
          <w:tab w:leader="none" w:pos="4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Earned a $20 million milestone payment from Amgen following the administration of the first dose of olpasiran, formerly referred to as AMG 890 and ARO-LPA, in a Phase 2 clinical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62230</wp:posOffset>
            </wp:positionV>
            <wp:extent cx="98615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19</w:t>
      </w:r>
    </w:p>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440" w:right="20" w:hanging="216"/>
        <w:spacing w:after="0" w:line="291" w:lineRule="auto"/>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Completed planned enrollment and dosing of 93 subjects in AROANG1001, a Phase 1/2 clinical study of ARO-ANG3, the Company’s investigational RNAi therapeutic being developed for the treatment of mixed dyslipidemia;</w:t>
      </w:r>
    </w:p>
    <w:p>
      <w:pPr>
        <w:spacing w:after="0" w:line="53" w:lineRule="exact"/>
        <w:rPr>
          <w:rFonts w:ascii="Arial" w:cs="Arial" w:eastAsia="Arial" w:hAnsi="Arial"/>
          <w:sz w:val="16"/>
          <w:szCs w:val="16"/>
          <w:color w:val="0071CE"/>
        </w:rPr>
      </w:pPr>
    </w:p>
    <w:p>
      <w:pPr>
        <w:ind w:left="440" w:right="420" w:hanging="216"/>
        <w:spacing w:after="0" w:line="291" w:lineRule="auto"/>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Completed planned enrollment and dosing of 80 subjects in AROAPOC31001, a Phase 1/2 clinical study of ARO-APOC3, the Company’s investigational RNAi therapeutic being developed for the treatment of hypertriglyceridemia, and expanded the study to include up 112 subjects;</w:t>
      </w:r>
    </w:p>
    <w:p>
      <w:pPr>
        <w:spacing w:after="0" w:line="53" w:lineRule="exact"/>
        <w:rPr>
          <w:rFonts w:ascii="Arial" w:cs="Arial" w:eastAsia="Arial" w:hAnsi="Arial"/>
          <w:sz w:val="16"/>
          <w:szCs w:val="16"/>
          <w:color w:val="0071CE"/>
        </w:rPr>
      </w:pPr>
    </w:p>
    <w:p>
      <w:pPr>
        <w:ind w:left="440" w:right="340" w:hanging="216"/>
        <w:spacing w:after="0" w:line="291" w:lineRule="auto"/>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Initiated a Phase 1b study of ARO-HIF2, the company’s first tumor targeted investigational RNAi therapeutic being developed as a treatment for patients with clear cell renal cell carcinoma;</w:t>
      </w:r>
    </w:p>
    <w:p>
      <w:pPr>
        <w:spacing w:after="0" w:line="53" w:lineRule="exact"/>
        <w:rPr>
          <w:rFonts w:ascii="Arial" w:cs="Arial" w:eastAsia="Arial" w:hAnsi="Arial"/>
          <w:sz w:val="16"/>
          <w:szCs w:val="16"/>
          <w:color w:val="0071CE"/>
        </w:rPr>
      </w:pPr>
    </w:p>
    <w:p>
      <w:pPr>
        <w:ind w:left="440" w:hanging="216"/>
        <w:spacing w:after="0" w:line="269" w:lineRule="auto"/>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Presented new clinical data at The Liver Meeting Digital Experience, the Annual Meeting of the American Association for the Study of Liver Disease (“</w:t>
      </w:r>
      <w:r>
        <w:rPr>
          <w:rFonts w:ascii="Arial" w:cs="Arial" w:eastAsia="Arial" w:hAnsi="Arial"/>
          <w:sz w:val="16"/>
          <w:szCs w:val="16"/>
          <w:b w:val="1"/>
          <w:bCs w:val="1"/>
          <w:color w:val="auto"/>
        </w:rPr>
        <w:t>AASLD</w:t>
      </w:r>
      <w:r>
        <w:rPr>
          <w:rFonts w:ascii="Arial" w:cs="Arial" w:eastAsia="Arial" w:hAnsi="Arial"/>
          <w:sz w:val="16"/>
          <w:szCs w:val="16"/>
          <w:color w:val="auto"/>
        </w:rPr>
        <w:t>”) on ARO-AAT, Arrowhead’s candidate against liver disease associated with alpha-1 antitrypsin deficiency, showing that ARO-AAT strongly reduced the production of mutant Z-AAT protein and led to improvements in multiple biomarkers of alpha-1 liver disease;</w:t>
      </w:r>
    </w:p>
    <w:p>
      <w:pPr>
        <w:spacing w:after="0" w:line="69" w:lineRule="exact"/>
        <w:rPr>
          <w:rFonts w:ascii="Arial" w:cs="Arial" w:eastAsia="Arial" w:hAnsi="Arial"/>
          <w:sz w:val="16"/>
          <w:szCs w:val="16"/>
          <w:color w:val="0071CE"/>
        </w:rPr>
      </w:pPr>
    </w:p>
    <w:p>
      <w:pPr>
        <w:ind w:left="440" w:right="180" w:hanging="216"/>
        <w:spacing w:after="0" w:line="291" w:lineRule="auto"/>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Executed and closed an agreement with Takeda to co-develop and co-commercialize ARO-AAT, which includes a $300 million upfront payment, $740 million in potential milestone payments, a 50/50 profit sharing agreement in the U.S., and 20-25% royalty on sales outside the United States;</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Ended fiscal 2020 with $453 million in cash and investments; and</w:t>
      </w:r>
    </w:p>
    <w:p>
      <w:pPr>
        <w:spacing w:after="0" w:line="124" w:lineRule="exact"/>
        <w:rPr>
          <w:rFonts w:ascii="Arial" w:cs="Arial" w:eastAsia="Arial" w:hAnsi="Arial"/>
          <w:sz w:val="16"/>
          <w:szCs w:val="16"/>
          <w:color w:val="0071CE"/>
        </w:rPr>
      </w:pPr>
    </w:p>
    <w:p>
      <w:pPr>
        <w:ind w:left="440" w:hanging="216"/>
        <w:spacing w:after="0"/>
        <w:tabs>
          <w:tab w:leader="none" w:pos="4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Achieved 53% 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in fiscal 2020.</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Takeda Pharmaceutical Company Limited.</w:t>
      </w:r>
    </w:p>
    <w:p>
      <w:pPr>
        <w:spacing w:after="0" w:line="104" w:lineRule="exact"/>
        <w:rPr>
          <w:sz w:val="20"/>
          <w:szCs w:val="20"/>
          <w:color w:val="auto"/>
        </w:rPr>
      </w:pPr>
    </w:p>
    <w:p>
      <w:pPr>
        <w:ind w:left="120" w:right="300"/>
        <w:spacing w:after="0" w:line="294" w:lineRule="auto"/>
        <w:rPr>
          <w:sz w:val="20"/>
          <w:szCs w:val="20"/>
          <w:color w:val="auto"/>
        </w:rPr>
      </w:pPr>
      <w:r>
        <w:rPr>
          <w:rFonts w:ascii="Arial" w:cs="Arial" w:eastAsia="Arial" w:hAnsi="Arial"/>
          <w:sz w:val="16"/>
          <w:szCs w:val="16"/>
          <w:color w:val="auto"/>
        </w:rPr>
        <w:t>In October 2020, Arrowhead entered into a collaboration and license agreement with Takeda Pharmaceuticals U.S.A., Inc. (“</w:t>
      </w:r>
      <w:r>
        <w:rPr>
          <w:rFonts w:ascii="Arial" w:cs="Arial" w:eastAsia="Arial" w:hAnsi="Arial"/>
          <w:sz w:val="16"/>
          <w:szCs w:val="16"/>
          <w:b w:val="1"/>
          <w:bCs w:val="1"/>
          <w:color w:val="auto"/>
        </w:rPr>
        <w:t>Takeda</w:t>
      </w:r>
      <w:r>
        <w:rPr>
          <w:rFonts w:ascii="Arial" w:cs="Arial" w:eastAsia="Arial" w:hAnsi="Arial"/>
          <w:sz w:val="16"/>
          <w:szCs w:val="16"/>
          <w:color w:val="auto"/>
        </w:rPr>
        <w:t>”) to develop and commercialize ARO-AAT, a Phase 2 investigational therapy in development to treat alpha-1 antitrypsin-associated liver disease.</w:t>
      </w:r>
    </w:p>
    <w:p>
      <w:pPr>
        <w:spacing w:after="0" w:line="145" w:lineRule="exact"/>
        <w:rPr>
          <w:sz w:val="20"/>
          <w:szCs w:val="20"/>
          <w:color w:val="auto"/>
        </w:rPr>
      </w:pPr>
    </w:p>
    <w:p>
      <w:pPr>
        <w:ind w:left="120" w:right="160"/>
        <w:spacing w:after="0" w:line="257" w:lineRule="auto"/>
        <w:rPr>
          <w:sz w:val="20"/>
          <w:szCs w:val="20"/>
          <w:color w:val="auto"/>
        </w:rPr>
      </w:pPr>
      <w:r>
        <w:rPr>
          <w:rFonts w:ascii="Arial" w:cs="Arial" w:eastAsia="Arial" w:hAnsi="Arial"/>
          <w:sz w:val="16"/>
          <w:szCs w:val="16"/>
          <w:color w:val="auto"/>
        </w:rPr>
        <w:t>Under the terms of the agreement, Takeda and Arrowhead will co-develop ARO-ATT which, if approved, will be co-commercialized in the United States under a 50/50 profit-sharing structure. Outside of the United States, Takeda will lead the global commercialization strategy and receive an exclusive license to commercialize ARO-AAT with Arrowhead eligible to receive tiered royalties of 20-25% on net sales. In January 2021, Arrowhead received an upfront payment of $300 million. Additionally, the Company is eligible to receive potential development, regulatory and commercial milestones up to $740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Platform</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2020, Arrowhead continued to develop and deploy our Targeted RNAi Molecule platform (“</w:t>
      </w:r>
      <w:r>
        <w:rPr>
          <w:rFonts w:ascii="Arial" w:cs="Arial" w:eastAsia="Arial" w:hAnsi="Arial"/>
          <w:sz w:val="16"/>
          <w:szCs w:val="16"/>
          <w:b w:val="1"/>
          <w:bCs w:val="1"/>
          <w:color w:val="auto"/>
        </w:rPr>
        <w:t>TRiM</w:t>
      </w:r>
      <w:r>
        <w:rPr>
          <w:rFonts w:ascii="Arial" w:cs="Arial" w:eastAsia="Arial" w:hAnsi="Arial"/>
          <w:sz w:val="27"/>
          <w:szCs w:val="27"/>
          <w:color w:val="auto"/>
          <w:vertAlign w:val="superscript"/>
        </w:rPr>
        <w:t>™</w:t>
      </w:r>
      <w:r>
        <w:rPr>
          <w:rFonts w:ascii="Arial" w:cs="Arial" w:eastAsia="Arial" w:hAnsi="Arial"/>
          <w:sz w:val="16"/>
          <w:szCs w:val="16"/>
          <w:color w:val="auto"/>
        </w:rPr>
        <w:t>) to identify and develop new therapeutics, including</w:t>
      </w:r>
    </w:p>
    <w:p>
      <w:pPr>
        <w:ind w:left="120"/>
        <w:spacing w:after="0" w:line="187" w:lineRule="auto"/>
        <w:rPr>
          <w:sz w:val="20"/>
          <w:szCs w:val="20"/>
          <w:color w:val="auto"/>
        </w:rPr>
      </w:pPr>
      <w:r>
        <w:rPr>
          <w:rFonts w:ascii="Arial" w:cs="Arial" w:eastAsia="Arial" w:hAnsi="Arial"/>
          <w:sz w:val="13"/>
          <w:szCs w:val="13"/>
          <w:color w:val="auto"/>
        </w:rPr>
        <w:t>ARO-Lung2 and ARO-COV. TRiM</w:t>
      </w:r>
      <w:r>
        <w:rPr>
          <w:rFonts w:ascii="Arial" w:cs="Arial" w:eastAsia="Arial" w:hAnsi="Arial"/>
          <w:sz w:val="21"/>
          <w:szCs w:val="21"/>
          <w:color w:val="auto"/>
          <w:vertAlign w:val="superscript"/>
        </w:rPr>
        <w:t>™</w:t>
      </w:r>
      <w:r>
        <w:rPr>
          <w:rFonts w:ascii="Arial" w:cs="Arial" w:eastAsia="Arial" w:hAnsi="Arial"/>
          <w:sz w:val="13"/>
          <w:szCs w:val="13"/>
          <w:color w:val="auto"/>
        </w:rPr>
        <w:t xml:space="preserve"> utilizes ligand-mediated delivery and is designed to enable tissue-specific targeting, while being structurally simple.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platform is designed to offer several potential competitive advantages including:</w:t>
      </w:r>
    </w:p>
    <w:p>
      <w:pPr>
        <w:ind w:left="440" w:right="140" w:hanging="216"/>
        <w:spacing w:after="0" w:line="265" w:lineRule="auto"/>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73"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Simplified manufacturing at reduced cost;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The promise of taking RNAi to tissues beyond the liver.</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Pipeline</w:t>
      </w:r>
    </w:p>
    <w:p>
      <w:pPr>
        <w:spacing w:after="0" w:line="108" w:lineRule="exact"/>
        <w:rPr>
          <w:sz w:val="20"/>
          <w:szCs w:val="20"/>
          <w:color w:val="auto"/>
        </w:rPr>
      </w:pPr>
    </w:p>
    <w:p>
      <w:pPr>
        <w:jc w:val="both"/>
        <w:ind w:left="120" w:right="100"/>
        <w:spacing w:after="0" w:line="269" w:lineRule="auto"/>
        <w:rPr>
          <w:sz w:val="20"/>
          <w:szCs w:val="20"/>
          <w:color w:val="auto"/>
        </w:rPr>
      </w:pPr>
      <w:r>
        <w:rPr>
          <w:rFonts w:ascii="Arial" w:cs="Arial" w:eastAsia="Arial" w:hAnsi="Arial"/>
          <w:sz w:val="16"/>
          <w:szCs w:val="16"/>
          <w:color w:val="auto"/>
        </w:rPr>
        <w:t>We are focused on developing innovative drugs for diseases with a genetic basis, typically characterized by the overproduction of one or more proteins. The depth and versatility of our RNAi technologies enable us to address conditions in virtually any therapeutic area and pursue disease targets that are not otherwise addressable by small molecules and biologics.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timing of our planned and already filed clinical trial applications (“</w:t>
      </w:r>
      <w:r>
        <w:rPr>
          <w:rFonts w:ascii="Arial" w:cs="Arial" w:eastAsia="Arial" w:hAnsi="Arial"/>
          <w:sz w:val="16"/>
          <w:szCs w:val="16"/>
          <w:b w:val="1"/>
          <w:bCs w:val="1"/>
          <w:i w:val="1"/>
          <w:iCs w:val="1"/>
          <w:color w:val="auto"/>
        </w:rPr>
        <w:t>CTA</w:t>
      </w:r>
      <w:r>
        <w:rPr>
          <w:rFonts w:ascii="Arial" w:cs="Arial" w:eastAsia="Arial" w:hAnsi="Arial"/>
          <w:sz w:val="16"/>
          <w:szCs w:val="16"/>
          <w:i w:val="1"/>
          <w:iCs w:val="1"/>
          <w:color w:val="auto"/>
        </w:rPr>
        <w:t>”) discussed below are based on calendar years, not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109220</wp:posOffset>
            </wp:positionV>
            <wp:extent cx="98615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20</w:t>
      </w:r>
    </w:p>
    <w:p>
      <w:pPr>
        <w:sectPr>
          <w:pgSz w:w="11900" w:h="16838" w:orient="portrait"/>
          <w:cols w:equalWidth="0" w:num="1">
            <w:col w:w="11060"/>
          </w:cols>
          <w:pgMar w:left="320" w:top="455" w:right="5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Clinical Stage Candidates</w:t>
      </w:r>
    </w:p>
    <w:p>
      <w:pPr>
        <w:spacing w:after="0" w:line="108" w:lineRule="exact"/>
        <w:rPr>
          <w:sz w:val="20"/>
          <w:szCs w:val="20"/>
          <w:color w:val="auto"/>
        </w:rPr>
      </w:pPr>
    </w:p>
    <w:p>
      <w:pPr>
        <w:ind w:left="120" w:right="60"/>
        <w:spacing w:after="0" w:line="270" w:lineRule="auto"/>
        <w:rPr>
          <w:sz w:val="20"/>
          <w:szCs w:val="20"/>
          <w:color w:val="auto"/>
        </w:rPr>
      </w:pPr>
      <w:r>
        <w:rPr>
          <w:rFonts w:ascii="Arial" w:cs="Arial" w:eastAsia="Arial" w:hAnsi="Arial"/>
          <w:sz w:val="16"/>
          <w:szCs w:val="16"/>
          <w:b w:val="1"/>
          <w:bCs w:val="1"/>
          <w:color w:val="auto"/>
        </w:rPr>
        <w:t xml:space="preserve">ARO-ANG3 </w:t>
      </w:r>
      <w:r>
        <w:rPr>
          <w:rFonts w:ascii="Arial" w:cs="Arial" w:eastAsia="Arial" w:hAnsi="Arial"/>
          <w:sz w:val="16"/>
          <w:szCs w:val="16"/>
          <w:color w:val="auto"/>
        </w:rPr>
        <w:t>is designed to reduce production of angiopoietin-like protein 3 (“</w:t>
      </w:r>
      <w:r>
        <w:rPr>
          <w:rFonts w:ascii="Arial" w:cs="Arial" w:eastAsia="Arial" w:hAnsi="Arial"/>
          <w:sz w:val="16"/>
          <w:szCs w:val="16"/>
          <w:b w:val="1"/>
          <w:bCs w:val="1"/>
          <w:color w:val="auto"/>
        </w:rPr>
        <w:t xml:space="preserve"> ANGPTL3</w:t>
      </w:r>
      <w:r>
        <w:rPr>
          <w:rFonts w:ascii="Arial" w:cs="Arial" w:eastAsia="Arial" w:hAnsi="Arial"/>
          <w:sz w:val="16"/>
          <w:szCs w:val="16"/>
          <w:color w:val="auto"/>
        </w:rPr>
        <w:t>”), a liver synthesized inhibitor of lipoprotein lipase and endothelial</w:t>
      </w:r>
      <w:r>
        <w:rPr>
          <w:rFonts w:ascii="Arial" w:cs="Arial" w:eastAsia="Arial" w:hAnsi="Arial"/>
          <w:sz w:val="16"/>
          <w:szCs w:val="16"/>
          <w:b w:val="1"/>
          <w:bCs w:val="1"/>
          <w:color w:val="auto"/>
        </w:rPr>
        <w:t xml:space="preserve"> </w:t>
      </w:r>
      <w:r>
        <w:rPr>
          <w:rFonts w:ascii="Arial" w:cs="Arial" w:eastAsia="Arial" w:hAnsi="Arial"/>
          <w:sz w:val="16"/>
          <w:szCs w:val="16"/>
          <w:color w:val="auto"/>
        </w:rPr>
        <w:t>lipase. ANGPTL3 inhibition has been shown to lower serum LDL, serum and liver triglyceride and has genetic validation as a novel target for cardiovascular disease.</w:t>
      </w:r>
    </w:p>
    <w:p>
      <w:pPr>
        <w:spacing w:after="0" w:line="70" w:lineRule="exact"/>
        <w:rPr>
          <w:sz w:val="20"/>
          <w:szCs w:val="20"/>
          <w:color w:val="auto"/>
        </w:rPr>
      </w:pPr>
    </w:p>
    <w:p>
      <w:pPr>
        <w:ind w:left="440" w:hanging="216"/>
        <w:spacing w:after="0"/>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2018: Filed for regulatory clearance to begin a Phase 1 study.</w:t>
      </w:r>
    </w:p>
    <w:p>
      <w:pPr>
        <w:spacing w:after="0" w:line="126" w:lineRule="exact"/>
        <w:rPr>
          <w:rFonts w:ascii="Arial" w:cs="Arial" w:eastAsia="Arial" w:hAnsi="Arial"/>
          <w:sz w:val="16"/>
          <w:szCs w:val="16"/>
          <w:color w:val="0071CE"/>
        </w:rPr>
      </w:pPr>
    </w:p>
    <w:p>
      <w:pPr>
        <w:ind w:left="440" w:right="220" w:hanging="216"/>
        <w:spacing w:after="0" w:line="291" w:lineRule="auto"/>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2019: Clinical trial commenced. Initial results from AROANG1001 presented at the 2019 Global Summit on Cardiology and heart Diseases and the November 2019 American Heart Association meeting. Key data include:</w:t>
      </w:r>
    </w:p>
    <w:p>
      <w:pPr>
        <w:spacing w:after="0" w:line="53" w:lineRule="exact"/>
        <w:rPr>
          <w:rFonts w:ascii="Arial" w:cs="Arial" w:eastAsia="Arial" w:hAnsi="Arial"/>
          <w:sz w:val="16"/>
          <w:szCs w:val="16"/>
          <w:color w:val="0071CE"/>
        </w:rPr>
      </w:pPr>
    </w:p>
    <w:p>
      <w:pPr>
        <w:ind w:left="660" w:right="160" w:hanging="220"/>
        <w:spacing w:after="0" w:line="291" w:lineRule="auto"/>
        <w:tabs>
          <w:tab w:leader="none" w:pos="660" w:val="left"/>
        </w:tabs>
        <w:numPr>
          <w:ilvl w:val="1"/>
          <w:numId w:val="30"/>
        </w:numPr>
        <w:rPr>
          <w:rFonts w:ascii="Arial" w:cs="Arial" w:eastAsia="Arial" w:hAnsi="Arial"/>
          <w:sz w:val="16"/>
          <w:szCs w:val="16"/>
          <w:color w:val="0071CE"/>
        </w:rPr>
      </w:pPr>
      <w:r>
        <w:rPr>
          <w:rFonts w:ascii="Arial" w:cs="Arial" w:eastAsia="Arial" w:hAnsi="Arial"/>
          <w:sz w:val="16"/>
          <w:szCs w:val="16"/>
          <w:color w:val="auto"/>
        </w:rPr>
        <w:t>Dose dependent reductions in serum ANGPTL3 (mean maximum reduction ranging from 55% in the 35 mg cohort to 83% in the 300 mg cohort), which were maintained through the end of the study.</w:t>
      </w:r>
    </w:p>
    <w:p>
      <w:pPr>
        <w:spacing w:after="0" w:line="53" w:lineRule="exact"/>
        <w:rPr>
          <w:rFonts w:ascii="Arial" w:cs="Arial" w:eastAsia="Arial" w:hAnsi="Arial"/>
          <w:sz w:val="16"/>
          <w:szCs w:val="16"/>
          <w:color w:val="0071CE"/>
        </w:rPr>
      </w:pPr>
    </w:p>
    <w:p>
      <w:pPr>
        <w:ind w:left="660" w:right="100" w:hanging="220"/>
        <w:spacing w:after="0" w:line="269" w:lineRule="auto"/>
        <w:tabs>
          <w:tab w:leader="none" w:pos="660" w:val="left"/>
        </w:tabs>
        <w:numPr>
          <w:ilvl w:val="1"/>
          <w:numId w:val="30"/>
        </w:numPr>
        <w:rPr>
          <w:rFonts w:ascii="Arial" w:cs="Arial" w:eastAsia="Arial" w:hAnsi="Arial"/>
          <w:sz w:val="16"/>
          <w:szCs w:val="16"/>
          <w:color w:val="0071CE"/>
        </w:rPr>
      </w:pPr>
      <w:r>
        <w:rPr>
          <w:rFonts w:ascii="Arial" w:cs="Arial" w:eastAsia="Arial" w:hAnsi="Arial"/>
          <w:sz w:val="16"/>
          <w:szCs w:val="16"/>
          <w:color w:val="auto"/>
        </w:rPr>
        <w:t>Dose dependent reduction in triglycerides and VLDL-C (mean maximum triglyceride reduction ranging from 31% in the 35 mg cohort and 66% in the 200 mg cohort and mean maximum VLDL-C ranging from 30% in the 35 mg cohort to 65% in the 200 mg cohort). Reductions in trig2lycerides and VLDL-C in the 200 mg and 300 mg cohorts were maintained through end of study.</w:t>
      </w:r>
    </w:p>
    <w:p>
      <w:pPr>
        <w:spacing w:after="0" w:line="69" w:lineRule="exact"/>
        <w:rPr>
          <w:rFonts w:ascii="Arial" w:cs="Arial" w:eastAsia="Arial" w:hAnsi="Arial"/>
          <w:sz w:val="16"/>
          <w:szCs w:val="16"/>
          <w:color w:val="0071CE"/>
        </w:rPr>
      </w:pPr>
    </w:p>
    <w:p>
      <w:pPr>
        <w:ind w:left="440" w:hanging="216"/>
        <w:spacing w:after="0"/>
        <w:tabs>
          <w:tab w:leader="none" w:pos="4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2020: Completed planned enrollment in AROANG1001 and published additional preliminary data.</w:t>
      </w:r>
    </w:p>
    <w:p>
      <w:pPr>
        <w:spacing w:after="0" w:line="219" w:lineRule="exact"/>
        <w:rPr>
          <w:sz w:val="20"/>
          <w:szCs w:val="20"/>
          <w:color w:val="auto"/>
        </w:rPr>
      </w:pPr>
    </w:p>
    <w:p>
      <w:pPr>
        <w:ind w:left="120" w:right="80"/>
        <w:spacing w:after="0" w:line="270" w:lineRule="auto"/>
        <w:rPr>
          <w:sz w:val="20"/>
          <w:szCs w:val="20"/>
          <w:color w:val="auto"/>
        </w:rPr>
      </w:pPr>
      <w:r>
        <w:rPr>
          <w:rFonts w:ascii="Arial" w:cs="Arial" w:eastAsia="Arial" w:hAnsi="Arial"/>
          <w:sz w:val="16"/>
          <w:szCs w:val="16"/>
          <w:b w:val="1"/>
          <w:bCs w:val="1"/>
          <w:color w:val="auto"/>
        </w:rPr>
        <w:t xml:space="preserve">ARO-APOC3 </w:t>
      </w:r>
      <w:r>
        <w:rPr>
          <w:rFonts w:ascii="Arial" w:cs="Arial" w:eastAsia="Arial" w:hAnsi="Arial"/>
          <w:sz w:val="16"/>
          <w:szCs w:val="16"/>
          <w:color w:val="auto"/>
        </w:rPr>
        <w:t>is designed to reduce production of Apolipoprotein C-III (apoC-III), a component of triglyceride rich lipoproteins (“</w:t>
      </w:r>
      <w:r>
        <w:rPr>
          <w:rFonts w:ascii="Arial" w:cs="Arial" w:eastAsia="Arial" w:hAnsi="Arial"/>
          <w:sz w:val="16"/>
          <w:szCs w:val="16"/>
          <w:b w:val="1"/>
          <w:bCs w:val="1"/>
          <w:color w:val="auto"/>
        </w:rPr>
        <w:t>TRLs</w:t>
      </w:r>
      <w:r>
        <w:rPr>
          <w:rFonts w:ascii="Arial" w:cs="Arial" w:eastAsia="Arial" w:hAnsi="Arial"/>
          <w:sz w:val="16"/>
          <w:szCs w:val="16"/>
          <w:color w:val="auto"/>
        </w:rPr>
        <w:t>”) including VLDL</w:t>
      </w:r>
      <w:r>
        <w:rPr>
          <w:rFonts w:ascii="Arial" w:cs="Arial" w:eastAsia="Arial" w:hAnsi="Arial"/>
          <w:sz w:val="16"/>
          <w:szCs w:val="16"/>
          <w:b w:val="1"/>
          <w:bCs w:val="1"/>
          <w:color w:val="auto"/>
        </w:rPr>
        <w:t xml:space="preserve"> </w:t>
      </w:r>
      <w:r>
        <w:rPr>
          <w:rFonts w:ascii="Arial" w:cs="Arial" w:eastAsia="Arial" w:hAnsi="Arial"/>
          <w:sz w:val="16"/>
          <w:szCs w:val="16"/>
          <w:color w:val="auto"/>
        </w:rPr>
        <w:t>and chylomicrons and a key regulator of triglyceride metabolism. The company believes that knocking down the hepatic production of apoC-III may result in reduced VLDL synthesis and assembly, enhanced breakdown of TRLs, and better clearance of VLDL and chylomicron remnants.</w:t>
      </w:r>
    </w:p>
    <w:p>
      <w:pPr>
        <w:spacing w:after="0" w:line="70" w:lineRule="exact"/>
        <w:rPr>
          <w:sz w:val="20"/>
          <w:szCs w:val="20"/>
          <w:color w:val="auto"/>
        </w:rPr>
      </w:pPr>
    </w:p>
    <w:p>
      <w:pPr>
        <w:ind w:left="440" w:hanging="216"/>
        <w:spacing w:after="0"/>
        <w:tabs>
          <w:tab w:leader="none" w:pos="4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440" w:right="40" w:hanging="216"/>
        <w:spacing w:after="0" w:line="291" w:lineRule="auto"/>
        <w:tabs>
          <w:tab w:leader="none" w:pos="4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2019: Clinical trial commenced. Initial results from AROAPOC31001 presented at the 2019 Global Summit on Cardiology and heart Diseases and the November 2019 American Heart Association meeting. Key data include:</w:t>
      </w:r>
    </w:p>
    <w:p>
      <w:pPr>
        <w:spacing w:after="0" w:line="53" w:lineRule="exact"/>
        <w:rPr>
          <w:rFonts w:ascii="Arial" w:cs="Arial" w:eastAsia="Arial" w:hAnsi="Arial"/>
          <w:sz w:val="16"/>
          <w:szCs w:val="16"/>
          <w:color w:val="0071CE"/>
        </w:rPr>
      </w:pPr>
    </w:p>
    <w:p>
      <w:pPr>
        <w:ind w:left="660" w:right="360" w:hanging="220"/>
        <w:spacing w:after="0" w:line="291" w:lineRule="auto"/>
        <w:tabs>
          <w:tab w:leader="none" w:pos="660" w:val="left"/>
        </w:tabs>
        <w:numPr>
          <w:ilvl w:val="1"/>
          <w:numId w:val="31"/>
        </w:numPr>
        <w:rPr>
          <w:rFonts w:ascii="Arial" w:cs="Arial" w:eastAsia="Arial" w:hAnsi="Arial"/>
          <w:sz w:val="16"/>
          <w:szCs w:val="16"/>
          <w:color w:val="0071CE"/>
        </w:rPr>
      </w:pPr>
      <w:r>
        <w:rPr>
          <w:rFonts w:ascii="Arial" w:cs="Arial" w:eastAsia="Arial" w:hAnsi="Arial"/>
          <w:sz w:val="16"/>
          <w:szCs w:val="16"/>
          <w:color w:val="auto"/>
        </w:rPr>
        <w:t>Dose dependent reductions in serum APOC3 (mean maximum reduction ranging from 72% in the 10 mg cohort to 94% in the 100 mg cohort), which were maintained through the end of the study.</w:t>
      </w:r>
    </w:p>
    <w:p>
      <w:pPr>
        <w:spacing w:after="0" w:line="53" w:lineRule="exact"/>
        <w:rPr>
          <w:rFonts w:ascii="Arial" w:cs="Arial" w:eastAsia="Arial" w:hAnsi="Arial"/>
          <w:sz w:val="16"/>
          <w:szCs w:val="16"/>
          <w:color w:val="0071CE"/>
        </w:rPr>
      </w:pPr>
    </w:p>
    <w:p>
      <w:pPr>
        <w:ind w:left="660" w:right="160" w:hanging="220"/>
        <w:spacing w:after="0" w:line="269" w:lineRule="auto"/>
        <w:tabs>
          <w:tab w:leader="none" w:pos="660" w:val="left"/>
        </w:tabs>
        <w:numPr>
          <w:ilvl w:val="1"/>
          <w:numId w:val="31"/>
        </w:numPr>
        <w:rPr>
          <w:rFonts w:ascii="Arial" w:cs="Arial" w:eastAsia="Arial" w:hAnsi="Arial"/>
          <w:sz w:val="16"/>
          <w:szCs w:val="16"/>
          <w:color w:val="0071CE"/>
        </w:rPr>
      </w:pPr>
      <w:r>
        <w:rPr>
          <w:rFonts w:ascii="Arial" w:cs="Arial" w:eastAsia="Arial" w:hAnsi="Arial"/>
          <w:sz w:val="16"/>
          <w:szCs w:val="16"/>
          <w:color w:val="auto"/>
        </w:rPr>
        <w:t>Dose dependent reduction in triglycerides and VLDL-C (mean maximum triglyceride reduction ranging from 53% in the 10 mg cohort and 64% in the 100 mg cohort and mean maximum VLDL-C ranging from 53% in the 10 mg cohort to 68% in the 50 mg cohort). These reductions were maintained through the end of study.</w:t>
      </w:r>
    </w:p>
    <w:p>
      <w:pPr>
        <w:spacing w:after="0" w:line="69" w:lineRule="exact"/>
        <w:rPr>
          <w:rFonts w:ascii="Arial" w:cs="Arial" w:eastAsia="Arial" w:hAnsi="Arial"/>
          <w:sz w:val="16"/>
          <w:szCs w:val="16"/>
          <w:color w:val="0071CE"/>
        </w:rPr>
      </w:pPr>
    </w:p>
    <w:p>
      <w:pPr>
        <w:ind w:left="440" w:hanging="216"/>
        <w:spacing w:after="0"/>
        <w:tabs>
          <w:tab w:leader="none" w:pos="4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2020: Completed planned enrollment in AROAPOC31001 and published additional preliminary data.</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ARO-ENaC </w:t>
      </w:r>
      <w:r>
        <w:rPr>
          <w:rFonts w:ascii="Arial" w:cs="Arial" w:eastAsia="Arial" w:hAnsi="Arial"/>
          <w:sz w:val="16"/>
          <w:szCs w:val="16"/>
          <w:color w:val="auto"/>
        </w:rPr>
        <w:t>is an orally inhaled investigational RNAi therapeutic being developed as a treatment for patients with cystic fibrosis</w:t>
      </w:r>
    </w:p>
    <w:p>
      <w:pPr>
        <w:spacing w:after="0" w:line="127" w:lineRule="exact"/>
        <w:rPr>
          <w:sz w:val="20"/>
          <w:szCs w:val="20"/>
          <w:color w:val="auto"/>
        </w:rPr>
      </w:pPr>
    </w:p>
    <w:p>
      <w:pPr>
        <w:ind w:left="440" w:hanging="216"/>
        <w:spacing w:after="0"/>
        <w:tabs>
          <w:tab w:leader="none" w:pos="44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2020: Investigational New Drug application (“</w:t>
      </w:r>
      <w:r>
        <w:rPr>
          <w:rFonts w:ascii="Arial" w:cs="Arial" w:eastAsia="Arial" w:hAnsi="Arial"/>
          <w:sz w:val="16"/>
          <w:szCs w:val="16"/>
          <w:b w:val="1"/>
          <w:bCs w:val="1"/>
          <w:color w:val="auto"/>
        </w:rPr>
        <w:t>IND</w:t>
      </w:r>
      <w:r>
        <w:rPr>
          <w:rFonts w:ascii="Arial" w:cs="Arial" w:eastAsia="Arial" w:hAnsi="Arial"/>
          <w:sz w:val="16"/>
          <w:szCs w:val="16"/>
          <w:color w:val="auto"/>
        </w:rPr>
        <w:t>”) filed and Phase 1/2a clinical trial commenced.</w:t>
      </w:r>
    </w:p>
    <w:p>
      <w:pPr>
        <w:spacing w:after="0" w:line="221" w:lineRule="exact"/>
        <w:rPr>
          <w:sz w:val="20"/>
          <w:szCs w:val="20"/>
          <w:color w:val="auto"/>
        </w:rPr>
      </w:pPr>
    </w:p>
    <w:p>
      <w:pPr>
        <w:jc w:val="both"/>
        <w:ind w:left="120" w:right="420"/>
        <w:spacing w:after="0" w:line="270" w:lineRule="auto"/>
        <w:rPr>
          <w:sz w:val="20"/>
          <w:szCs w:val="20"/>
          <w:color w:val="auto"/>
        </w:rPr>
      </w:pPr>
      <w:r>
        <w:rPr>
          <w:rFonts w:ascii="Arial" w:cs="Arial" w:eastAsia="Arial" w:hAnsi="Arial"/>
          <w:sz w:val="16"/>
          <w:szCs w:val="16"/>
          <w:b w:val="1"/>
          <w:bCs w:val="1"/>
          <w:color w:val="auto"/>
        </w:rPr>
        <w:t xml:space="preserve">ARO-HIF2 </w:t>
      </w:r>
      <w:r>
        <w:rPr>
          <w:rFonts w:ascii="Arial" w:cs="Arial" w:eastAsia="Arial" w:hAnsi="Arial"/>
          <w:sz w:val="16"/>
          <w:szCs w:val="16"/>
          <w:color w:val="auto"/>
        </w:rPr>
        <w:t>is being developed as a treatment for patients with clear cell renal cell carcinoma (“</w:t>
      </w:r>
      <w:r>
        <w:rPr>
          <w:rFonts w:ascii="Arial" w:cs="Arial" w:eastAsia="Arial" w:hAnsi="Arial"/>
          <w:sz w:val="16"/>
          <w:szCs w:val="16"/>
          <w:b w:val="1"/>
          <w:bCs w:val="1"/>
          <w:color w:val="auto"/>
        </w:rPr>
        <w:t>ccRCC</w:t>
      </w:r>
      <w:r>
        <w:rPr>
          <w:rFonts w:ascii="Arial" w:cs="Arial" w:eastAsia="Arial" w:hAnsi="Arial"/>
          <w:sz w:val="16"/>
          <w:szCs w:val="16"/>
          <w:color w:val="auto"/>
        </w:rPr>
        <w:t>”). ccRCC is one of the most common forms of</w:t>
      </w:r>
      <w:r>
        <w:rPr>
          <w:rFonts w:ascii="Arial" w:cs="Arial" w:eastAsia="Arial" w:hAnsi="Arial"/>
          <w:sz w:val="16"/>
          <w:szCs w:val="16"/>
          <w:b w:val="1"/>
          <w:bCs w:val="1"/>
          <w:color w:val="auto"/>
        </w:rPr>
        <w:t xml:space="preserve"> </w:t>
      </w:r>
      <w:r>
        <w:rPr>
          <w:rFonts w:ascii="Arial" w:cs="Arial" w:eastAsia="Arial" w:hAnsi="Arial"/>
          <w:sz w:val="16"/>
          <w:szCs w:val="16"/>
          <w:color w:val="auto"/>
        </w:rPr>
        <w:t>kidney cancer. Most patients with ccRCC have a mutation in the Von Hippel-Lindau gene, rendering them unable to degrade HIF-2a, which leads to accumulation during tumor hypoxia and promotes tumor growth.</w:t>
      </w:r>
    </w:p>
    <w:p>
      <w:pPr>
        <w:spacing w:after="0" w:line="70" w:lineRule="exact"/>
        <w:rPr>
          <w:sz w:val="20"/>
          <w:szCs w:val="20"/>
          <w:color w:val="auto"/>
        </w:rPr>
      </w:pPr>
    </w:p>
    <w:p>
      <w:pPr>
        <w:ind w:left="440" w:hanging="216"/>
        <w:spacing w:after="0"/>
        <w:tabs>
          <w:tab w:leader="none" w:pos="440"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2019: IND filed.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2020: Commenced patient enrollment in a Phase 1 study.</w:t>
      </w:r>
    </w:p>
    <w:p>
      <w:pPr>
        <w:spacing w:after="0" w:line="219" w:lineRule="exact"/>
        <w:rPr>
          <w:sz w:val="20"/>
          <w:szCs w:val="20"/>
          <w:color w:val="auto"/>
        </w:rPr>
      </w:pPr>
    </w:p>
    <w:p>
      <w:pPr>
        <w:ind w:left="120" w:right="160"/>
        <w:spacing w:after="0" w:line="262" w:lineRule="auto"/>
        <w:rPr>
          <w:sz w:val="20"/>
          <w:szCs w:val="20"/>
          <w:color w:val="auto"/>
        </w:rPr>
      </w:pPr>
      <w:r>
        <w:rPr>
          <w:rFonts w:ascii="Arial" w:cs="Arial" w:eastAsia="Arial" w:hAnsi="Arial"/>
          <w:sz w:val="16"/>
          <w:szCs w:val="16"/>
          <w:b w:val="1"/>
          <w:bCs w:val="1"/>
          <w:color w:val="auto"/>
        </w:rPr>
        <w:t xml:space="preserve">ARO-HSD </w:t>
      </w:r>
      <w:r>
        <w:rPr>
          <w:rFonts w:ascii="Arial" w:cs="Arial" w:eastAsia="Arial" w:hAnsi="Arial"/>
          <w:sz w:val="16"/>
          <w:szCs w:val="16"/>
          <w:color w:val="auto"/>
        </w:rPr>
        <w:t>is being developed as a treatment for patients with alcohol related and nonalcohol related liver diseases such as nonalcoholic steatohepatitis</w:t>
      </w:r>
      <w:r>
        <w:rPr>
          <w:rFonts w:ascii="Arial" w:cs="Arial" w:eastAsia="Arial" w:hAnsi="Arial"/>
          <w:sz w:val="16"/>
          <w:szCs w:val="16"/>
          <w:b w:val="1"/>
          <w:bCs w:val="1"/>
          <w:color w:val="auto"/>
        </w:rPr>
        <w:t xml:space="preserve"> (“NASH</w:t>
      </w:r>
      <w:r>
        <w:rPr>
          <w:rFonts w:ascii="Arial" w:cs="Arial" w:eastAsia="Arial" w:hAnsi="Arial"/>
          <w:sz w:val="16"/>
          <w:szCs w:val="16"/>
          <w:color w:val="auto"/>
        </w:rPr>
        <w:t>”). ARO-HSD is designed to reduce the production of HSD17B13, a member of the hydroxysteroid dehydrogenase family involved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metabolism of hormones, fatty acids, and bile acids. Published genetic data indicate a loss of function mutation in HSD17B13 provides strong protection against alcoholic hepatitis, cirrhosis and NASH. This genetic validation gives us confidence about the target gene.</w:t>
      </w:r>
    </w:p>
    <w:p>
      <w:pPr>
        <w:spacing w:after="0" w:line="76" w:lineRule="exact"/>
        <w:rPr>
          <w:sz w:val="20"/>
          <w:szCs w:val="20"/>
          <w:color w:val="auto"/>
        </w:rPr>
      </w:pPr>
    </w:p>
    <w:p>
      <w:pPr>
        <w:ind w:left="440" w:hanging="216"/>
        <w:spacing w:after="0"/>
        <w:tabs>
          <w:tab w:leader="none" w:pos="44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2019: Clinical trial application filed.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2020: Dosed first patients in a Phase 1/2 clinical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109220</wp:posOffset>
            </wp:positionV>
            <wp:extent cx="98615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81"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108" w:lineRule="exact"/>
        <w:rPr>
          <w:sz w:val="20"/>
          <w:szCs w:val="20"/>
          <w:color w:val="auto"/>
        </w:rPr>
      </w:pPr>
    </w:p>
    <w:p>
      <w:pPr>
        <w:ind w:left="120" w:right="40"/>
        <w:spacing w:after="0" w:line="270" w:lineRule="auto"/>
        <w:rPr>
          <w:sz w:val="20"/>
          <w:szCs w:val="20"/>
          <w:color w:val="auto"/>
        </w:rPr>
      </w:pPr>
      <w:r>
        <w:rPr>
          <w:rFonts w:ascii="Arial" w:cs="Arial" w:eastAsia="Arial" w:hAnsi="Arial"/>
          <w:sz w:val="16"/>
          <w:szCs w:val="16"/>
          <w:b w:val="1"/>
          <w:bCs w:val="1"/>
          <w:color w:val="auto"/>
        </w:rPr>
        <w:t xml:space="preserve">ARO-AAT </w:t>
      </w:r>
      <w:r>
        <w:rPr>
          <w:rFonts w:ascii="Arial" w:cs="Arial" w:eastAsia="Arial" w:hAnsi="Arial"/>
          <w:sz w:val="16"/>
          <w:szCs w:val="16"/>
          <w:color w:val="auto"/>
        </w:rPr>
        <w:t>is a clinical-stage RNAi therapeutic candidate for the treatment of liver disease associated with alpha-1 antitrypsin deficiency. ARO-AAT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knock down the Alpha-1 antitrypsin (“</w:t>
      </w:r>
      <w:r>
        <w:rPr>
          <w:rFonts w:ascii="Arial" w:cs="Arial" w:eastAsia="Arial" w:hAnsi="Arial"/>
          <w:sz w:val="16"/>
          <w:szCs w:val="16"/>
          <w:b w:val="1"/>
          <w:bCs w:val="1"/>
          <w:color w:val="auto"/>
        </w:rPr>
        <w:t>AAT</w:t>
      </w:r>
      <w:r>
        <w:rPr>
          <w:rFonts w:ascii="Arial" w:cs="Arial" w:eastAsia="Arial" w:hAnsi="Arial"/>
          <w:sz w:val="16"/>
          <w:szCs w:val="16"/>
          <w:color w:val="auto"/>
        </w:rPr>
        <w:t>”) gene transcript and reduce the hepatic production of the mutant AAT protein. ARO-AAT is a next-generation subcutaneously administered compound that follows a previous generation AAT compound ARC-AAT.</w:t>
      </w:r>
    </w:p>
    <w:p>
      <w:pPr>
        <w:spacing w:after="0" w:line="70" w:lineRule="exact"/>
        <w:rPr>
          <w:sz w:val="20"/>
          <w:szCs w:val="20"/>
          <w:color w:val="auto"/>
        </w:rPr>
      </w:pPr>
    </w:p>
    <w:p>
      <w:pPr>
        <w:ind w:left="440" w:hanging="216"/>
        <w:spacing w:after="0"/>
        <w:tabs>
          <w:tab w:leader="none" w:pos="44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2017: ARO-AAT nominated; CTA filed.</w:t>
      </w:r>
    </w:p>
    <w:p>
      <w:pPr>
        <w:spacing w:after="0" w:line="123" w:lineRule="exact"/>
        <w:rPr>
          <w:rFonts w:ascii="Arial" w:cs="Arial" w:eastAsia="Arial" w:hAnsi="Arial"/>
          <w:sz w:val="16"/>
          <w:szCs w:val="16"/>
          <w:color w:val="0071CE"/>
        </w:rPr>
      </w:pPr>
    </w:p>
    <w:p>
      <w:pPr>
        <w:ind w:left="440" w:right="240" w:hanging="216"/>
        <w:spacing w:after="0" w:line="199" w:lineRule="auto"/>
        <w:tabs>
          <w:tab w:leader="none" w:pos="44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2018: Clinical trial commenced. Initial results from AROAAT1001 were presented in November 2018 at The Liver Meeting</w:t>
      </w:r>
      <w:r>
        <w:rPr>
          <w:rFonts w:ascii="Arial" w:cs="Arial" w:eastAsia="Arial" w:hAnsi="Arial"/>
          <w:sz w:val="27"/>
          <w:szCs w:val="27"/>
          <w:color w:val="auto"/>
          <w:vertAlign w:val="superscript"/>
        </w:rPr>
        <w:t>®</w:t>
      </w:r>
      <w:r>
        <w:rPr>
          <w:rFonts w:ascii="Arial" w:cs="Arial" w:eastAsia="Arial" w:hAnsi="Arial"/>
          <w:sz w:val="16"/>
          <w:szCs w:val="16"/>
          <w:color w:val="auto"/>
        </w:rPr>
        <w:t>, the Annual Meeting of the AASLD. Key data include:</w:t>
      </w:r>
    </w:p>
    <w:p>
      <w:pPr>
        <w:spacing w:after="0" w:line="92" w:lineRule="exact"/>
        <w:rPr>
          <w:rFonts w:ascii="Arial" w:cs="Arial" w:eastAsia="Arial" w:hAnsi="Arial"/>
          <w:sz w:val="16"/>
          <w:szCs w:val="16"/>
          <w:color w:val="0071CE"/>
        </w:rPr>
      </w:pPr>
    </w:p>
    <w:p>
      <w:pPr>
        <w:ind w:left="660" w:hanging="220"/>
        <w:spacing w:after="0"/>
        <w:tabs>
          <w:tab w:leader="none" w:pos="660" w:val="left"/>
        </w:tabs>
        <w:numPr>
          <w:ilvl w:val="1"/>
          <w:numId w:val="35"/>
        </w:numPr>
        <w:rPr>
          <w:rFonts w:ascii="Arial" w:cs="Arial" w:eastAsia="Arial" w:hAnsi="Arial"/>
          <w:sz w:val="16"/>
          <w:szCs w:val="16"/>
          <w:color w:val="0071CE"/>
        </w:rPr>
      </w:pPr>
      <w:r>
        <w:rPr>
          <w:rFonts w:ascii="Arial" w:cs="Arial" w:eastAsia="Arial" w:hAnsi="Arial"/>
          <w:sz w:val="16"/>
          <w:szCs w:val="16"/>
          <w:color w:val="auto"/>
        </w:rPr>
        <w:t>Three monthly doses of 300 mg ARO-AAT led to reductions in serum alpha-1 antitrypsin to below the level of quantitation in 100% of subjects.</w:t>
      </w:r>
    </w:p>
    <w:p>
      <w:pPr>
        <w:spacing w:after="0" w:line="126" w:lineRule="exact"/>
        <w:rPr>
          <w:rFonts w:ascii="Arial" w:cs="Arial" w:eastAsia="Arial" w:hAnsi="Arial"/>
          <w:sz w:val="16"/>
          <w:szCs w:val="16"/>
          <w:color w:val="0071CE"/>
        </w:rPr>
      </w:pPr>
    </w:p>
    <w:p>
      <w:pPr>
        <w:ind w:left="660" w:hanging="220"/>
        <w:spacing w:after="0"/>
        <w:tabs>
          <w:tab w:leader="none" w:pos="660" w:val="left"/>
        </w:tabs>
        <w:numPr>
          <w:ilvl w:val="1"/>
          <w:numId w:val="35"/>
        </w:numPr>
        <w:rPr>
          <w:rFonts w:ascii="Arial" w:cs="Arial" w:eastAsia="Arial" w:hAnsi="Arial"/>
          <w:sz w:val="16"/>
          <w:szCs w:val="16"/>
          <w:color w:val="0071CE"/>
        </w:rPr>
      </w:pPr>
      <w:r>
        <w:rPr>
          <w:rFonts w:ascii="Arial" w:cs="Arial" w:eastAsia="Arial" w:hAnsi="Arial"/>
          <w:sz w:val="16"/>
          <w:szCs w:val="16"/>
          <w:color w:val="auto"/>
        </w:rPr>
        <w:t>Reductions were sustained for greater than 14 weeks indicating that quarterly or less frequent dosing appears feasible.</w:t>
      </w:r>
    </w:p>
    <w:p>
      <w:pPr>
        <w:spacing w:after="0" w:line="126" w:lineRule="exact"/>
        <w:rPr>
          <w:rFonts w:ascii="Arial" w:cs="Arial" w:eastAsia="Arial" w:hAnsi="Arial"/>
          <w:sz w:val="16"/>
          <w:szCs w:val="16"/>
          <w:color w:val="0071CE"/>
        </w:rPr>
      </w:pPr>
    </w:p>
    <w:p>
      <w:pPr>
        <w:ind w:left="660" w:hanging="220"/>
        <w:spacing w:after="0"/>
        <w:tabs>
          <w:tab w:leader="none" w:pos="660" w:val="left"/>
        </w:tabs>
        <w:numPr>
          <w:ilvl w:val="1"/>
          <w:numId w:val="35"/>
        </w:numPr>
        <w:rPr>
          <w:rFonts w:ascii="Arial" w:cs="Arial" w:eastAsia="Arial" w:hAnsi="Arial"/>
          <w:sz w:val="16"/>
          <w:szCs w:val="16"/>
          <w:color w:val="0071CE"/>
        </w:rPr>
      </w:pPr>
      <w:r>
        <w:rPr>
          <w:rFonts w:ascii="Arial" w:cs="Arial" w:eastAsia="Arial" w:hAnsi="Arial"/>
          <w:sz w:val="16"/>
          <w:szCs w:val="16"/>
          <w:color w:val="auto"/>
        </w:rPr>
        <w:t>Single and multiple doses of ARO-AAT appeared to be well-tolerated at all doses tested.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2019: One phase 2/3 and one Phase 2 trial were initiated (enrolling concurrently):</w:t>
      </w:r>
    </w:p>
    <w:p>
      <w:pPr>
        <w:spacing w:after="0" w:line="126" w:lineRule="exact"/>
        <w:rPr>
          <w:rFonts w:ascii="Arial" w:cs="Arial" w:eastAsia="Arial" w:hAnsi="Arial"/>
          <w:sz w:val="16"/>
          <w:szCs w:val="16"/>
          <w:color w:val="0071CE"/>
        </w:rPr>
      </w:pPr>
    </w:p>
    <w:p>
      <w:pPr>
        <w:ind w:left="660" w:right="700" w:hanging="220"/>
        <w:spacing w:after="0" w:line="291" w:lineRule="auto"/>
        <w:tabs>
          <w:tab w:leader="none" w:pos="660" w:val="left"/>
        </w:tabs>
        <w:numPr>
          <w:ilvl w:val="1"/>
          <w:numId w:val="35"/>
        </w:numPr>
        <w:rPr>
          <w:rFonts w:ascii="Arial" w:cs="Arial" w:eastAsia="Arial" w:hAnsi="Arial"/>
          <w:sz w:val="16"/>
          <w:szCs w:val="16"/>
          <w:color w:val="0071CE"/>
        </w:rPr>
      </w:pPr>
      <w:r>
        <w:rPr>
          <w:rFonts w:ascii="Arial" w:cs="Arial" w:eastAsia="Arial" w:hAnsi="Arial"/>
          <w:sz w:val="16"/>
          <w:szCs w:val="16"/>
          <w:color w:val="auto"/>
        </w:rPr>
        <w:t>SEQUOIA, a potentially pivotal multi-center, multi-dose, placebo-controlled, adaptive Phase 2/3 study to evaluate the safety, efficacy and tolerability of ARO-AAT, administered subcutaneously to patients with alpha-1 antitrypsin deficiency</w:t>
      </w:r>
    </w:p>
    <w:p>
      <w:pPr>
        <w:spacing w:after="0" w:line="53" w:lineRule="exact"/>
        <w:rPr>
          <w:rFonts w:ascii="Arial" w:cs="Arial" w:eastAsia="Arial" w:hAnsi="Arial"/>
          <w:sz w:val="16"/>
          <w:szCs w:val="16"/>
          <w:color w:val="0071CE"/>
        </w:rPr>
      </w:pPr>
    </w:p>
    <w:p>
      <w:pPr>
        <w:ind w:left="660" w:right="60" w:hanging="220"/>
        <w:spacing w:after="0" w:line="291" w:lineRule="auto"/>
        <w:tabs>
          <w:tab w:leader="none" w:pos="660" w:val="left"/>
        </w:tabs>
        <w:numPr>
          <w:ilvl w:val="1"/>
          <w:numId w:val="35"/>
        </w:numPr>
        <w:rPr>
          <w:rFonts w:ascii="Arial" w:cs="Arial" w:eastAsia="Arial" w:hAnsi="Arial"/>
          <w:sz w:val="16"/>
          <w:szCs w:val="16"/>
          <w:color w:val="0071CE"/>
        </w:rPr>
      </w:pPr>
      <w:r>
        <w:rPr>
          <w:rFonts w:ascii="Arial" w:cs="Arial" w:eastAsia="Arial" w:hAnsi="Arial"/>
          <w:sz w:val="16"/>
          <w:szCs w:val="16"/>
          <w:color w:val="auto"/>
        </w:rPr>
        <w:t>AROAAT2002, a pilot open-label, multi-dose, Phase 2 study to assess changes in a novel histological activity scale in response to ARO-AAT over time in patients with alpha-1 antitrypsin deficiency associated liver disease.</w:t>
      </w:r>
    </w:p>
    <w:p>
      <w:pPr>
        <w:spacing w:after="0" w:line="53" w:lineRule="exact"/>
        <w:rPr>
          <w:rFonts w:ascii="Arial" w:cs="Arial" w:eastAsia="Arial" w:hAnsi="Arial"/>
          <w:sz w:val="16"/>
          <w:szCs w:val="16"/>
          <w:color w:val="0071CE"/>
        </w:rPr>
      </w:pPr>
    </w:p>
    <w:p>
      <w:pPr>
        <w:ind w:left="440" w:hanging="216"/>
        <w:spacing w:after="0" w:line="261" w:lineRule="auto"/>
        <w:tabs>
          <w:tab w:leader="none" w:pos="44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2020: Presented new clinical data showing ARO-AAT strongly reduced the production of mutant Z-AAT protein and led to improvements in multiple biomarkers of alpha-1 liver disease; Signed an agreement with Takeda to co-develop and co-commercialize ARO-AAT earning a $300 million up-front payment and $740 million in potential milestone payments, as well as a 50/50 profit sharing agreement in the United States, and 20-25% royalties on sales outside of the United States.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b w:val="1"/>
          <w:bCs w:val="1"/>
          <w:color w:val="auto"/>
        </w:rPr>
        <w:t xml:space="preserve">JNJ-3989 (formerly ARO-HBV) </w:t>
      </w:r>
      <w:r>
        <w:rPr>
          <w:rFonts w:ascii="Arial" w:cs="Arial" w:eastAsia="Arial" w:hAnsi="Arial"/>
          <w:sz w:val="16"/>
          <w:szCs w:val="16"/>
          <w:color w:val="auto"/>
        </w:rPr>
        <w:t>is an RNAi therapeutic candidate for the treatment of chronic hepatitis B infection with the goal of achieving a functional</w:t>
      </w:r>
      <w:r>
        <w:rPr>
          <w:rFonts w:ascii="Arial" w:cs="Arial" w:eastAsia="Arial" w:hAnsi="Arial"/>
          <w:sz w:val="16"/>
          <w:szCs w:val="16"/>
          <w:b w:val="1"/>
          <w:bCs w:val="1"/>
          <w:color w:val="auto"/>
        </w:rPr>
        <w:t xml:space="preserve"> </w:t>
      </w:r>
      <w:r>
        <w:rPr>
          <w:rFonts w:ascii="Arial" w:cs="Arial" w:eastAsia="Arial" w:hAnsi="Arial"/>
          <w:sz w:val="16"/>
          <w:szCs w:val="16"/>
          <w:color w:val="auto"/>
        </w:rPr>
        <w:t>cure. JNJ-3989 (ARO-HBV) is a next-generation subcutaneously administered compound that follows previous generation HBV compounds ARC-520 and ARC-521.</w:t>
      </w:r>
    </w:p>
    <w:p>
      <w:pPr>
        <w:spacing w:after="0" w:line="70" w:lineRule="exact"/>
        <w:rPr>
          <w:sz w:val="20"/>
          <w:szCs w:val="20"/>
          <w:color w:val="auto"/>
        </w:rPr>
      </w:pPr>
    </w:p>
    <w:p>
      <w:pPr>
        <w:ind w:left="440" w:hanging="216"/>
        <w:spacing w:after="0"/>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2017: JNJ-3989 (ARO-HBV) nominated; CTA filed.</w:t>
      </w:r>
    </w:p>
    <w:p>
      <w:pPr>
        <w:spacing w:after="0" w:line="123" w:lineRule="exact"/>
        <w:rPr>
          <w:rFonts w:ascii="Arial" w:cs="Arial" w:eastAsia="Arial" w:hAnsi="Arial"/>
          <w:sz w:val="16"/>
          <w:szCs w:val="16"/>
          <w:color w:val="0071CE"/>
        </w:rPr>
      </w:pPr>
    </w:p>
    <w:p>
      <w:pPr>
        <w:ind w:left="440" w:right="920" w:hanging="216"/>
        <w:spacing w:after="0" w:line="199" w:lineRule="auto"/>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2018: Clinical trial commenced. Clinical data presented at the World Gastroenterologists Summit and at the AASLD Liver Meeting</w:t>
      </w:r>
      <w:r>
        <w:rPr>
          <w:rFonts w:ascii="Arial" w:cs="Arial" w:eastAsia="Arial" w:hAnsi="Arial"/>
          <w:sz w:val="27"/>
          <w:szCs w:val="27"/>
          <w:color w:val="auto"/>
          <w:vertAlign w:val="superscript"/>
        </w:rPr>
        <w:t>®</w:t>
      </w:r>
      <w:r>
        <w:rPr>
          <w:rFonts w:ascii="Arial" w:cs="Arial" w:eastAsia="Arial" w:hAnsi="Arial"/>
          <w:sz w:val="16"/>
          <w:szCs w:val="16"/>
          <w:color w:val="auto"/>
        </w:rPr>
        <w:t xml:space="preserve"> 2018 demonstrating:</w:t>
      </w:r>
    </w:p>
    <w:p>
      <w:pPr>
        <w:spacing w:after="0" w:line="92" w:lineRule="exact"/>
        <w:rPr>
          <w:rFonts w:ascii="Arial" w:cs="Arial" w:eastAsia="Arial" w:hAnsi="Arial"/>
          <w:sz w:val="16"/>
          <w:szCs w:val="16"/>
          <w:color w:val="0071CE"/>
        </w:rPr>
      </w:pPr>
    </w:p>
    <w:p>
      <w:pPr>
        <w:ind w:left="660" w:hanging="220"/>
        <w:spacing w:after="0"/>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Mean HBsAg reduction of -1.9 Log10 (-98.7%) with a range of -1.3 Log10 (-95.0%) to -3.8 Log10 (-99.98%).</w:t>
      </w:r>
    </w:p>
    <w:p>
      <w:pPr>
        <w:spacing w:after="0" w:line="126" w:lineRule="exact"/>
        <w:rPr>
          <w:rFonts w:ascii="Arial" w:cs="Arial" w:eastAsia="Arial" w:hAnsi="Arial"/>
          <w:sz w:val="16"/>
          <w:szCs w:val="16"/>
          <w:color w:val="0071CE"/>
        </w:rPr>
      </w:pPr>
    </w:p>
    <w:p>
      <w:pPr>
        <w:ind w:left="660" w:hanging="220"/>
        <w:spacing w:after="0"/>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JNJ-3989 (ARO-HBV) appeared to be well-tolerated at monthly doses up to 400 mg.</w:t>
      </w:r>
    </w:p>
    <w:p>
      <w:pPr>
        <w:spacing w:after="0" w:line="126" w:lineRule="exact"/>
        <w:rPr>
          <w:rFonts w:ascii="Arial" w:cs="Arial" w:eastAsia="Arial" w:hAnsi="Arial"/>
          <w:sz w:val="16"/>
          <w:szCs w:val="16"/>
          <w:color w:val="0071CE"/>
        </w:rPr>
      </w:pPr>
    </w:p>
    <w:p>
      <w:pPr>
        <w:ind w:left="440" w:right="140" w:hanging="216"/>
        <w:spacing w:after="0" w:line="211" w:lineRule="auto"/>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2018: Signed a license agreement with Janssen Pharmaceuticals, Inc., part of the Janssen Pharmaceuticals Companies of Johnson &amp; Johnson, for JNJ-3989 (ARO-HBV) and a collaboration agreement for up to three RNAi therapeutic candidates that use our proprietary TRiM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platform against new targets to be selected by Janssen.</w:t>
      </w:r>
    </w:p>
    <w:p>
      <w:pPr>
        <w:spacing w:after="0" w:line="92" w:lineRule="exact"/>
        <w:rPr>
          <w:rFonts w:ascii="Arial" w:cs="Arial" w:eastAsia="Arial" w:hAnsi="Arial"/>
          <w:sz w:val="16"/>
          <w:szCs w:val="16"/>
          <w:color w:val="0071CE"/>
        </w:rPr>
      </w:pPr>
    </w:p>
    <w:p>
      <w:pPr>
        <w:ind w:left="660" w:hanging="220"/>
        <w:spacing w:after="0"/>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The total potential deal value is approximately $3.7 billion plus royalties on commercial sales.</w:t>
      </w:r>
    </w:p>
    <w:p>
      <w:pPr>
        <w:spacing w:after="0" w:line="126" w:lineRule="exact"/>
        <w:rPr>
          <w:rFonts w:ascii="Arial" w:cs="Arial" w:eastAsia="Arial" w:hAnsi="Arial"/>
          <w:sz w:val="16"/>
          <w:szCs w:val="16"/>
          <w:color w:val="0071CE"/>
        </w:rPr>
      </w:pPr>
    </w:p>
    <w:p>
      <w:pPr>
        <w:ind w:left="660" w:right="220" w:hanging="220"/>
        <w:spacing w:after="0" w:line="291" w:lineRule="auto"/>
        <w:tabs>
          <w:tab w:leader="none" w:pos="660" w:val="left"/>
        </w:tabs>
        <w:numPr>
          <w:ilvl w:val="1"/>
          <w:numId w:val="36"/>
        </w:numPr>
        <w:rPr>
          <w:rFonts w:ascii="Arial" w:cs="Arial" w:eastAsia="Arial" w:hAnsi="Arial"/>
          <w:sz w:val="16"/>
          <w:szCs w:val="16"/>
          <w:color w:val="0071CE"/>
        </w:rPr>
      </w:pPr>
      <w:r>
        <w:rPr>
          <w:rFonts w:ascii="Arial" w:cs="Arial" w:eastAsia="Arial" w:hAnsi="Arial"/>
          <w:sz w:val="16"/>
          <w:szCs w:val="16"/>
          <w:color w:val="auto"/>
        </w:rPr>
        <w:t>Received $175 million as an upfront payment and received $75 million in the form of an equity investment by Johnson &amp; Johnson Innovation — JJDC, Inc., at a premium price of $23.00 per share of Arrowhead common stock.</w:t>
      </w:r>
    </w:p>
    <w:p>
      <w:pPr>
        <w:spacing w:after="0" w:line="53" w:lineRule="exact"/>
        <w:rPr>
          <w:rFonts w:ascii="Arial" w:cs="Arial" w:eastAsia="Arial" w:hAnsi="Arial"/>
          <w:sz w:val="16"/>
          <w:szCs w:val="16"/>
          <w:color w:val="0071CE"/>
        </w:rPr>
      </w:pPr>
    </w:p>
    <w:p>
      <w:pPr>
        <w:ind w:left="440" w:right="300" w:hanging="216"/>
        <w:spacing w:after="0" w:line="269" w:lineRule="auto"/>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2019: Arrowhead initiated dosing in the triple combination cohort (cohort 12) in the Company’s ongoing Phase 1/2 study of JNJ-3989 (ARO-HBV) earning a $25 million milestone payment. The Company earned an additional $25 million milestone payment following the initiation of dosing in Janssen’s phase 2b study of JNJ-3989 (ARO-HBV).</w:t>
      </w:r>
    </w:p>
    <w:p>
      <w:pPr>
        <w:spacing w:after="0" w:line="69" w:lineRule="exact"/>
        <w:rPr>
          <w:rFonts w:ascii="Arial" w:cs="Arial" w:eastAsia="Arial" w:hAnsi="Arial"/>
          <w:sz w:val="16"/>
          <w:szCs w:val="16"/>
          <w:color w:val="0071CE"/>
        </w:rPr>
      </w:pPr>
    </w:p>
    <w:p>
      <w:pPr>
        <w:ind w:left="440" w:right="20" w:hanging="216"/>
        <w:spacing w:after="0" w:line="291" w:lineRule="auto"/>
        <w:tabs>
          <w:tab w:leader="none" w:pos="4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2019: Janssen selected one of its three potential targets under the 2018 collaboration agreement and the Company is developing a drug, ARO-JNJ1, under the collaboration.</w:t>
      </w:r>
    </w:p>
    <w:p>
      <w:pPr>
        <w:spacing w:after="0" w:line="146" w:lineRule="exact"/>
        <w:rPr>
          <w:sz w:val="20"/>
          <w:szCs w:val="20"/>
          <w:color w:val="auto"/>
        </w:rPr>
      </w:pPr>
    </w:p>
    <w:p>
      <w:pPr>
        <w:ind w:left="120" w:right="120"/>
        <w:spacing w:after="0" w:line="294" w:lineRule="auto"/>
        <w:rPr>
          <w:sz w:val="20"/>
          <w:szCs w:val="20"/>
          <w:color w:val="auto"/>
        </w:rPr>
      </w:pPr>
      <w:r>
        <w:rPr>
          <w:rFonts w:ascii="Arial" w:cs="Arial" w:eastAsia="Arial" w:hAnsi="Arial"/>
          <w:sz w:val="16"/>
          <w:szCs w:val="16"/>
          <w:b w:val="1"/>
          <w:bCs w:val="1"/>
          <w:color w:val="auto"/>
        </w:rPr>
        <w:t xml:space="preserve">Olpasiran (formerly AMG 890 and ARO-LPA) </w:t>
      </w:r>
      <w:r>
        <w:rPr>
          <w:rFonts w:ascii="Arial" w:cs="Arial" w:eastAsia="Arial" w:hAnsi="Arial"/>
          <w:sz w:val="16"/>
          <w:szCs w:val="16"/>
          <w:color w:val="auto"/>
        </w:rPr>
        <w:t>is designed to reduce production of apolipoprotein A, a key component of lipoprotein(a), which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genetically linked with increased risk of cardiovascular diseases, independent of cholesterol and LDL levels.</w:t>
      </w:r>
    </w:p>
    <w:p>
      <w:pPr>
        <w:spacing w:after="0" w:line="49" w:lineRule="exact"/>
        <w:rPr>
          <w:sz w:val="20"/>
          <w:szCs w:val="20"/>
          <w:color w:val="auto"/>
        </w:rPr>
      </w:pPr>
    </w:p>
    <w:p>
      <w:pPr>
        <w:ind w:left="440" w:hanging="216"/>
        <w:spacing w:after="0"/>
        <w:tabs>
          <w:tab w:leader="none" w:pos="44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2016: Amgen, Inc. (“</w:t>
      </w:r>
      <w:r>
        <w:rPr>
          <w:rFonts w:ascii="Arial" w:cs="Arial" w:eastAsia="Arial" w:hAnsi="Arial"/>
          <w:sz w:val="16"/>
          <w:szCs w:val="16"/>
          <w:b w:val="1"/>
          <w:bCs w:val="1"/>
          <w:color w:val="auto"/>
        </w:rPr>
        <w:t>Amgen</w:t>
      </w:r>
      <w:r>
        <w:rPr>
          <w:rFonts w:ascii="Arial" w:cs="Arial" w:eastAsia="Arial" w:hAnsi="Arial"/>
          <w:sz w:val="16"/>
          <w:szCs w:val="16"/>
          <w:color w:val="auto"/>
        </w:rPr>
        <w:t>”) acquired a worldwide, exclusive license to develop and commercialize AMG 890 (ARO-LPA).</w:t>
      </w:r>
    </w:p>
    <w:p>
      <w:pPr>
        <w:spacing w:after="0" w:line="128" w:lineRule="exact"/>
        <w:rPr>
          <w:rFonts w:ascii="Arial" w:cs="Arial" w:eastAsia="Arial" w:hAnsi="Arial"/>
          <w:sz w:val="16"/>
          <w:szCs w:val="16"/>
          <w:color w:val="0071CE"/>
        </w:rPr>
      </w:pPr>
    </w:p>
    <w:p>
      <w:pPr>
        <w:ind w:left="440" w:right="480" w:hanging="216"/>
        <w:spacing w:after="0" w:line="291" w:lineRule="auto"/>
        <w:tabs>
          <w:tab w:leader="none" w:pos="44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2018: Amgen administered the first dose of olpasiran (AMG 890 / ARO-LPA) in a Phase 1 clinical study, which earned Arrowhead a $10 million milestone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62230</wp:posOffset>
            </wp:positionV>
            <wp:extent cx="98615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440" w:right="500" w:hanging="216"/>
        <w:spacing w:after="0" w:line="291" w:lineRule="auto"/>
        <w:tabs>
          <w:tab w:leader="none" w:pos="44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2020: Amgen administered the first dose of olpasiran (AMG 890 / ARO-LPA) in a Phase 2 clinical study, which earned Arrowhead a $20 million milestone payment.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Candidates in Development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ARO-Lung2 </w:t>
      </w:r>
      <w:r>
        <w:rPr>
          <w:rFonts w:ascii="Arial" w:cs="Arial" w:eastAsia="Arial" w:hAnsi="Arial"/>
          <w:sz w:val="16"/>
          <w:szCs w:val="16"/>
          <w:color w:val="auto"/>
        </w:rPr>
        <w:t>is being developed against an undisclosed target as a potential treatment for chronic obstructive pulmonary disorder (COPD).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ARO-COV </w:t>
      </w:r>
      <w:r>
        <w:rPr>
          <w:rFonts w:ascii="Arial" w:cs="Arial" w:eastAsia="Arial" w:hAnsi="Arial"/>
          <w:sz w:val="16"/>
          <w:szCs w:val="16"/>
          <w:color w:val="auto"/>
        </w:rPr>
        <w:t>is being developed to address the current novel coronavirus that causes COVID-19 and other possible future pulmonary-borne pathogens.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4" w:lineRule="exact"/>
        <w:rPr>
          <w:sz w:val="20"/>
          <w:szCs w:val="20"/>
          <w:color w:val="auto"/>
        </w:rPr>
      </w:pPr>
    </w:p>
    <w:p>
      <w:pPr>
        <w:ind w:left="440" w:hanging="216"/>
        <w:spacing w:after="0"/>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$88.0 million, compared to revenues of $168.8 million in fiscal 2019 and $16.1 million in fiscal 2018;</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 Recorded net loss of $84.6 million, compared to net income of $68.0 million in fiscal 2019 and net loss of $54.5 million in fiscal 2018;</w:t>
      </w:r>
    </w:p>
    <w:p>
      <w:pPr>
        <w:spacing w:after="0" w:line="126" w:lineRule="exact"/>
        <w:rPr>
          <w:rFonts w:ascii="Arial" w:cs="Arial" w:eastAsia="Arial" w:hAnsi="Arial"/>
          <w:sz w:val="16"/>
          <w:szCs w:val="16"/>
          <w:color w:val="0071CE"/>
        </w:rPr>
      </w:pPr>
    </w:p>
    <w:p>
      <w:pPr>
        <w:ind w:left="440" w:right="280" w:hanging="216"/>
        <w:spacing w:after="0" w:line="291" w:lineRule="auto"/>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Per Share </w:t>
      </w:r>
      <w:r>
        <w:rPr>
          <w:rFonts w:ascii="Arial" w:cs="Arial" w:eastAsia="Arial" w:hAnsi="Arial"/>
          <w:sz w:val="16"/>
          <w:szCs w:val="16"/>
          <w:color w:val="auto"/>
        </w:rPr>
        <w:t>— Recorded net loss per share (diluted) of $0.84, compared to net income per share (diluted) of $0.69 in fiscal 2019 and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per share (diluted) of $0.65 in fiscal 2018;</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Cash at end of fiscal 2020 </w:t>
      </w:r>
      <w:r>
        <w:rPr>
          <w:rFonts w:ascii="Arial" w:cs="Arial" w:eastAsia="Arial" w:hAnsi="Arial"/>
          <w:sz w:val="16"/>
          <w:szCs w:val="16"/>
          <w:color w:val="auto"/>
        </w:rPr>
        <w:t>— Cash and investments of cash totaled $453 million at September 30, 2020;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39"/>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53% in fiscal 2020.</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110"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Based on our overall operating environment and these results, the Compensation Committee took the following key actions and maintained key policies with respect to the compensation of our NEOs for 2020:</w:t>
      </w:r>
    </w:p>
    <w:p>
      <w:pPr>
        <w:spacing w:after="0" w:line="53" w:lineRule="exact"/>
        <w:rPr>
          <w:sz w:val="20"/>
          <w:szCs w:val="20"/>
          <w:color w:val="auto"/>
        </w:rPr>
      </w:pPr>
    </w:p>
    <w:p>
      <w:pPr>
        <w:ind w:left="440" w:hanging="216"/>
        <w:spacing w:after="0"/>
        <w:tabs>
          <w:tab w:leader="none" w:pos="440" w:val="left"/>
        </w:tabs>
        <w:numPr>
          <w:ilvl w:val="0"/>
          <w:numId w:val="40"/>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 Approved base salary increases of up to 30% for our current NEOs.</w:t>
      </w:r>
    </w:p>
    <w:p>
      <w:pPr>
        <w:spacing w:after="0" w:line="126" w:lineRule="exact"/>
        <w:rPr>
          <w:rFonts w:ascii="Arial" w:cs="Arial" w:eastAsia="Arial" w:hAnsi="Arial"/>
          <w:sz w:val="16"/>
          <w:szCs w:val="16"/>
          <w:color w:val="0071CE"/>
        </w:rPr>
      </w:pPr>
    </w:p>
    <w:p>
      <w:pPr>
        <w:ind w:left="440" w:right="420" w:hanging="216"/>
        <w:spacing w:after="0" w:line="291" w:lineRule="auto"/>
        <w:tabs>
          <w:tab w:leader="none" w:pos="440" w:val="left"/>
        </w:tabs>
        <w:numPr>
          <w:ilvl w:val="0"/>
          <w:numId w:val="40"/>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Approved annual cash bonuses for 2020 of 100% of target annual incentive compensation opportunities,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 annual cash bonus for our CEO in the amount of $820,000, equal to 100% of his target annual incentive compensation opportunity.</w:t>
      </w:r>
    </w:p>
    <w:p>
      <w:pPr>
        <w:spacing w:after="0" w:line="53" w:lineRule="exact"/>
        <w:rPr>
          <w:rFonts w:ascii="Arial" w:cs="Arial" w:eastAsia="Arial" w:hAnsi="Arial"/>
          <w:sz w:val="16"/>
          <w:szCs w:val="16"/>
          <w:color w:val="0071CE"/>
        </w:rPr>
      </w:pPr>
    </w:p>
    <w:p>
      <w:pPr>
        <w:ind w:left="440" w:right="60" w:hanging="216"/>
        <w:spacing w:after="0" w:line="255" w:lineRule="auto"/>
        <w:tabs>
          <w:tab w:leader="none" w:pos="440" w:val="left"/>
        </w:tabs>
        <w:numPr>
          <w:ilvl w:val="0"/>
          <w:numId w:val="40"/>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Granted our CEO a long-term incentive compensation opportunity in the form of a performance-based restricted stock unit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PRSU</w:t>
      </w:r>
      <w:r>
        <w:rPr>
          <w:rFonts w:ascii="Arial" w:cs="Arial" w:eastAsia="Arial" w:hAnsi="Arial"/>
          <w:sz w:val="16"/>
          <w:szCs w:val="16"/>
          <w:color w:val="auto"/>
        </w:rPr>
        <w:t>”) award. This CEO PRSU award will vest upon the achievement of nine equally weighted, pre-established and rigorous performance milestones, each with a grant date value of $6.3 million. The Compensation Committee also granted our other NEOs long-term incentive compensation opportunities in the form of time-based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awards that may be settled for shares of our common stock with grant date values ranging from $5.4 to $15.9 million. A minimum three-year vesting is required for time-based equity awards granted to our other executive officers.</w:t>
      </w:r>
    </w:p>
    <w:p>
      <w:pPr>
        <w:spacing w:after="0" w:line="82" w:lineRule="exact"/>
        <w:rPr>
          <w:rFonts w:ascii="Arial" w:cs="Arial" w:eastAsia="Arial" w:hAnsi="Arial"/>
          <w:sz w:val="16"/>
          <w:szCs w:val="16"/>
          <w:color w:val="0071CE"/>
        </w:rPr>
      </w:pPr>
    </w:p>
    <w:p>
      <w:pPr>
        <w:ind w:left="440" w:right="220" w:hanging="216"/>
        <w:spacing w:after="0" w:line="269" w:lineRule="auto"/>
        <w:tabs>
          <w:tab w:leader="none" w:pos="440" w:val="left"/>
        </w:tabs>
        <w:numPr>
          <w:ilvl w:val="0"/>
          <w:numId w:val="40"/>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Maintained a clawback policy allowing the Company to recover compensation from any executive officer should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determine that a material misstatement of the Company’s financial statements was due to fraud, negligence, or intentional misconduct by any executive officer of the Company.</w:t>
      </w:r>
    </w:p>
    <w:p>
      <w:pPr>
        <w:spacing w:after="0" w:line="69" w:lineRule="exact"/>
        <w:rPr>
          <w:rFonts w:ascii="Arial" w:cs="Arial" w:eastAsia="Arial" w:hAnsi="Arial"/>
          <w:sz w:val="16"/>
          <w:szCs w:val="16"/>
          <w:color w:val="0071CE"/>
        </w:rPr>
      </w:pPr>
    </w:p>
    <w:p>
      <w:pPr>
        <w:ind w:left="440" w:right="120" w:hanging="216"/>
        <w:spacing w:after="0" w:line="291" w:lineRule="auto"/>
        <w:tabs>
          <w:tab w:leader="none" w:pos="440" w:val="left"/>
        </w:tabs>
        <w:numPr>
          <w:ilvl w:val="0"/>
          <w:numId w:val="40"/>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Ownership Guidelines </w:t>
      </w:r>
      <w:r>
        <w:rPr>
          <w:rFonts w:ascii="Arial" w:cs="Arial" w:eastAsia="Arial" w:hAnsi="Arial"/>
          <w:sz w:val="16"/>
          <w:szCs w:val="16"/>
          <w:color w:val="auto"/>
        </w:rPr>
        <w:t>— Maintained the achievement of stock ownership guidelines of six times his annual base salary for our CEO and twice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base salary for our CFO.</w:t>
      </w:r>
    </w:p>
    <w:p>
      <w:pPr>
        <w:spacing w:after="0" w:line="53" w:lineRule="exact"/>
        <w:rPr>
          <w:rFonts w:ascii="Arial" w:cs="Arial" w:eastAsia="Arial" w:hAnsi="Arial"/>
          <w:sz w:val="16"/>
          <w:szCs w:val="16"/>
          <w:color w:val="0071CE"/>
        </w:rPr>
      </w:pPr>
    </w:p>
    <w:p>
      <w:pPr>
        <w:jc w:val="both"/>
        <w:ind w:left="440" w:right="280" w:hanging="216"/>
        <w:spacing w:after="0" w:line="269" w:lineRule="auto"/>
        <w:tabs>
          <w:tab w:leader="none" w:pos="440" w:val="left"/>
        </w:tabs>
        <w:numPr>
          <w:ilvl w:val="0"/>
          <w:numId w:val="40"/>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73025</wp:posOffset>
            </wp:positionV>
            <wp:extent cx="98615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Advisory Vote to Approve Named Executive Officer Compensation</w:t>
      </w:r>
    </w:p>
    <w:p>
      <w:pPr>
        <w:spacing w:after="0" w:line="106"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At our 2020 Annual Meeting of Stockholders in March 2020, we conducted a non-binding stockholder advisory vote to approve the compensation of our NEOs (commonly known as a “Say-on-Pay” vote). Our stockholders approved the Say-on-Pay proposal with approximately 98% of the votes cast in favor of the proposal. Based on the vote and feedback from our stockholders, we attribute the high approval percentage primarily to the following factors:</w:t>
      </w:r>
    </w:p>
    <w:p>
      <w:pPr>
        <w:spacing w:after="0" w:line="70" w:lineRule="exact"/>
        <w:rPr>
          <w:sz w:val="20"/>
          <w:szCs w:val="20"/>
          <w:color w:val="auto"/>
        </w:rPr>
      </w:pPr>
    </w:p>
    <w:p>
      <w:pPr>
        <w:ind w:left="440" w:right="340" w:hanging="216"/>
        <w:spacing w:after="0" w:line="291" w:lineRule="auto"/>
        <w:tabs>
          <w:tab w:leader="none" w:pos="4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Continued practice of awarding 100% performance-based equity awards for our CEO which is preferred by stockholders and unusual in our peer group;</w:t>
      </w:r>
    </w:p>
    <w:p>
      <w:pPr>
        <w:spacing w:after="0" w:line="53" w:lineRule="exact"/>
        <w:rPr>
          <w:rFonts w:ascii="Arial" w:cs="Arial" w:eastAsia="Arial" w:hAnsi="Arial"/>
          <w:sz w:val="16"/>
          <w:szCs w:val="16"/>
          <w:color w:val="0071CE"/>
        </w:rPr>
      </w:pPr>
    </w:p>
    <w:p>
      <w:pPr>
        <w:ind w:left="440" w:right="40" w:hanging="216"/>
        <w:spacing w:after="0" w:line="291" w:lineRule="auto"/>
        <w:tabs>
          <w:tab w:leader="none" w:pos="4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Adjustments in our compensation practices including adoption of minimum vesting requirements; compensation recovery (“clawback”) policy, double-trigger acceleration of equity awards for our CEO; and stock ownership guidelines for our CEO and CFO;</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Achievement of aggressive corporate goals in 2019 and 2020;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Substantial increases in market capitalization and TSR from 2018 through 2020.</w:t>
      </w:r>
    </w:p>
    <w:p>
      <w:pPr>
        <w:spacing w:after="0" w:line="221" w:lineRule="exact"/>
        <w:rPr>
          <w:sz w:val="20"/>
          <w:szCs w:val="20"/>
          <w:color w:val="auto"/>
        </w:rPr>
      </w:pPr>
    </w:p>
    <w:p>
      <w:pPr>
        <w:ind w:left="120" w:right="120"/>
        <w:spacing w:after="0" w:line="261" w:lineRule="auto"/>
        <w:rPr>
          <w:sz w:val="20"/>
          <w:szCs w:val="20"/>
          <w:color w:val="auto"/>
        </w:rPr>
      </w:pPr>
      <w:r>
        <w:rPr>
          <w:rFonts w:ascii="Arial" w:cs="Arial" w:eastAsia="Arial" w:hAnsi="Arial"/>
          <w:sz w:val="16"/>
          <w:szCs w:val="16"/>
          <w:color w:val="auto"/>
        </w:rPr>
        <w:t>Since 2018, we have continued our stockholder engagement program, reaching out to our top 20 institutional stockholders beneficially owning over 50% of our outstanding common stock to solicit their views and concerns and reviewed the feedback and policies of ISS. Based on this review, as well as our commitment to good corporate governance, the Compensation Committee continued the above mentioned practices for the executive compensation review in 2020.</w:t>
      </w:r>
    </w:p>
    <w:p>
      <w:pPr>
        <w:spacing w:after="0" w:line="172"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At our 2019 annual meeting, we asked our stockholders to recommend the frequency of future stockholder advisory votes on the compensation of the Company’s NEOs. Stockholders recommended an annual non-binding vote, and we are following that recommendation.</w:t>
      </w:r>
    </w:p>
    <w:p>
      <w:pPr>
        <w:spacing w:after="0" w:line="148"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Additionally, at our 2020 annual meeting, in response to feedback from other stockholders we recommended and stockholders adopted changes to the Company’s by-laws to adhere to a majority vote standard for director elections.</w:t>
      </w:r>
    </w:p>
    <w:p>
      <w:pPr>
        <w:spacing w:after="0" w:line="148" w:lineRule="exact"/>
        <w:rPr>
          <w:sz w:val="20"/>
          <w:szCs w:val="20"/>
          <w:color w:val="auto"/>
        </w:rPr>
      </w:pPr>
    </w:p>
    <w:p>
      <w:pPr>
        <w:jc w:val="both"/>
        <w:ind w:left="120" w:right="40"/>
        <w:spacing w:after="0" w:line="269"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Pay-for-Performance Analysis</w:t>
      </w:r>
    </w:p>
    <w:p>
      <w:pPr>
        <w:spacing w:after="0" w:line="106" w:lineRule="exact"/>
        <w:rPr>
          <w:sz w:val="20"/>
          <w:szCs w:val="20"/>
          <w:color w:val="auto"/>
        </w:rPr>
      </w:pPr>
    </w:p>
    <w:p>
      <w:pPr>
        <w:jc w:val="both"/>
        <w:ind w:left="120"/>
        <w:spacing w:after="0" w:line="261"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ensure this alignment and to motivate and reward individual initiative and effort, a significant portion of our executive officers’ target annual total direct compensation opportunity is both performance-based and “at-risk.”</w:t>
      </w:r>
    </w:p>
    <w:p>
      <w:pPr>
        <w:spacing w:after="0" w:line="172" w:lineRule="exact"/>
        <w:rPr>
          <w:sz w:val="20"/>
          <w:szCs w:val="20"/>
          <w:color w:val="auto"/>
        </w:rPr>
      </w:pPr>
    </w:p>
    <w:p>
      <w:pPr>
        <w:ind w:left="120" w:right="840"/>
        <w:spacing w:after="0" w:line="291"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NEOs, through two separate compensation elements:</w:t>
      </w:r>
    </w:p>
    <w:p>
      <w:pPr>
        <w:spacing w:after="0" w:line="53" w:lineRule="exact"/>
        <w:rPr>
          <w:sz w:val="20"/>
          <w:szCs w:val="20"/>
          <w:color w:val="auto"/>
        </w:rPr>
      </w:pPr>
    </w:p>
    <w:p>
      <w:pPr>
        <w:ind w:left="440" w:right="200" w:hanging="216"/>
        <w:spacing w:after="0" w:line="291" w:lineRule="auto"/>
        <w:tabs>
          <w:tab w:leader="none" w:pos="44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they produce short-term financial, operational, and strategic results that meet or exceed the objectives set forth each year in our annual operating plan.</w:t>
      </w:r>
    </w:p>
    <w:p>
      <w:pPr>
        <w:spacing w:after="0" w:line="53" w:lineRule="exact"/>
        <w:rPr>
          <w:rFonts w:ascii="Arial" w:cs="Arial" w:eastAsia="Arial" w:hAnsi="Arial"/>
          <w:sz w:val="16"/>
          <w:szCs w:val="16"/>
          <w:color w:val="0071CE"/>
        </w:rPr>
      </w:pPr>
    </w:p>
    <w:p>
      <w:pPr>
        <w:ind w:left="440" w:right="160" w:hanging="216"/>
        <w:spacing w:after="0" w:line="261" w:lineRule="auto"/>
        <w:tabs>
          <w:tab w:leader="none" w:pos="44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For our CEO in fiscal 2020, these awards are to be earned based entirely on the achievement of pre-established corporate performance objectives which are both challenging and designed to drive our financial and operational performance and long-term growth, and, in the case of our other executive officers, are either dependent on the future appreciation in value of our common stock or are subject to the risk of fluctuations in the value of our common stock and, therefore, are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77470</wp:posOffset>
            </wp:positionV>
            <wp:extent cx="98615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pay mix for our CEO for each of the last three fiscal years illustrates the ongoing emphasis on our performance-based compensation philosophy</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170180</wp:posOffset>
            </wp:positionV>
            <wp:extent cx="5734685" cy="18776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3468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partner with strategic collaborators to bring them to market. Consequently, the Compensation Committee strives to incent our executive officers to create that value through a robust and attractive pipeline of drug candidates. As a result, our executive compensation program is designed to provide incentives that facilitate these efforts. Particularly for our CEO, the Compensation Committee has awarded performance milestone-based equity awards directly linked to goals that promote the development of our pipeline and other related business and market-based objectives. The Compensation Committee closely tracks the progress against these objectives to monitor our success over each product’s development period and evaluates our executive officers primarily on that progress.</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73025</wp:posOffset>
            </wp:positionV>
            <wp:extent cx="98615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06"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05"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FFFFFF"/>
        </w:rPr>
        <w:t>WHAT WE DO</w:t>
      </w:r>
    </w:p>
    <w:p>
      <w:pPr>
        <w:spacing w:after="0" w:line="110" w:lineRule="exact"/>
        <w:rPr>
          <w:sz w:val="20"/>
          <w:szCs w:val="20"/>
          <w:color w:val="auto"/>
        </w:rPr>
      </w:pPr>
    </w:p>
    <w:p>
      <w:pPr>
        <w:ind w:left="420" w:right="540" w:hanging="228"/>
        <w:spacing w:after="0" w:line="291"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Maintain an Independent Compensation Committee. </w:t>
      </w:r>
      <w:r>
        <w:rPr>
          <w:rFonts w:ascii="Arial" w:cs="Arial" w:eastAsia="Arial" w:hAnsi="Arial"/>
          <w:sz w:val="15"/>
          <w:szCs w:val="15"/>
          <w:color w:val="000000"/>
        </w:rPr>
        <w:t>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Committee consists solely of independent directors.</w:t>
      </w:r>
    </w:p>
    <w:p>
      <w:pPr>
        <w:spacing w:after="0" w:line="54" w:lineRule="exact"/>
        <w:rPr>
          <w:rFonts w:ascii="MS PGothic" w:cs="MS PGothic" w:eastAsia="MS PGothic" w:hAnsi="MS PGothic"/>
          <w:sz w:val="15"/>
          <w:szCs w:val="15"/>
          <w:color w:val="0071CE"/>
        </w:rPr>
      </w:pPr>
    </w:p>
    <w:p>
      <w:pPr>
        <w:ind w:left="420" w:right="120" w:hanging="228"/>
        <w:spacing w:after="0" w:line="241"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Retain an Independent Compensation Advisor. </w:t>
      </w:r>
      <w:r>
        <w:rPr>
          <w:rFonts w:ascii="Arial" w:cs="Arial" w:eastAsia="Arial" w:hAnsi="Arial"/>
          <w:sz w:val="15"/>
          <w:szCs w:val="15"/>
          <w:color w:val="000000"/>
        </w:rPr>
        <w:t>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engaged its own compensation advisor to provide information and analysis with its 2020 compensation review, and other advice on executive compensation independent of management. This consultant performed no consulting or other services for us in 2020.</w:t>
      </w:r>
    </w:p>
    <w:p>
      <w:pPr>
        <w:spacing w:after="0" w:line="92" w:lineRule="exact"/>
        <w:rPr>
          <w:rFonts w:ascii="MS PGothic" w:cs="MS PGothic" w:eastAsia="MS PGothic" w:hAnsi="MS PGothic"/>
          <w:sz w:val="15"/>
          <w:szCs w:val="15"/>
          <w:color w:val="0071CE"/>
        </w:rPr>
      </w:pPr>
    </w:p>
    <w:p>
      <w:pPr>
        <w:ind w:left="420" w:right="60" w:hanging="228"/>
        <w:spacing w:after="0"/>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Annual Executive Compensation Review. </w:t>
      </w:r>
      <w:r>
        <w:rPr>
          <w:rFonts w:ascii="Arial" w:cs="Arial" w:eastAsia="Arial" w:hAnsi="Arial"/>
          <w:sz w:val="15"/>
          <w:szCs w:val="15"/>
          <w:color w:val="000000"/>
        </w:rPr>
        <w:t>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237" w:lineRule="exact"/>
        <w:rPr>
          <w:rFonts w:ascii="MS PGothic" w:cs="MS PGothic" w:eastAsia="MS PGothic" w:hAnsi="MS PGothic"/>
          <w:sz w:val="15"/>
          <w:szCs w:val="15"/>
          <w:color w:val="0071CE"/>
        </w:rPr>
      </w:pPr>
    </w:p>
    <w:p>
      <w:pPr>
        <w:ind w:left="420" w:right="40" w:hanging="228"/>
        <w:spacing w:after="0" w:line="247"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Compensation At-Risk. </w:t>
      </w:r>
      <w:r>
        <w:rPr>
          <w:rFonts w:ascii="Arial" w:cs="Arial" w:eastAsia="Arial" w:hAnsi="Arial"/>
          <w:sz w:val="15"/>
          <w:szCs w:val="15"/>
          <w:color w:val="000000"/>
        </w:rPr>
        <w:t>Our executive compensation program is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designed so that a significant portion of compensation is “at risk” based on our performance, as well as short-term cash and long-term equity incentives to align the interests of our executive officers and stockholders.</w:t>
      </w:r>
    </w:p>
    <w:p>
      <w:pPr>
        <w:spacing w:after="0" w:line="86" w:lineRule="exact"/>
        <w:rPr>
          <w:rFonts w:ascii="MS PGothic" w:cs="MS PGothic" w:eastAsia="MS PGothic" w:hAnsi="MS PGothic"/>
          <w:sz w:val="15"/>
          <w:szCs w:val="15"/>
          <w:color w:val="0071CE"/>
        </w:rPr>
      </w:pPr>
    </w:p>
    <w:p>
      <w:pPr>
        <w:ind w:left="420" w:right="100" w:hanging="228"/>
        <w:spacing w:after="0" w:line="258"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Stock Ownership Policy. </w:t>
      </w:r>
      <w:r>
        <w:rPr>
          <w:rFonts w:ascii="Arial" w:cs="Arial" w:eastAsia="Arial" w:hAnsi="Arial"/>
          <w:sz w:val="15"/>
          <w:szCs w:val="15"/>
          <w:color w:val="000000"/>
        </w:rPr>
        <w:t>We maintain a stock ownership policy that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requires our CEO and CFO to maintain a minimum ownership level of our common stock.</w:t>
      </w:r>
    </w:p>
    <w:p>
      <w:pPr>
        <w:spacing w:after="0" w:line="78" w:lineRule="exact"/>
        <w:rPr>
          <w:rFonts w:ascii="MS PGothic" w:cs="MS PGothic" w:eastAsia="MS PGothic" w:hAnsi="MS PGothic"/>
          <w:sz w:val="15"/>
          <w:szCs w:val="15"/>
          <w:color w:val="0071CE"/>
        </w:rPr>
      </w:pPr>
    </w:p>
    <w:p>
      <w:pPr>
        <w:ind w:left="420" w:right="160" w:hanging="228"/>
        <w:spacing w:after="0" w:line="241"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Compensation Recovery (“Clawback”) Policy. </w:t>
      </w:r>
      <w:r>
        <w:rPr>
          <w:rFonts w:ascii="Arial" w:cs="Arial" w:eastAsia="Arial" w:hAnsi="Arial"/>
          <w:sz w:val="15"/>
          <w:szCs w:val="15"/>
          <w:color w:val="000000"/>
        </w:rPr>
        <w:t>We have established a</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clawback policy allowing the Company to recover compensation should the Board determine that a material misstatement of the Company’s financial statements was due to fraud, negligence, or intentional misconduct by any executive officer of the Company.</w:t>
      </w:r>
    </w:p>
    <w:p>
      <w:pPr>
        <w:spacing w:after="0" w:line="94" w:lineRule="exact"/>
        <w:rPr>
          <w:rFonts w:ascii="MS PGothic" w:cs="MS PGothic" w:eastAsia="MS PGothic" w:hAnsi="MS PGothic"/>
          <w:sz w:val="15"/>
          <w:szCs w:val="15"/>
          <w:color w:val="0071CE"/>
        </w:rPr>
      </w:pPr>
    </w:p>
    <w:p>
      <w:pPr>
        <w:ind w:left="420" w:right="160" w:hanging="228"/>
        <w:spacing w:after="0" w:line="257"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Conduct an Annual Stockholder Advisory Vote on NEO Compensation. </w:t>
      </w:r>
      <w:r>
        <w:rPr>
          <w:rFonts w:ascii="Arial" w:cs="Arial" w:eastAsia="Arial" w:hAnsi="Arial"/>
          <w:sz w:val="15"/>
          <w:szCs w:val="15"/>
          <w:color w:val="000000"/>
        </w:rPr>
        <w:t>We conduct an annual stockholder advisory vote on 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of our NEOs.</w:t>
      </w:r>
    </w:p>
    <w:p>
      <w:pPr>
        <w:spacing w:after="0" w:line="78" w:lineRule="exact"/>
        <w:rPr>
          <w:rFonts w:ascii="MS PGothic" w:cs="MS PGothic" w:eastAsia="MS PGothic" w:hAnsi="MS PGothic"/>
          <w:sz w:val="15"/>
          <w:szCs w:val="15"/>
          <w:color w:val="0071CE"/>
        </w:rPr>
      </w:pPr>
    </w:p>
    <w:p>
      <w:pPr>
        <w:ind w:left="420" w:right="200" w:hanging="228"/>
        <w:spacing w:after="0" w:line="236"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Use a Pay-for-Performance Philosophy. </w:t>
      </w:r>
      <w:r>
        <w:rPr>
          <w:rFonts w:ascii="Arial" w:cs="Arial" w:eastAsia="Arial" w:hAnsi="Arial"/>
          <w:sz w:val="15"/>
          <w:szCs w:val="15"/>
          <w:color w:val="000000"/>
        </w:rPr>
        <w:t>The majority of our CEO’s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is directly linked to corporate performance; we also structure target total direct compensation opportunities with a significant long-term equity component, thereby making a substantial portion of the CEO’s and each additional executive officer’s target total direct compensation dependent upon our stock price and/or total stockholder return.</w:t>
      </w:r>
    </w:p>
    <w:p>
      <w:pPr>
        <w:spacing w:after="0" w:line="95" w:lineRule="exact"/>
        <w:rPr>
          <w:rFonts w:ascii="MS PGothic" w:cs="MS PGothic" w:eastAsia="MS PGothic" w:hAnsi="MS PGothic"/>
          <w:sz w:val="15"/>
          <w:szCs w:val="15"/>
          <w:color w:val="0071CE"/>
        </w:rPr>
      </w:pPr>
    </w:p>
    <w:p>
      <w:pPr>
        <w:ind w:left="420" w:hanging="228"/>
        <w:spacing w:after="0" w:line="238" w:lineRule="auto"/>
        <w:tabs>
          <w:tab w:leader="none" w:pos="398" w:val="left"/>
        </w:tabs>
        <w:numPr>
          <w:ilvl w:val="0"/>
          <w:numId w:val="43"/>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“Double Trigger” Feature for Acceleration of CEO Equity Awards </w:t>
      </w:r>
      <w:r>
        <w:rPr>
          <w:rFonts w:ascii="Arial" w:cs="Arial" w:eastAsia="Arial" w:hAnsi="Arial"/>
          <w:sz w:val="15"/>
          <w:szCs w:val="15"/>
          <w:color w:val="000000"/>
        </w:rPr>
        <w: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The outstanding equity awards granted to our CEO pursuant to our 2004 Equity Incentive Plan and 2013 Incentive Plan provide that, upon a change in control of the Company, the vesting of such awards will accelerate only in the event of a subsequent involuntary termination of employment (a “double-trigger” arrangement).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1818"/>
        <w:spacing w:after="0"/>
        <w:rPr>
          <w:sz w:val="20"/>
          <w:szCs w:val="20"/>
          <w:color w:val="auto"/>
        </w:rPr>
      </w:pPr>
      <w:r>
        <w:rPr>
          <w:rFonts w:ascii="Arial" w:cs="Arial" w:eastAsia="Arial" w:hAnsi="Arial"/>
          <w:sz w:val="16"/>
          <w:szCs w:val="16"/>
          <w:b w:val="1"/>
          <w:bCs w:val="1"/>
          <w:color w:val="FFFFFF"/>
        </w:rPr>
        <w:t>WHAT WE DON’T DO</w:t>
      </w:r>
    </w:p>
    <w:p>
      <w:pPr>
        <w:spacing w:after="0" w:line="110" w:lineRule="exact"/>
        <w:rPr>
          <w:sz w:val="20"/>
          <w:szCs w:val="20"/>
          <w:color w:val="auto"/>
        </w:rPr>
      </w:pPr>
    </w:p>
    <w:p>
      <w:pPr>
        <w:ind w:left="238" w:right="140" w:hanging="238"/>
        <w:spacing w:after="0" w:line="258" w:lineRule="auto"/>
        <w:tabs>
          <w:tab w:leader="none" w:pos="216" w:val="left"/>
        </w:tabs>
        <w:numPr>
          <w:ilvl w:val="0"/>
          <w:numId w:val="44"/>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Executive Retirement Plans. </w:t>
      </w:r>
      <w:r>
        <w:rPr>
          <w:rFonts w:ascii="Arial" w:cs="Arial" w:eastAsia="Arial" w:hAnsi="Arial"/>
          <w:sz w:val="15"/>
          <w:szCs w:val="15"/>
          <w:color w:val="000000"/>
        </w:rPr>
        <w:t>We do not offer pension arrangements</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or retirement plans or arrangements to our executive officers that are different from or in addition to those offered to our other employees.</w:t>
      </w:r>
    </w:p>
    <w:p>
      <w:pPr>
        <w:spacing w:after="0" w:line="78" w:lineRule="exact"/>
        <w:rPr>
          <w:rFonts w:ascii="MS PGothic" w:cs="MS PGothic" w:eastAsia="MS PGothic" w:hAnsi="MS PGothic"/>
          <w:sz w:val="15"/>
          <w:szCs w:val="15"/>
          <w:color w:val="3FAE2A"/>
        </w:rPr>
      </w:pPr>
    </w:p>
    <w:p>
      <w:pPr>
        <w:ind w:left="238" w:right="60" w:hanging="238"/>
        <w:spacing w:after="0" w:line="291" w:lineRule="auto"/>
        <w:tabs>
          <w:tab w:leader="none" w:pos="216" w:val="left"/>
        </w:tabs>
        <w:numPr>
          <w:ilvl w:val="0"/>
          <w:numId w:val="44"/>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Perquisites. </w:t>
      </w:r>
      <w:r>
        <w:rPr>
          <w:rFonts w:ascii="Arial" w:cs="Arial" w:eastAsia="Arial" w:hAnsi="Arial"/>
          <w:sz w:val="15"/>
          <w:szCs w:val="15"/>
          <w:color w:val="000000"/>
        </w:rPr>
        <w:t>Currently, we do not provide perquisites or other personal</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benefits to our executive officers.</w:t>
      </w:r>
    </w:p>
    <w:p>
      <w:pPr>
        <w:spacing w:after="0" w:line="54" w:lineRule="exact"/>
        <w:rPr>
          <w:rFonts w:ascii="MS PGothic" w:cs="MS PGothic" w:eastAsia="MS PGothic" w:hAnsi="MS PGothic"/>
          <w:sz w:val="15"/>
          <w:szCs w:val="15"/>
          <w:color w:val="3FAE2A"/>
        </w:rPr>
      </w:pPr>
    </w:p>
    <w:p>
      <w:pPr>
        <w:ind w:left="238" w:right="20" w:hanging="238"/>
        <w:spacing w:after="0" w:line="247" w:lineRule="auto"/>
        <w:tabs>
          <w:tab w:leader="none" w:pos="216" w:val="left"/>
        </w:tabs>
        <w:numPr>
          <w:ilvl w:val="0"/>
          <w:numId w:val="44"/>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Special Welfare or Health Benefits. </w:t>
      </w:r>
      <w:r>
        <w:rPr>
          <w:rFonts w:ascii="Arial" w:cs="Arial" w:eastAsia="Arial" w:hAnsi="Arial"/>
          <w:sz w:val="15"/>
          <w:szCs w:val="15"/>
          <w:color w:val="000000"/>
        </w:rPr>
        <w:t>Our executive officers participate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in broad-based Company-sponsored health and welfare benefits programs on the same basis as our other full-time, salaried employees, except for a premium for life insurance for our CEO.</w:t>
      </w:r>
    </w:p>
    <w:p>
      <w:pPr>
        <w:spacing w:after="0" w:line="86" w:lineRule="exact"/>
        <w:rPr>
          <w:rFonts w:ascii="MS PGothic" w:cs="MS PGothic" w:eastAsia="MS PGothic" w:hAnsi="MS PGothic"/>
          <w:sz w:val="15"/>
          <w:szCs w:val="15"/>
          <w:color w:val="3FAE2A"/>
        </w:rPr>
      </w:pPr>
    </w:p>
    <w:p>
      <w:pPr>
        <w:jc w:val="both"/>
        <w:ind w:left="238" w:hanging="238"/>
        <w:spacing w:after="0" w:line="258" w:lineRule="auto"/>
        <w:tabs>
          <w:tab w:leader="none" w:pos="216" w:val="left"/>
        </w:tabs>
        <w:numPr>
          <w:ilvl w:val="0"/>
          <w:numId w:val="44"/>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Post-Employment Tax Payment Reimbursement. </w:t>
      </w:r>
      <w:r>
        <w:rPr>
          <w:rFonts w:ascii="Arial" w:cs="Arial" w:eastAsia="Arial" w:hAnsi="Arial"/>
          <w:sz w:val="15"/>
          <w:szCs w:val="15"/>
          <w:color w:val="000000"/>
        </w:rPr>
        <w:t>We do not provide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any tax reimbursement payments (including “gross-ups”) on any severance or change-in-control payments or benefits.</w:t>
      </w:r>
    </w:p>
    <w:p>
      <w:pPr>
        <w:spacing w:after="0" w:line="78" w:lineRule="exact"/>
        <w:rPr>
          <w:rFonts w:ascii="MS PGothic" w:cs="MS PGothic" w:eastAsia="MS PGothic" w:hAnsi="MS PGothic"/>
          <w:sz w:val="15"/>
          <w:szCs w:val="15"/>
          <w:color w:val="3FAE2A"/>
        </w:rPr>
      </w:pPr>
    </w:p>
    <w:p>
      <w:pPr>
        <w:ind w:left="238" w:right="60" w:hanging="238"/>
        <w:spacing w:after="0" w:line="241" w:lineRule="auto"/>
        <w:tabs>
          <w:tab w:leader="none" w:pos="216" w:val="left"/>
        </w:tabs>
        <w:numPr>
          <w:ilvl w:val="0"/>
          <w:numId w:val="44"/>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Hedging and Limit on Pledging of Our Equity Securities. </w:t>
      </w:r>
      <w:r>
        <w:rPr>
          <w:rFonts w:ascii="Arial" w:cs="Arial" w:eastAsia="Arial" w:hAnsi="Arial"/>
          <w:sz w:val="15"/>
          <w:szCs w:val="15"/>
          <w:color w:val="000000"/>
        </w:rPr>
        <w:t>We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prohibit our executive officers and the non-employee members of our Board from hedging our equity securities. Our board members and executive officers may pledge up to 50% of owned and vested shares with the approval of the Board.</w:t>
      </w:r>
    </w:p>
    <w:p>
      <w:pPr>
        <w:spacing w:after="0" w:line="94" w:lineRule="exact"/>
        <w:rPr>
          <w:rFonts w:ascii="MS PGothic" w:cs="MS PGothic" w:eastAsia="MS PGothic" w:hAnsi="MS PGothic"/>
          <w:sz w:val="15"/>
          <w:szCs w:val="15"/>
          <w:color w:val="3FAE2A"/>
        </w:rPr>
      </w:pPr>
    </w:p>
    <w:p>
      <w:pPr>
        <w:jc w:val="both"/>
        <w:ind w:left="238" w:right="240" w:hanging="238"/>
        <w:spacing w:after="0" w:line="257" w:lineRule="auto"/>
        <w:tabs>
          <w:tab w:leader="none" w:pos="216" w:val="left"/>
        </w:tabs>
        <w:numPr>
          <w:ilvl w:val="0"/>
          <w:numId w:val="44"/>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Dividends or Dividend Equivalents Payable on Unvested Equity Awards. </w:t>
      </w:r>
      <w:r>
        <w:rPr>
          <w:rFonts w:ascii="Arial" w:cs="Arial" w:eastAsia="Arial" w:hAnsi="Arial"/>
          <w:sz w:val="15"/>
          <w:szCs w:val="15"/>
          <w:color w:val="000000"/>
        </w:rPr>
        <w:t>We do not pay dividends or dividend equivalents on unvested</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RSU awards or PRSU awards.</w:t>
      </w:r>
    </w:p>
    <w:p>
      <w:pPr>
        <w:spacing w:after="0" w:line="78" w:lineRule="exact"/>
        <w:rPr>
          <w:rFonts w:ascii="MS PGothic" w:cs="MS PGothic" w:eastAsia="MS PGothic" w:hAnsi="MS PGothic"/>
          <w:sz w:val="15"/>
          <w:szCs w:val="15"/>
          <w:color w:val="3FAE2A"/>
        </w:rPr>
      </w:pPr>
    </w:p>
    <w:p>
      <w:pPr>
        <w:ind w:left="238" w:right="80" w:hanging="238"/>
        <w:spacing w:after="0" w:line="258" w:lineRule="auto"/>
        <w:tabs>
          <w:tab w:leader="none" w:pos="216" w:val="left"/>
        </w:tabs>
        <w:numPr>
          <w:ilvl w:val="0"/>
          <w:numId w:val="44"/>
        </w:numPr>
        <w:rPr>
          <w:rFonts w:ascii="MS PGothic" w:cs="MS PGothic" w:eastAsia="MS PGothic" w:hAnsi="MS PGothic"/>
          <w:sz w:val="15"/>
          <w:szCs w:val="15"/>
          <w:color w:val="3FAE2A"/>
        </w:rPr>
      </w:pPr>
      <w:r>
        <w:rPr>
          <w:rFonts w:ascii="Arial" w:cs="Arial" w:eastAsia="Arial" w:hAnsi="Arial"/>
          <w:sz w:val="15"/>
          <w:szCs w:val="15"/>
          <w:b w:val="1"/>
          <w:bCs w:val="1"/>
          <w:i w:val="1"/>
          <w:iCs w:val="1"/>
          <w:color w:val="3FAE2A"/>
        </w:rPr>
        <w:t xml:space="preserve">No Stock Option Re-pricing. </w:t>
      </w:r>
      <w:r>
        <w:rPr>
          <w:rFonts w:ascii="Arial" w:cs="Arial" w:eastAsia="Arial" w:hAnsi="Arial"/>
          <w:sz w:val="15"/>
          <w:szCs w:val="15"/>
          <w:color w:val="000000"/>
        </w:rPr>
        <w:t>Our employee stock plan does not permit</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options to purchase shares of our common stock to be repriced to a lower exercise or strike price without the approval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2327910</wp:posOffset>
            </wp:positionV>
            <wp:extent cx="98615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3695" w:lineRule="exact"/>
        <w:rPr>
          <w:sz w:val="20"/>
          <w:szCs w:val="20"/>
          <w:color w:val="auto"/>
        </w:rPr>
      </w:pPr>
    </w:p>
    <w:p>
      <w:pPr>
        <w:sectPr>
          <w:pgSz w:w="11900" w:h="16838" w:orient="portrait"/>
          <w:cols w:equalWidth="0" w:num="2">
            <w:col w:w="5480" w:space="342"/>
            <w:col w:w="5298"/>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color w:val="0071CE"/>
        </w:rPr>
        <w:t>26</w:t>
      </w:r>
    </w:p>
    <w:p>
      <w:pPr>
        <w:sectPr>
          <w:pgSz w:w="11900" w:h="16838" w:orient="portrait"/>
          <w:cols w:equalWidth="0" w:num="1">
            <w:col w:w="11120"/>
          </w:cols>
          <w:pgMar w:left="320" w:top="455" w:right="45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27" w:lineRule="exact"/>
        <w:rPr>
          <w:sz w:val="20"/>
          <w:szCs w:val="20"/>
          <w:color w:val="auto"/>
        </w:rPr>
      </w:pPr>
    </w:p>
    <w:p>
      <w:pPr>
        <w:ind w:left="440" w:hanging="216"/>
        <w:spacing w:after="0"/>
        <w:tabs>
          <w:tab w:leader="none" w:pos="4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26" w:lineRule="exact"/>
        <w:rPr>
          <w:rFonts w:ascii="Arial" w:cs="Arial" w:eastAsia="Arial" w:hAnsi="Arial"/>
          <w:sz w:val="16"/>
          <w:szCs w:val="16"/>
          <w:color w:val="0071CE"/>
        </w:rPr>
      </w:pPr>
    </w:p>
    <w:p>
      <w:pPr>
        <w:ind w:left="440" w:right="1060" w:hanging="216"/>
        <w:spacing w:after="0" w:line="291" w:lineRule="auto"/>
        <w:tabs>
          <w:tab w:leader="none" w:pos="4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148" w:lineRule="exact"/>
        <w:rPr>
          <w:sz w:val="20"/>
          <w:szCs w:val="20"/>
          <w:color w:val="auto"/>
        </w:rPr>
      </w:pPr>
    </w:p>
    <w:p>
      <w:pPr>
        <w:jc w:val="both"/>
        <w:ind w:left="120" w:right="640"/>
        <w:spacing w:after="0" w:line="269"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70" w:lineRule="exact"/>
        <w:rPr>
          <w:sz w:val="20"/>
          <w:szCs w:val="20"/>
          <w:color w:val="auto"/>
        </w:rPr>
      </w:pPr>
    </w:p>
    <w:p>
      <w:pPr>
        <w:ind w:left="440" w:right="520" w:hanging="216"/>
        <w:spacing w:after="0" w:line="291" w:lineRule="auto"/>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53" w:lineRule="exact"/>
        <w:rPr>
          <w:rFonts w:ascii="Arial" w:cs="Arial" w:eastAsia="Arial" w:hAnsi="Arial"/>
          <w:sz w:val="16"/>
          <w:szCs w:val="16"/>
          <w:color w:val="0071CE"/>
        </w:rPr>
      </w:pPr>
    </w:p>
    <w:p>
      <w:pPr>
        <w:ind w:left="440" w:right="60" w:hanging="216"/>
        <w:spacing w:after="0" w:line="291" w:lineRule="auto"/>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26" w:lineRule="exact"/>
        <w:rPr>
          <w:rFonts w:ascii="Arial" w:cs="Arial" w:eastAsia="Arial" w:hAnsi="Arial"/>
          <w:sz w:val="16"/>
          <w:szCs w:val="16"/>
          <w:color w:val="0071CE"/>
        </w:rPr>
      </w:pPr>
    </w:p>
    <w:p>
      <w:pPr>
        <w:ind w:left="440" w:right="240" w:hanging="216"/>
        <w:spacing w:after="0" w:line="291" w:lineRule="auto"/>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53" w:lineRule="exact"/>
        <w:rPr>
          <w:rFonts w:ascii="Arial" w:cs="Arial" w:eastAsia="Arial" w:hAnsi="Arial"/>
          <w:sz w:val="16"/>
          <w:szCs w:val="16"/>
          <w:color w:val="0071CE"/>
        </w:rPr>
      </w:pPr>
    </w:p>
    <w:p>
      <w:pPr>
        <w:ind w:left="440" w:right="620" w:hanging="216"/>
        <w:spacing w:after="0" w:line="291" w:lineRule="auto"/>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employ outside compensation expertise and market data from industry peers to help assure that our compensation policies and practices are consistent with industry practice and meet our goals for our compensation program;</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align our executive officers’ incentives with the creation of stockholder value.</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07" w:lineRule="exact"/>
        <w:rPr>
          <w:sz w:val="20"/>
          <w:szCs w:val="20"/>
          <w:color w:val="auto"/>
        </w:rPr>
      </w:pPr>
    </w:p>
    <w:p>
      <w:pPr>
        <w:ind w:left="440" w:hanging="216"/>
        <w:spacing w:after="0"/>
        <w:tabs>
          <w:tab w:leader="none" w:pos="44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an annual incentive compensation opportunity;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ind w:left="120" w:right="280"/>
        <w:spacing w:after="0" w:line="261"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w:t>
      </w:r>
    </w:p>
    <w:p>
      <w:pPr>
        <w:spacing w:after="0" w:line="172"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preserve cash and do not have marketed products, overall target total direct compensation opportunities are weighted more heavily toward long-term incentive compensation in the form of equity awards. Thus, a significant portion of each executive officer’s target total direct compensation is “at risk,” and dependent on the increase in the value of our common stock. The Compensation Committee periodically reassesses the appropriate weighting of cash and equity compensation.</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06"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 Compensation Committee discharges many of the responsibilities of our Board relating to the compensation of our executive officers, including our NEOs, and the non-employee members of our Board.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62230</wp:posOffset>
            </wp:positionV>
            <wp:extent cx="98615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NEOs, are consistent with our compensation philosophy, policies, and objectives.</w:t>
      </w:r>
    </w:p>
    <w:p>
      <w:pPr>
        <w:spacing w:after="0" w:line="164"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members of the Compensation Committee are appointed by our Board, and each member is an independent director (as “independence” is currently defined in Rule 5605(a)(2) of the Nasdaq listing standards). Currently, the members of the Compensation Committee are Michael S. Perry (Chairman), Marianne De Backer, Mauro Ferrari, Adeoye Olukoton and William Waddill.</w:t>
      </w:r>
    </w:p>
    <w:p>
      <w:pPr>
        <w:spacing w:after="0" w:line="164"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components of our executive compensation program including, but not limited to,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176" w:lineRule="exact"/>
        <w:rPr>
          <w:sz w:val="20"/>
          <w:szCs w:val="20"/>
          <w:color w:val="auto"/>
        </w:rPr>
      </w:pPr>
    </w:p>
    <w:p>
      <w:pPr>
        <w:jc w:val="both"/>
        <w:ind w:left="120" w:right="240"/>
        <w:spacing w:after="0" w:line="269"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judgment in the assessment process to respond to and adjust for the evolving business environment. The members of the Compensation Committee have extensive experience in executive management, as well as compensation practices and policies.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Compensation-Setting Process</w:t>
      </w:r>
    </w:p>
    <w:p>
      <w:pPr>
        <w:spacing w:after="0" w:line="106"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NEOs. The Compensation Committee does not use a single method or measure in making its compensation decisions, nor does it position compensation levels based upon a specific or target level relative to a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176"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81" w:lineRule="exact"/>
        <w:rPr>
          <w:sz w:val="20"/>
          <w:szCs w:val="20"/>
          <w:color w:val="auto"/>
        </w:rPr>
      </w:pPr>
    </w:p>
    <w:p>
      <w:pPr>
        <w:ind w:left="440" w:hanging="216"/>
        <w:spacing w:after="0"/>
        <w:tabs>
          <w:tab w:leader="none" w:pos="44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w:t>
      </w:r>
    </w:p>
    <w:p>
      <w:pPr>
        <w:spacing w:after="0" w:line="126" w:lineRule="exact"/>
        <w:rPr>
          <w:rFonts w:ascii="Arial" w:cs="Arial" w:eastAsia="Arial" w:hAnsi="Arial"/>
          <w:sz w:val="16"/>
          <w:szCs w:val="16"/>
          <w:color w:val="0071CE"/>
        </w:rPr>
      </w:pPr>
    </w:p>
    <w:p>
      <w:pPr>
        <w:ind w:left="440" w:right="660" w:hanging="216"/>
        <w:spacing w:after="0" w:line="291" w:lineRule="auto"/>
        <w:tabs>
          <w:tab w:leader="none" w:pos="44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w:t>
      </w:r>
    </w:p>
    <w:p>
      <w:pPr>
        <w:spacing w:after="0" w:line="126" w:lineRule="exact"/>
        <w:rPr>
          <w:rFonts w:ascii="Arial" w:cs="Arial" w:eastAsia="Arial" w:hAnsi="Arial"/>
          <w:sz w:val="16"/>
          <w:szCs w:val="16"/>
          <w:color w:val="0071CE"/>
        </w:rPr>
      </w:pPr>
    </w:p>
    <w:p>
      <w:pPr>
        <w:ind w:left="440" w:right="60" w:hanging="216"/>
        <w:spacing w:after="0" w:line="291" w:lineRule="auto"/>
        <w:tabs>
          <w:tab w:leader="none" w:pos="44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53" w:lineRule="exact"/>
        <w:rPr>
          <w:rFonts w:ascii="Arial" w:cs="Arial" w:eastAsia="Arial" w:hAnsi="Arial"/>
          <w:sz w:val="16"/>
          <w:szCs w:val="16"/>
          <w:color w:val="0071CE"/>
        </w:rPr>
      </w:pPr>
    </w:p>
    <w:p>
      <w:pPr>
        <w:ind w:left="440" w:right="500" w:hanging="216"/>
        <w:spacing w:after="0" w:line="291" w:lineRule="auto"/>
        <w:tabs>
          <w:tab w:leader="none" w:pos="44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positioning of each executive officer’s compensation in a ranking of peer company compensation levels; and</w:t>
      </w:r>
    </w:p>
    <w:p>
      <w:pPr>
        <w:spacing w:after="0" w:line="53" w:lineRule="exact"/>
        <w:rPr>
          <w:rFonts w:ascii="Arial" w:cs="Arial" w:eastAsia="Arial" w:hAnsi="Arial"/>
          <w:sz w:val="16"/>
          <w:szCs w:val="16"/>
          <w:color w:val="0071CE"/>
        </w:rPr>
      </w:pPr>
    </w:p>
    <w:p>
      <w:pPr>
        <w:ind w:left="440" w:hanging="216"/>
        <w:spacing w:after="0"/>
        <w:tabs>
          <w:tab w:leader="none" w:pos="44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221"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62230</wp:posOffset>
            </wp:positionV>
            <wp:extent cx="98615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28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Chief Executive Officer</w:t>
      </w:r>
    </w:p>
    <w:p>
      <w:pPr>
        <w:spacing w:after="0" w:line="106"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the performance evaluation of each executive officer’s manager and his own evaluation of the executive officer’s performance.</w:t>
      </w:r>
    </w:p>
    <w:p>
      <w:pPr>
        <w:spacing w:after="0" w:line="176" w:lineRule="exact"/>
        <w:rPr>
          <w:sz w:val="20"/>
          <w:szCs w:val="20"/>
          <w:color w:val="auto"/>
        </w:rPr>
      </w:pPr>
    </w:p>
    <w:p>
      <w:pPr>
        <w:ind w:left="120" w:right="700"/>
        <w:spacing w:after="0" w:line="269"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formulating the recommendations for the compensation for our executive officers, including our other NEOs. Our CEO recuses himself from all discussions and recommendations regarding his own compensation.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Compensation Consultant</w:t>
      </w:r>
    </w:p>
    <w:p>
      <w:pPr>
        <w:spacing w:after="0" w:line="106"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64"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auto"/>
        </w:rPr>
        <w:t xml:space="preserve">For the period from October 2018 through the present, the Compensation Committee engaged Compensia, Inc., a national compensation consulting firm, as its external compensation consultant (“ </w:t>
      </w:r>
      <w:r>
        <w:rPr>
          <w:rFonts w:ascii="Arial" w:cs="Arial" w:eastAsia="Arial" w:hAnsi="Arial"/>
          <w:sz w:val="16"/>
          <w:szCs w:val="16"/>
          <w:b w:val="1"/>
          <w:bCs w:val="1"/>
          <w:color w:val="auto"/>
        </w:rPr>
        <w:t>Compensia</w:t>
      </w:r>
      <w:r>
        <w:rPr>
          <w:rFonts w:ascii="Arial" w:cs="Arial" w:eastAsia="Arial" w:hAnsi="Arial"/>
          <w:sz w:val="16"/>
          <w:szCs w:val="16"/>
          <w:color w:val="auto"/>
        </w:rPr>
        <w:t>”). Compensia assisted the Compensation Committee in its review of executive and non-employee director compensation practices for 2020, including the competitiveness of compensation levels, executive compensation design, comparisons with our industry peers, and other technical considerations.</w:t>
      </w:r>
    </w:p>
    <w:p>
      <w:pPr>
        <w:spacing w:after="0" w:line="77" w:lineRule="exact"/>
        <w:rPr>
          <w:sz w:val="20"/>
          <w:szCs w:val="20"/>
          <w:color w:val="auto"/>
        </w:rPr>
      </w:pPr>
    </w:p>
    <w:p>
      <w:pPr>
        <w:ind w:left="440" w:hanging="216"/>
        <w:spacing w:after="0"/>
        <w:tabs>
          <w:tab w:leader="none" w:pos="440"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Review and update of our compensation peer group;</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our executive officers, including our NEOs;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the non-employee members of our Board of Directors;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Review and update of the Compensation Discussion and Analysis section of our proxy statement for our 2021 Annual Meeting of Stockholders;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 xml:space="preserve">Support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21"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In 2020, Compensia did not provide any other services to us. The Compensation Committee has evaluated Compensia’s independence pursuant to the listing standards of the Nasdaq and the relevant SEC rules and has determined that no conflict of interest has arisen as a result of the work performed by Compensia.</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 Positioning</w:t>
      </w:r>
    </w:p>
    <w:p>
      <w:pPr>
        <w:spacing w:after="0" w:line="106" w:lineRule="exact"/>
        <w:rPr>
          <w:sz w:val="20"/>
          <w:szCs w:val="20"/>
          <w:color w:val="auto"/>
        </w:rPr>
      </w:pPr>
    </w:p>
    <w:p>
      <w:pPr>
        <w:ind w:left="120" w:right="120"/>
        <w:spacing w:after="0" w:line="257" w:lineRule="auto"/>
        <w:rPr>
          <w:sz w:val="20"/>
          <w:szCs w:val="20"/>
          <w:color w:val="auto"/>
        </w:rPr>
      </w:pPr>
      <w:r>
        <w:rPr>
          <w:rFonts w:ascii="Arial" w:cs="Arial" w:eastAsia="Arial" w:hAnsi="Arial"/>
          <w:sz w:val="16"/>
          <w:szCs w:val="16"/>
          <w:color w:val="auto"/>
        </w:rPr>
        <w:t>For each of the past seven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176" w:lineRule="exact"/>
        <w:rPr>
          <w:sz w:val="20"/>
          <w:szCs w:val="20"/>
          <w:color w:val="auto"/>
        </w:rPr>
      </w:pPr>
    </w:p>
    <w:p>
      <w:pPr>
        <w:ind w:left="120" w:right="140"/>
        <w:spacing w:after="0" w:line="261"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 program in fiscal 2020, the Compensation Committee directed Compensia to update its compensation peer group reflecting the competitive market for executive talent based on the following criteria:</w:t>
      </w:r>
    </w:p>
    <w:p>
      <w:pPr>
        <w:spacing w:after="0" w:line="77" w:lineRule="exact"/>
        <w:rPr>
          <w:sz w:val="20"/>
          <w:szCs w:val="20"/>
          <w:color w:val="auto"/>
        </w:rPr>
      </w:pPr>
    </w:p>
    <w:p>
      <w:pPr>
        <w:ind w:left="440" w:hanging="216"/>
        <w:spacing w:after="0"/>
        <w:tabs>
          <w:tab w:leader="none" w:pos="4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Publicly-held, pre-commercial U.S. biotechnology companies;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Companies with market capitalizations between 0.5x to 2.0x our market capitalization at the time of the peer selection;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Companies with between 50 to 500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109220</wp:posOffset>
            </wp:positionV>
            <wp:extent cx="98615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81"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 The increase in the Company’s market capitalization indicated significant redesign of the peer group for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2020, the compensation peer group consisted of the following companies:</w:t>
      </w:r>
    </w:p>
    <w:p>
      <w:pPr>
        <w:sectPr>
          <w:pgSz w:w="11900" w:h="16838" w:orient="portrait"/>
          <w:cols w:equalWidth="0" w:num="1">
            <w:col w:w="11120"/>
          </w:cols>
          <w:pgMar w:left="320" w:top="455" w:right="459" w:bottom="1440" w:gutter="0" w:footer="0" w:header="0"/>
        </w:sectPr>
      </w:pPr>
    </w:p>
    <w:p>
      <w:pPr>
        <w:spacing w:after="0" w:line="248"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Acceleron Pharma</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Allakos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Allogene Therapeutics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Arena Pharmaceuticals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Atara Biotherapeutics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Audentes Therapeutics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Blueprint Medicines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Cytokinetics</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Dicerna Pharmaceuticals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Global Blood Therapeutics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Iovance Biotherapeutics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Mirata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MyoKardia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Sangamo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Tricida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Voyager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Xencor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Zogenix</w:t>
      </w:r>
    </w:p>
    <w:p>
      <w:pPr>
        <w:spacing w:after="0" w:line="200" w:lineRule="exact"/>
        <w:rPr>
          <w:sz w:val="20"/>
          <w:szCs w:val="20"/>
          <w:color w:val="auto"/>
        </w:rPr>
      </w:pPr>
    </w:p>
    <w:p>
      <w:pPr>
        <w:sectPr>
          <w:pgSz w:w="11900" w:h="16838" w:orient="portrait"/>
          <w:cols w:equalWidth="0" w:num="2">
            <w:col w:w="5120" w:space="720"/>
            <w:col w:w="5280"/>
          </w:cols>
          <w:pgMar w:left="320" w:top="455" w:right="459" w:bottom="1440" w:gutter="0" w:footer="0" w:header="0"/>
          <w:type w:val="continuous"/>
        </w:sectPr>
      </w:pPr>
    </w:p>
    <w:p>
      <w:pPr>
        <w:spacing w:after="0" w:line="1"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The compensation study prepared by Compensia and presented in December 2019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2020, the principal elements of our executive compensation program were as follows:</w:t>
      </w:r>
    </w:p>
    <w:p>
      <w:pPr>
        <w:spacing w:after="0" w:line="127" w:lineRule="exact"/>
        <w:rPr>
          <w:sz w:val="20"/>
          <w:szCs w:val="20"/>
          <w:color w:val="auto"/>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an annual incentive compensation opportunity;</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106"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NEOs, and is an important element of compensation intended to attract and retain highly-talented individuals.</w:t>
      </w:r>
    </w:p>
    <w:p>
      <w:pPr>
        <w:spacing w:after="0" w:line="148"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compensation consultant, the Compensation Committee reviews and determines adjustments to the base salaries for each of our executive officers, including our NEOs,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203835</wp:posOffset>
            </wp:positionV>
            <wp:extent cx="98615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30</w:t>
      </w:r>
    </w:p>
    <w:p>
      <w:pPr>
        <w:sectPr>
          <w:pgSz w:w="11900" w:h="16838" w:orient="portrait"/>
          <w:cols w:equalWidth="0" w:num="1">
            <w:col w:w="11120"/>
          </w:cols>
          <w:pgMar w:left="320" w:top="455" w:right="45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The base salaries of our NEOs for 2019 and 2020 were as follows: The increase in base salary for our CEO, our CFO, and our former COO reflect the increased complexity of the Company’s business and their individual roles.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542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200" w:type="dxa"/>
            <w:vAlign w:val="bottom"/>
            <w:shd w:val="clear" w:color="auto" w:fill="0071CE"/>
          </w:tcPr>
          <w:p>
            <w:pPr>
              <w:jc w:val="center"/>
              <w:ind w:left="161"/>
              <w:spacing w:after="0"/>
              <w:rPr>
                <w:sz w:val="20"/>
                <w:szCs w:val="20"/>
                <w:color w:val="auto"/>
              </w:rPr>
            </w:pPr>
            <w:r>
              <w:rPr>
                <w:rFonts w:ascii="Arial" w:cs="Arial" w:eastAsia="Arial" w:hAnsi="Arial"/>
                <w:sz w:val="14"/>
                <w:szCs w:val="14"/>
                <w:b w:val="1"/>
                <w:bCs w:val="1"/>
                <w:color w:val="FFFFFF"/>
              </w:rPr>
              <w:t>2020</w:t>
            </w:r>
          </w:p>
        </w:tc>
        <w:tc>
          <w:tcPr>
            <w:tcW w:w="1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2019</w:t>
            </w:r>
          </w:p>
        </w:tc>
        <w:tc>
          <w:tcPr>
            <w:tcW w:w="1540" w:type="dxa"/>
            <w:vAlign w:val="bottom"/>
            <w:shd w:val="clear" w:color="auto" w:fill="0071CE"/>
          </w:tcPr>
          <w:p>
            <w:pPr>
              <w:jc w:val="right"/>
              <w:ind w:right="181"/>
              <w:spacing w:after="0"/>
              <w:rPr>
                <w:sz w:val="20"/>
                <w:szCs w:val="20"/>
                <w:color w:val="auto"/>
              </w:rPr>
            </w:pPr>
            <w:r>
              <w:rPr>
                <w:rFonts w:ascii="Arial" w:cs="Arial" w:eastAsia="Arial" w:hAnsi="Arial"/>
                <w:sz w:val="14"/>
                <w:szCs w:val="14"/>
                <w:b w:val="1"/>
                <w:bCs w:val="1"/>
                <w:color w:val="FFFFFF"/>
              </w:rPr>
              <w:t>Percentage</w:t>
            </w:r>
          </w:p>
        </w:tc>
      </w:tr>
      <w:tr>
        <w:trPr>
          <w:trHeight w:val="211"/>
        </w:trPr>
        <w:tc>
          <w:tcPr>
            <w:tcW w:w="542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200" w:type="dxa"/>
            <w:vAlign w:val="bottom"/>
            <w:tcBorders>
              <w:bottom w:val="single" w:sz="8" w:color="0071CE"/>
            </w:tcBorders>
            <w:shd w:val="clear" w:color="auto" w:fill="0071CE"/>
          </w:tcPr>
          <w:p>
            <w:pPr>
              <w:ind w:left="800"/>
              <w:spacing w:after="0"/>
              <w:rPr>
                <w:sz w:val="20"/>
                <w:szCs w:val="20"/>
                <w:color w:val="auto"/>
              </w:rPr>
            </w:pPr>
            <w:r>
              <w:rPr>
                <w:rFonts w:ascii="Arial" w:cs="Arial" w:eastAsia="Arial" w:hAnsi="Arial"/>
                <w:sz w:val="14"/>
                <w:szCs w:val="14"/>
                <w:b w:val="1"/>
                <w:bCs w:val="1"/>
                <w:color w:val="FFFFFF"/>
              </w:rPr>
              <w:t>Base Salary</w:t>
            </w:r>
          </w:p>
        </w:tc>
        <w:tc>
          <w:tcPr>
            <w:tcW w:w="1860" w:type="dxa"/>
            <w:vAlign w:val="bottom"/>
            <w:tcBorders>
              <w:bottom w:val="single" w:sz="8" w:color="0071CE"/>
            </w:tcBorders>
            <w:shd w:val="clear" w:color="auto" w:fill="0071CE"/>
          </w:tcPr>
          <w:p>
            <w:pPr>
              <w:ind w:left="560"/>
              <w:spacing w:after="0"/>
              <w:rPr>
                <w:sz w:val="20"/>
                <w:szCs w:val="20"/>
                <w:color w:val="auto"/>
              </w:rPr>
            </w:pPr>
            <w:r>
              <w:rPr>
                <w:rFonts w:ascii="Arial" w:cs="Arial" w:eastAsia="Arial" w:hAnsi="Arial"/>
                <w:sz w:val="14"/>
                <w:szCs w:val="14"/>
                <w:b w:val="1"/>
                <w:bCs w:val="1"/>
                <w:color w:val="FFFFFF"/>
              </w:rPr>
              <w:t>Base Salary</w:t>
            </w:r>
          </w:p>
        </w:tc>
        <w:tc>
          <w:tcPr>
            <w:tcW w:w="1540" w:type="dxa"/>
            <w:vAlign w:val="bottom"/>
            <w:tcBorders>
              <w:bottom w:val="single" w:sz="8" w:color="0071CE"/>
            </w:tcBorders>
            <w:shd w:val="clear" w:color="auto" w:fill="0071CE"/>
          </w:tcPr>
          <w:p>
            <w:pPr>
              <w:jc w:val="right"/>
              <w:ind w:right="181"/>
              <w:spacing w:after="0"/>
              <w:rPr>
                <w:sz w:val="20"/>
                <w:szCs w:val="20"/>
                <w:color w:val="auto"/>
              </w:rPr>
            </w:pPr>
            <w:r>
              <w:rPr>
                <w:rFonts w:ascii="Arial" w:cs="Arial" w:eastAsia="Arial" w:hAnsi="Arial"/>
                <w:sz w:val="14"/>
                <w:szCs w:val="14"/>
                <w:b w:val="1"/>
                <w:bCs w:val="1"/>
                <w:color w:val="FFFFFF"/>
              </w:rPr>
              <w:t>Adjustment</w:t>
            </w:r>
          </w:p>
        </w:tc>
      </w:tr>
      <w:tr>
        <w:trPr>
          <w:trHeight w:val="211"/>
        </w:trPr>
        <w:tc>
          <w:tcPr>
            <w:tcW w:w="54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Christopher Anzalone</w:t>
            </w:r>
          </w:p>
        </w:tc>
        <w:tc>
          <w:tcPr>
            <w:tcW w:w="2200" w:type="dxa"/>
            <w:vAlign w:val="bottom"/>
            <w:shd w:val="clear" w:color="auto" w:fill="E5E5E5"/>
          </w:tcPr>
          <w:p>
            <w:pPr>
              <w:spacing w:after="0"/>
              <w:rPr>
                <w:sz w:val="18"/>
                <w:szCs w:val="18"/>
                <w:color w:val="auto"/>
              </w:rPr>
            </w:pPr>
          </w:p>
        </w:tc>
        <w:tc>
          <w:tcPr>
            <w:tcW w:w="1860" w:type="dxa"/>
            <w:vAlign w:val="bottom"/>
            <w:shd w:val="clear" w:color="auto" w:fill="E5E5E5"/>
          </w:tcPr>
          <w:p>
            <w:pPr>
              <w:spacing w:after="0"/>
              <w:rPr>
                <w:sz w:val="18"/>
                <w:szCs w:val="18"/>
                <w:color w:val="auto"/>
              </w:rPr>
            </w:pPr>
          </w:p>
        </w:tc>
        <w:tc>
          <w:tcPr>
            <w:tcW w:w="1540" w:type="dxa"/>
            <w:vAlign w:val="bottom"/>
            <w:shd w:val="clear" w:color="auto" w:fill="E5E5E5"/>
          </w:tcPr>
          <w:p>
            <w:pPr>
              <w:spacing w:after="0"/>
              <w:rPr>
                <w:sz w:val="18"/>
                <w:szCs w:val="18"/>
                <w:color w:val="auto"/>
              </w:rPr>
            </w:pPr>
          </w:p>
        </w:tc>
      </w:tr>
      <w:tr>
        <w:trPr>
          <w:trHeight w:val="234"/>
        </w:trPr>
        <w:tc>
          <w:tcPr>
            <w:tcW w:w="5420" w:type="dxa"/>
            <w:vAlign w:val="bottom"/>
            <w:shd w:val="clear" w:color="auto" w:fill="E5E5E5"/>
          </w:tcPr>
          <w:p>
            <w:pPr>
              <w:ind w:left="60"/>
              <w:spacing w:after="0"/>
              <w:rPr>
                <w:sz w:val="20"/>
                <w:szCs w:val="20"/>
                <w:color w:val="auto"/>
              </w:rPr>
            </w:pPr>
            <w:r>
              <w:rPr>
                <w:rFonts w:ascii="Arial" w:cs="Arial" w:eastAsia="Arial" w:hAnsi="Arial"/>
                <w:sz w:val="16"/>
                <w:szCs w:val="16"/>
                <w:color w:val="auto"/>
              </w:rPr>
              <w:t>President &amp; CEO</w:t>
            </w:r>
          </w:p>
        </w:tc>
        <w:tc>
          <w:tcPr>
            <w:tcW w:w="2200" w:type="dxa"/>
            <w:vAlign w:val="bottom"/>
            <w:shd w:val="clear" w:color="auto" w:fill="E5E5E5"/>
          </w:tcPr>
          <w:p>
            <w:pPr>
              <w:jc w:val="center"/>
              <w:ind w:left="141"/>
              <w:spacing w:after="0"/>
              <w:rPr>
                <w:sz w:val="20"/>
                <w:szCs w:val="20"/>
                <w:color w:val="auto"/>
              </w:rPr>
            </w:pPr>
            <w:r>
              <w:rPr>
                <w:rFonts w:ascii="Arial" w:cs="Arial" w:eastAsia="Arial" w:hAnsi="Arial"/>
                <w:sz w:val="16"/>
                <w:szCs w:val="16"/>
                <w:color w:val="auto"/>
              </w:rPr>
              <w:t>$820,000</w:t>
            </w:r>
          </w:p>
        </w:tc>
        <w:tc>
          <w:tcPr>
            <w:tcW w:w="186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$682,500</w:t>
            </w:r>
          </w:p>
        </w:tc>
        <w:tc>
          <w:tcPr>
            <w:tcW w:w="15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20%</w:t>
            </w:r>
          </w:p>
        </w:tc>
      </w:tr>
      <w:tr>
        <w:trPr>
          <w:trHeight w:val="211"/>
        </w:trPr>
        <w:tc>
          <w:tcPr>
            <w:tcW w:w="5420" w:type="dxa"/>
            <w:vAlign w:val="bottom"/>
          </w:tcPr>
          <w:p>
            <w:pPr>
              <w:ind w:left="60"/>
              <w:spacing w:after="0"/>
              <w:rPr>
                <w:sz w:val="20"/>
                <w:szCs w:val="20"/>
                <w:color w:val="auto"/>
              </w:rPr>
            </w:pPr>
            <w:r>
              <w:rPr>
                <w:rFonts w:ascii="Arial" w:cs="Arial" w:eastAsia="Arial" w:hAnsi="Arial"/>
                <w:sz w:val="16"/>
                <w:szCs w:val="16"/>
                <w:b w:val="1"/>
                <w:bCs w:val="1"/>
                <w:color w:val="0071CE"/>
              </w:rPr>
              <w:t>Kenneth Myszkowski</w:t>
            </w:r>
          </w:p>
        </w:tc>
        <w:tc>
          <w:tcPr>
            <w:tcW w:w="2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6"/>
        </w:trPr>
        <w:tc>
          <w:tcPr>
            <w:tcW w:w="542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2200" w:type="dxa"/>
            <w:vAlign w:val="bottom"/>
          </w:tcPr>
          <w:p>
            <w:pPr>
              <w:jc w:val="center"/>
              <w:ind w:left="141"/>
              <w:spacing w:after="0"/>
              <w:rPr>
                <w:sz w:val="20"/>
                <w:szCs w:val="20"/>
                <w:color w:val="auto"/>
              </w:rPr>
            </w:pPr>
            <w:r>
              <w:rPr>
                <w:rFonts w:ascii="Arial" w:cs="Arial" w:eastAsia="Arial" w:hAnsi="Arial"/>
                <w:sz w:val="16"/>
                <w:szCs w:val="16"/>
                <w:color w:val="auto"/>
              </w:rPr>
              <w:t>$475,000</w:t>
            </w:r>
          </w:p>
        </w:tc>
        <w:tc>
          <w:tcPr>
            <w:tcW w:w="1860" w:type="dxa"/>
            <w:vAlign w:val="bottom"/>
          </w:tcPr>
          <w:p>
            <w:pPr>
              <w:jc w:val="center"/>
              <w:ind w:left="1"/>
              <w:spacing w:after="0"/>
              <w:rPr>
                <w:sz w:val="20"/>
                <w:szCs w:val="20"/>
                <w:color w:val="auto"/>
              </w:rPr>
            </w:pPr>
            <w:r>
              <w:rPr>
                <w:rFonts w:ascii="Arial" w:cs="Arial" w:eastAsia="Arial" w:hAnsi="Arial"/>
                <w:sz w:val="16"/>
                <w:szCs w:val="16"/>
                <w:color w:val="auto"/>
              </w:rPr>
              <w:t>$430,000</w:t>
            </w:r>
          </w:p>
        </w:tc>
        <w:tc>
          <w:tcPr>
            <w:tcW w:w="1540" w:type="dxa"/>
            <w:vAlign w:val="bottom"/>
          </w:tcPr>
          <w:p>
            <w:pPr>
              <w:jc w:val="right"/>
              <w:ind w:right="221"/>
              <w:spacing w:after="0"/>
              <w:rPr>
                <w:sz w:val="20"/>
                <w:szCs w:val="20"/>
                <w:color w:val="auto"/>
              </w:rPr>
            </w:pPr>
            <w:r>
              <w:rPr>
                <w:rFonts w:ascii="Arial" w:cs="Arial" w:eastAsia="Arial" w:hAnsi="Arial"/>
                <w:sz w:val="16"/>
                <w:szCs w:val="16"/>
                <w:color w:val="auto"/>
              </w:rPr>
              <w:t>10%</w:t>
            </w:r>
          </w:p>
        </w:tc>
      </w:tr>
      <w:tr>
        <w:trPr>
          <w:trHeight w:val="219"/>
        </w:trPr>
        <w:tc>
          <w:tcPr>
            <w:tcW w:w="54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Javier San Martin (1)</w:t>
            </w:r>
          </w:p>
        </w:tc>
        <w:tc>
          <w:tcPr>
            <w:tcW w:w="2200" w:type="dxa"/>
            <w:vAlign w:val="bottom"/>
            <w:shd w:val="clear" w:color="auto" w:fill="E5E5E5"/>
          </w:tcPr>
          <w:p>
            <w:pPr>
              <w:spacing w:after="0"/>
              <w:rPr>
                <w:sz w:val="19"/>
                <w:szCs w:val="19"/>
                <w:color w:val="auto"/>
              </w:rPr>
            </w:pPr>
          </w:p>
        </w:tc>
        <w:tc>
          <w:tcPr>
            <w:tcW w:w="1860" w:type="dxa"/>
            <w:vAlign w:val="bottom"/>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r>
      <w:tr>
        <w:trPr>
          <w:trHeight w:val="234"/>
        </w:trPr>
        <w:tc>
          <w:tcPr>
            <w:tcW w:w="5420" w:type="dxa"/>
            <w:vAlign w:val="bottom"/>
            <w:shd w:val="clear" w:color="auto" w:fill="E5E5E5"/>
          </w:tcPr>
          <w:p>
            <w:pPr>
              <w:ind w:left="60"/>
              <w:spacing w:after="0"/>
              <w:rPr>
                <w:sz w:val="20"/>
                <w:szCs w:val="20"/>
                <w:color w:val="auto"/>
              </w:rPr>
            </w:pPr>
            <w:r>
              <w:rPr>
                <w:rFonts w:ascii="Arial" w:cs="Arial" w:eastAsia="Arial" w:hAnsi="Arial"/>
                <w:sz w:val="16"/>
                <w:szCs w:val="16"/>
                <w:color w:val="auto"/>
              </w:rPr>
              <w:t>Chief Medical Officer</w:t>
            </w:r>
          </w:p>
        </w:tc>
        <w:tc>
          <w:tcPr>
            <w:tcW w:w="2200" w:type="dxa"/>
            <w:vAlign w:val="bottom"/>
            <w:shd w:val="clear" w:color="auto" w:fill="E5E5E5"/>
          </w:tcPr>
          <w:p>
            <w:pPr>
              <w:jc w:val="center"/>
              <w:ind w:left="141"/>
              <w:spacing w:after="0"/>
              <w:rPr>
                <w:sz w:val="20"/>
                <w:szCs w:val="20"/>
                <w:color w:val="auto"/>
              </w:rPr>
            </w:pPr>
            <w:r>
              <w:rPr>
                <w:rFonts w:ascii="Arial" w:cs="Arial" w:eastAsia="Arial" w:hAnsi="Arial"/>
                <w:sz w:val="16"/>
                <w:szCs w:val="16"/>
                <w:color w:val="auto"/>
              </w:rPr>
              <w:t>$450,000</w:t>
            </w:r>
          </w:p>
        </w:tc>
        <w:tc>
          <w:tcPr>
            <w:tcW w:w="1860" w:type="dxa"/>
            <w:vAlign w:val="bottom"/>
            <w:shd w:val="clear" w:color="auto" w:fill="E5E5E5"/>
          </w:tcPr>
          <w:p>
            <w:pPr>
              <w:ind w:left="10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N/A</w:t>
            </w:r>
          </w:p>
        </w:tc>
      </w:tr>
      <w:tr>
        <w:trPr>
          <w:trHeight w:val="211"/>
        </w:trPr>
        <w:tc>
          <w:tcPr>
            <w:tcW w:w="5420" w:type="dxa"/>
            <w:vAlign w:val="bottom"/>
          </w:tcPr>
          <w:p>
            <w:pPr>
              <w:ind w:left="60"/>
              <w:spacing w:after="0"/>
              <w:rPr>
                <w:sz w:val="20"/>
                <w:szCs w:val="20"/>
                <w:color w:val="auto"/>
              </w:rPr>
            </w:pPr>
            <w:r>
              <w:rPr>
                <w:rFonts w:ascii="Arial" w:cs="Arial" w:eastAsia="Arial" w:hAnsi="Arial"/>
                <w:sz w:val="16"/>
                <w:szCs w:val="16"/>
                <w:b w:val="1"/>
                <w:bCs w:val="1"/>
                <w:color w:val="0071CE"/>
              </w:rPr>
              <w:t>James Hassard (1)</w:t>
            </w:r>
          </w:p>
        </w:tc>
        <w:tc>
          <w:tcPr>
            <w:tcW w:w="2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6"/>
        </w:trPr>
        <w:tc>
          <w:tcPr>
            <w:tcW w:w="5420" w:type="dxa"/>
            <w:vAlign w:val="bottom"/>
          </w:tcPr>
          <w:p>
            <w:pPr>
              <w:ind w:left="60"/>
              <w:spacing w:after="0"/>
              <w:rPr>
                <w:sz w:val="20"/>
                <w:szCs w:val="20"/>
                <w:color w:val="auto"/>
              </w:rPr>
            </w:pPr>
            <w:r>
              <w:rPr>
                <w:rFonts w:ascii="Arial" w:cs="Arial" w:eastAsia="Arial" w:hAnsi="Arial"/>
                <w:sz w:val="16"/>
                <w:szCs w:val="16"/>
                <w:color w:val="auto"/>
              </w:rPr>
              <w:t>Chief Commercial Officer</w:t>
            </w:r>
          </w:p>
        </w:tc>
        <w:tc>
          <w:tcPr>
            <w:tcW w:w="2200" w:type="dxa"/>
            <w:vAlign w:val="bottom"/>
          </w:tcPr>
          <w:p>
            <w:pPr>
              <w:jc w:val="center"/>
              <w:ind w:left="141"/>
              <w:spacing w:after="0"/>
              <w:rPr>
                <w:sz w:val="20"/>
                <w:szCs w:val="20"/>
                <w:color w:val="auto"/>
              </w:rPr>
            </w:pPr>
            <w:r>
              <w:rPr>
                <w:rFonts w:ascii="Arial" w:cs="Arial" w:eastAsia="Arial" w:hAnsi="Arial"/>
                <w:sz w:val="16"/>
                <w:szCs w:val="16"/>
                <w:color w:val="auto"/>
              </w:rPr>
              <w:t>$425,000</w:t>
            </w:r>
          </w:p>
        </w:tc>
        <w:tc>
          <w:tcPr>
            <w:tcW w:w="1860" w:type="dxa"/>
            <w:vAlign w:val="bottom"/>
          </w:tcPr>
          <w:p>
            <w:pPr>
              <w:ind w:left="1040"/>
              <w:spacing w:after="0"/>
              <w:rPr>
                <w:sz w:val="20"/>
                <w:szCs w:val="20"/>
                <w:color w:val="auto"/>
              </w:rPr>
            </w:pPr>
            <w:r>
              <w:rPr>
                <w:rFonts w:ascii="Arial" w:cs="Arial" w:eastAsia="Arial" w:hAnsi="Arial"/>
                <w:sz w:val="16"/>
                <w:szCs w:val="16"/>
                <w:color w:val="auto"/>
              </w:rPr>
              <w:t>N/A</w:t>
            </w:r>
          </w:p>
        </w:tc>
        <w:tc>
          <w:tcPr>
            <w:tcW w:w="1540" w:type="dxa"/>
            <w:vAlign w:val="bottom"/>
          </w:tcPr>
          <w:p>
            <w:pPr>
              <w:jc w:val="right"/>
              <w:ind w:right="361"/>
              <w:spacing w:after="0"/>
              <w:rPr>
                <w:sz w:val="20"/>
                <w:szCs w:val="20"/>
                <w:color w:val="auto"/>
              </w:rPr>
            </w:pPr>
            <w:r>
              <w:rPr>
                <w:rFonts w:ascii="Arial" w:cs="Arial" w:eastAsia="Arial" w:hAnsi="Arial"/>
                <w:sz w:val="16"/>
                <w:szCs w:val="16"/>
                <w:color w:val="auto"/>
              </w:rPr>
              <w:t>N/A</w:t>
            </w:r>
          </w:p>
        </w:tc>
      </w:tr>
      <w:tr>
        <w:trPr>
          <w:trHeight w:val="219"/>
        </w:trPr>
        <w:tc>
          <w:tcPr>
            <w:tcW w:w="54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Curt Bradshaw (2)</w:t>
            </w:r>
          </w:p>
        </w:tc>
        <w:tc>
          <w:tcPr>
            <w:tcW w:w="2200" w:type="dxa"/>
            <w:vAlign w:val="bottom"/>
            <w:shd w:val="clear" w:color="auto" w:fill="E5E5E5"/>
          </w:tcPr>
          <w:p>
            <w:pPr>
              <w:spacing w:after="0"/>
              <w:rPr>
                <w:sz w:val="19"/>
                <w:szCs w:val="19"/>
                <w:color w:val="auto"/>
              </w:rPr>
            </w:pPr>
          </w:p>
        </w:tc>
        <w:tc>
          <w:tcPr>
            <w:tcW w:w="1860" w:type="dxa"/>
            <w:vAlign w:val="bottom"/>
            <w:shd w:val="clear" w:color="auto" w:fill="E5E5E5"/>
          </w:tcPr>
          <w:p>
            <w:pPr>
              <w:spacing w:after="0"/>
              <w:rPr>
                <w:sz w:val="19"/>
                <w:szCs w:val="19"/>
                <w:color w:val="auto"/>
              </w:rPr>
            </w:pPr>
          </w:p>
        </w:tc>
        <w:tc>
          <w:tcPr>
            <w:tcW w:w="1540" w:type="dxa"/>
            <w:vAlign w:val="bottom"/>
            <w:shd w:val="clear" w:color="auto" w:fill="E5E5E5"/>
          </w:tcPr>
          <w:p>
            <w:pPr>
              <w:spacing w:after="0"/>
              <w:rPr>
                <w:sz w:val="19"/>
                <w:szCs w:val="19"/>
                <w:color w:val="auto"/>
              </w:rPr>
            </w:pPr>
          </w:p>
        </w:tc>
      </w:tr>
      <w:tr>
        <w:trPr>
          <w:trHeight w:val="234"/>
        </w:trPr>
        <w:tc>
          <w:tcPr>
            <w:tcW w:w="5420" w:type="dxa"/>
            <w:vAlign w:val="bottom"/>
            <w:shd w:val="clear" w:color="auto" w:fill="E5E5E5"/>
          </w:tcPr>
          <w:p>
            <w:pPr>
              <w:ind w:left="60"/>
              <w:spacing w:after="0"/>
              <w:rPr>
                <w:sz w:val="20"/>
                <w:szCs w:val="20"/>
                <w:color w:val="auto"/>
              </w:rPr>
            </w:pPr>
            <w:r>
              <w:rPr>
                <w:rFonts w:ascii="Arial" w:cs="Arial" w:eastAsia="Arial" w:hAnsi="Arial"/>
                <w:sz w:val="16"/>
                <w:szCs w:val="16"/>
                <w:color w:val="auto"/>
              </w:rPr>
              <w:t>Former Chief Scientific Officer</w:t>
            </w:r>
          </w:p>
        </w:tc>
        <w:tc>
          <w:tcPr>
            <w:tcW w:w="2200" w:type="dxa"/>
            <w:vAlign w:val="bottom"/>
            <w:shd w:val="clear" w:color="auto" w:fill="E5E5E5"/>
          </w:tcPr>
          <w:p>
            <w:pPr>
              <w:jc w:val="center"/>
              <w:ind w:left="141"/>
              <w:spacing w:after="0"/>
              <w:rPr>
                <w:sz w:val="20"/>
                <w:szCs w:val="20"/>
                <w:color w:val="auto"/>
              </w:rPr>
            </w:pPr>
            <w:r>
              <w:rPr>
                <w:rFonts w:ascii="Arial" w:cs="Arial" w:eastAsia="Arial" w:hAnsi="Arial"/>
                <w:sz w:val="16"/>
                <w:szCs w:val="16"/>
                <w:color w:val="auto"/>
              </w:rPr>
              <w:t>$425,000</w:t>
            </w:r>
          </w:p>
        </w:tc>
        <w:tc>
          <w:tcPr>
            <w:tcW w:w="1860" w:type="dxa"/>
            <w:vAlign w:val="bottom"/>
            <w:shd w:val="clear" w:color="auto" w:fill="E5E5E5"/>
          </w:tcPr>
          <w:p>
            <w:pPr>
              <w:ind w:left="10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N/A</w:t>
            </w:r>
          </w:p>
        </w:tc>
      </w:tr>
      <w:tr>
        <w:trPr>
          <w:trHeight w:val="211"/>
        </w:trPr>
        <w:tc>
          <w:tcPr>
            <w:tcW w:w="5420" w:type="dxa"/>
            <w:vAlign w:val="bottom"/>
          </w:tcPr>
          <w:p>
            <w:pPr>
              <w:ind w:left="60"/>
              <w:spacing w:after="0"/>
              <w:rPr>
                <w:sz w:val="20"/>
                <w:szCs w:val="20"/>
                <w:color w:val="auto"/>
              </w:rPr>
            </w:pPr>
            <w:r>
              <w:rPr>
                <w:rFonts w:ascii="Arial" w:cs="Arial" w:eastAsia="Arial" w:hAnsi="Arial"/>
                <w:sz w:val="16"/>
                <w:szCs w:val="16"/>
                <w:b w:val="1"/>
                <w:bCs w:val="1"/>
                <w:color w:val="0071CE"/>
              </w:rPr>
              <w:t>Bruce Given (3)</w:t>
            </w:r>
          </w:p>
        </w:tc>
        <w:tc>
          <w:tcPr>
            <w:tcW w:w="2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8"/>
        </w:trPr>
        <w:tc>
          <w:tcPr>
            <w:tcW w:w="5420" w:type="dxa"/>
            <w:vAlign w:val="bottom"/>
            <w:tcBorders>
              <w:bottom w:val="single" w:sz="8" w:color="0071CE"/>
            </w:tcBorders>
          </w:tcPr>
          <w:p>
            <w:pPr>
              <w:ind w:left="60"/>
              <w:spacing w:after="0"/>
              <w:rPr>
                <w:sz w:val="20"/>
                <w:szCs w:val="20"/>
                <w:color w:val="auto"/>
              </w:rPr>
            </w:pPr>
            <w:r>
              <w:rPr>
                <w:rFonts w:ascii="Arial" w:cs="Arial" w:eastAsia="Arial" w:hAnsi="Arial"/>
                <w:sz w:val="16"/>
                <w:szCs w:val="16"/>
                <w:color w:val="auto"/>
              </w:rPr>
              <w:t>Former Chief Operating Officer</w:t>
            </w:r>
          </w:p>
        </w:tc>
        <w:tc>
          <w:tcPr>
            <w:tcW w:w="2200" w:type="dxa"/>
            <w:vAlign w:val="bottom"/>
            <w:tcBorders>
              <w:bottom w:val="single" w:sz="8" w:color="0071CE"/>
            </w:tcBorders>
          </w:tcPr>
          <w:p>
            <w:pPr>
              <w:jc w:val="center"/>
              <w:ind w:left="141"/>
              <w:spacing w:after="0"/>
              <w:rPr>
                <w:sz w:val="20"/>
                <w:szCs w:val="20"/>
                <w:color w:val="auto"/>
              </w:rPr>
            </w:pPr>
            <w:r>
              <w:rPr>
                <w:rFonts w:ascii="Arial" w:cs="Arial" w:eastAsia="Arial" w:hAnsi="Arial"/>
                <w:sz w:val="16"/>
                <w:szCs w:val="16"/>
                <w:color w:val="auto"/>
              </w:rPr>
              <w:t>$650,000</w:t>
            </w:r>
          </w:p>
        </w:tc>
        <w:tc>
          <w:tcPr>
            <w:tcW w:w="1860" w:type="dxa"/>
            <w:vAlign w:val="bottom"/>
            <w:tcBorders>
              <w:bottom w:val="single" w:sz="8" w:color="0071CE"/>
            </w:tcBorders>
          </w:tcPr>
          <w:p>
            <w:pPr>
              <w:jc w:val="center"/>
              <w:ind w:left="1"/>
              <w:spacing w:after="0"/>
              <w:rPr>
                <w:sz w:val="20"/>
                <w:szCs w:val="20"/>
                <w:color w:val="auto"/>
              </w:rPr>
            </w:pPr>
            <w:r>
              <w:rPr>
                <w:rFonts w:ascii="Arial" w:cs="Arial" w:eastAsia="Arial" w:hAnsi="Arial"/>
                <w:sz w:val="16"/>
                <w:szCs w:val="16"/>
                <w:color w:val="auto"/>
              </w:rPr>
              <w:t>$500,000</w:t>
            </w:r>
          </w:p>
        </w:tc>
        <w:tc>
          <w:tcPr>
            <w:tcW w:w="1540" w:type="dxa"/>
            <w:vAlign w:val="bottom"/>
            <w:tcBorders>
              <w:bottom w:val="single" w:sz="8" w:color="0071CE"/>
            </w:tcBorders>
          </w:tcPr>
          <w:p>
            <w:pPr>
              <w:jc w:val="right"/>
              <w:ind w:right="221"/>
              <w:spacing w:after="0"/>
              <w:rPr>
                <w:sz w:val="20"/>
                <w:szCs w:val="20"/>
                <w:color w:val="auto"/>
              </w:rPr>
            </w:pPr>
            <w:r>
              <w:rPr>
                <w:rFonts w:ascii="Arial" w:cs="Arial" w:eastAsia="Arial" w:hAnsi="Arial"/>
                <w:sz w:val="16"/>
                <w:szCs w:val="16"/>
                <w:color w:val="auto"/>
              </w:rPr>
              <w:t>30%</w:t>
            </w:r>
          </w:p>
        </w:tc>
      </w:tr>
    </w:tbl>
    <w:p>
      <w:pPr>
        <w:spacing w:after="0" w:line="68"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Dr. San Martin and Mr. Hassard’s employment with the company began in November 2019 and January 2020, respectively.</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Dr. Bradshaw’s employment with the company began in November 2019 and terminated in November 2020.</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Dr. Given’s employment with the Company terminated in May 2020 upon his retirement. Dr. Given continues to serve as a consultant to the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actual base salaries paid to our NEOs in fiscal 2020 are set forth in the “Fiscal 2020 Summary Compensation Table” below.</w:t>
      </w: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Incentive Compensation</w:t>
      </w:r>
    </w:p>
    <w:p>
      <w:pPr>
        <w:spacing w:after="0" w:line="106"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We provide our executive officers, including our NEOs,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incentive compensation opportunity. Through a collaborative planning process involving our Board of Directors and management, corporate performance objectives are established at the beginning of each year and evaluated regularly by our Board for their continued relevance to our status.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108"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For purposes of the 2020 performance-based incentive awards, each of our NEOs was assigned a target annual incentive award opportunity based upon a percentage of his or her base salary. The target annual incentive award opportunities for our executive officers, including our NEOs, were recommended by our CEO (except with respect to his own target annual incentive award opportunity) based on each executive officer’s accountability, scope of responsibilities, and potential impact on our performance, and approved by the Compensation Committee. The determination of target annual incentive award opportunities was based on the factors described in “Governance of Executive Compensation Program — Compensation-Setting Process” above. Based on higher levels of control and accountability for our overall performance, a higher percentage of each executive officer’s total target cash compensation was dependent on his or her performance-based annual incentive awards.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target annual incentive award opportunities for our NEOs were as follows: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5580" w:type="dxa"/>
            <w:vAlign w:val="bottom"/>
            <w:shd w:val="clear" w:color="auto" w:fill="0071CE"/>
          </w:tcPr>
          <w:p>
            <w:pPr>
              <w:spacing w:after="0"/>
              <w:rPr>
                <w:sz w:val="15"/>
                <w:szCs w:val="15"/>
                <w:color w:val="auto"/>
              </w:rPr>
            </w:pPr>
          </w:p>
        </w:tc>
        <w:tc>
          <w:tcPr>
            <w:tcW w:w="3240" w:type="dxa"/>
            <w:vAlign w:val="bottom"/>
            <w:shd w:val="clear" w:color="auto" w:fill="0071CE"/>
          </w:tcPr>
          <w:p>
            <w:pPr>
              <w:jc w:val="center"/>
              <w:ind w:left="458"/>
              <w:spacing w:after="0"/>
              <w:rPr>
                <w:sz w:val="20"/>
                <w:szCs w:val="20"/>
                <w:color w:val="auto"/>
              </w:rPr>
            </w:pPr>
            <w:r>
              <w:rPr>
                <w:rFonts w:ascii="Arial" w:cs="Arial" w:eastAsia="Arial" w:hAnsi="Arial"/>
                <w:sz w:val="14"/>
                <w:szCs w:val="14"/>
                <w:b w:val="1"/>
                <w:bCs w:val="1"/>
                <w:color w:val="FFFFFF"/>
              </w:rPr>
              <w:t>2020 Target Annual</w:t>
            </w:r>
          </w:p>
        </w:tc>
        <w:tc>
          <w:tcPr>
            <w:tcW w:w="2200" w:type="dxa"/>
            <w:vAlign w:val="bottom"/>
            <w:shd w:val="clear" w:color="auto" w:fill="0071CE"/>
          </w:tcPr>
          <w:p>
            <w:pPr>
              <w:jc w:val="center"/>
              <w:ind w:left="418"/>
              <w:spacing w:after="0"/>
              <w:rPr>
                <w:sz w:val="20"/>
                <w:szCs w:val="20"/>
                <w:color w:val="auto"/>
              </w:rPr>
            </w:pPr>
            <w:r>
              <w:rPr>
                <w:rFonts w:ascii="Arial" w:cs="Arial" w:eastAsia="Arial" w:hAnsi="Arial"/>
                <w:sz w:val="14"/>
                <w:szCs w:val="14"/>
                <w:b w:val="1"/>
                <w:bCs w:val="1"/>
                <w:color w:val="FFFFFF"/>
              </w:rPr>
              <w:t>2019 Target Annual</w:t>
            </w:r>
          </w:p>
        </w:tc>
      </w:tr>
      <w:tr>
        <w:trPr>
          <w:trHeight w:val="162"/>
        </w:trPr>
        <w:tc>
          <w:tcPr>
            <w:tcW w:w="5580" w:type="dxa"/>
            <w:vAlign w:val="bottom"/>
            <w:shd w:val="clear" w:color="auto" w:fill="0071CE"/>
          </w:tcPr>
          <w:p>
            <w:pPr>
              <w:spacing w:after="0"/>
              <w:rPr>
                <w:sz w:val="14"/>
                <w:szCs w:val="14"/>
                <w:color w:val="auto"/>
              </w:rPr>
            </w:pPr>
          </w:p>
        </w:tc>
        <w:tc>
          <w:tcPr>
            <w:tcW w:w="3240" w:type="dxa"/>
            <w:vAlign w:val="bottom"/>
            <w:shd w:val="clear" w:color="auto" w:fill="0071CE"/>
          </w:tcPr>
          <w:p>
            <w:pPr>
              <w:jc w:val="center"/>
              <w:ind w:left="458"/>
              <w:spacing w:after="0"/>
              <w:rPr>
                <w:sz w:val="20"/>
                <w:szCs w:val="20"/>
                <w:color w:val="auto"/>
              </w:rPr>
            </w:pPr>
            <w:r>
              <w:rPr>
                <w:rFonts w:ascii="Arial" w:cs="Arial" w:eastAsia="Arial" w:hAnsi="Arial"/>
                <w:sz w:val="14"/>
                <w:szCs w:val="14"/>
                <w:b w:val="1"/>
                <w:bCs w:val="1"/>
                <w:color w:val="FFFFFF"/>
              </w:rPr>
              <w:t>Incentive Award</w:t>
            </w:r>
          </w:p>
        </w:tc>
        <w:tc>
          <w:tcPr>
            <w:tcW w:w="2200" w:type="dxa"/>
            <w:vAlign w:val="bottom"/>
            <w:shd w:val="clear" w:color="auto" w:fill="0071CE"/>
          </w:tcPr>
          <w:p>
            <w:pPr>
              <w:jc w:val="center"/>
              <w:ind w:left="418"/>
              <w:spacing w:after="0"/>
              <w:rPr>
                <w:sz w:val="20"/>
                <w:szCs w:val="20"/>
                <w:color w:val="auto"/>
              </w:rPr>
            </w:pPr>
            <w:r>
              <w:rPr>
                <w:rFonts w:ascii="Arial" w:cs="Arial" w:eastAsia="Arial" w:hAnsi="Arial"/>
                <w:sz w:val="14"/>
                <w:szCs w:val="14"/>
                <w:b w:val="1"/>
                <w:bCs w:val="1"/>
                <w:color w:val="FFFFFF"/>
              </w:rPr>
              <w:t>Incentive Award</w:t>
            </w:r>
          </w:p>
        </w:tc>
      </w:tr>
      <w:tr>
        <w:trPr>
          <w:trHeight w:val="162"/>
        </w:trPr>
        <w:tc>
          <w:tcPr>
            <w:tcW w:w="5580" w:type="dxa"/>
            <w:vAlign w:val="bottom"/>
            <w:shd w:val="clear" w:color="auto" w:fill="0071CE"/>
          </w:tcPr>
          <w:p>
            <w:pPr>
              <w:spacing w:after="0"/>
              <w:rPr>
                <w:sz w:val="14"/>
                <w:szCs w:val="14"/>
                <w:color w:val="auto"/>
              </w:rPr>
            </w:pPr>
          </w:p>
        </w:tc>
        <w:tc>
          <w:tcPr>
            <w:tcW w:w="3240" w:type="dxa"/>
            <w:vAlign w:val="bottom"/>
            <w:shd w:val="clear" w:color="auto" w:fill="0071CE"/>
          </w:tcPr>
          <w:p>
            <w:pPr>
              <w:jc w:val="center"/>
              <w:ind w:left="458"/>
              <w:spacing w:after="0"/>
              <w:rPr>
                <w:sz w:val="20"/>
                <w:szCs w:val="20"/>
                <w:color w:val="auto"/>
              </w:rPr>
            </w:pPr>
            <w:r>
              <w:rPr>
                <w:rFonts w:ascii="Arial" w:cs="Arial" w:eastAsia="Arial" w:hAnsi="Arial"/>
                <w:sz w:val="14"/>
                <w:szCs w:val="14"/>
                <w:b w:val="1"/>
                <w:bCs w:val="1"/>
                <w:color w:val="FFFFFF"/>
              </w:rPr>
              <w:t>Opportunity (as a</w:t>
            </w:r>
          </w:p>
        </w:tc>
        <w:tc>
          <w:tcPr>
            <w:tcW w:w="2200" w:type="dxa"/>
            <w:vAlign w:val="bottom"/>
            <w:shd w:val="clear" w:color="auto" w:fill="0071CE"/>
          </w:tcPr>
          <w:p>
            <w:pPr>
              <w:jc w:val="center"/>
              <w:ind w:left="418"/>
              <w:spacing w:after="0"/>
              <w:rPr>
                <w:sz w:val="20"/>
                <w:szCs w:val="20"/>
                <w:color w:val="auto"/>
              </w:rPr>
            </w:pPr>
            <w:r>
              <w:rPr>
                <w:rFonts w:ascii="Arial" w:cs="Arial" w:eastAsia="Arial" w:hAnsi="Arial"/>
                <w:sz w:val="14"/>
                <w:szCs w:val="14"/>
                <w:b w:val="1"/>
                <w:bCs w:val="1"/>
                <w:color w:val="FFFFFF"/>
              </w:rPr>
              <w:t>Opportunity (as a</w:t>
            </w:r>
          </w:p>
        </w:tc>
      </w:tr>
      <w:tr>
        <w:trPr>
          <w:trHeight w:val="162"/>
        </w:trPr>
        <w:tc>
          <w:tcPr>
            <w:tcW w:w="55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3240" w:type="dxa"/>
            <w:vAlign w:val="bottom"/>
            <w:shd w:val="clear" w:color="auto" w:fill="0071CE"/>
          </w:tcPr>
          <w:p>
            <w:pPr>
              <w:jc w:val="center"/>
              <w:ind w:left="458"/>
              <w:spacing w:after="0"/>
              <w:rPr>
                <w:sz w:val="20"/>
                <w:szCs w:val="20"/>
                <w:color w:val="auto"/>
              </w:rPr>
            </w:pPr>
            <w:r>
              <w:rPr>
                <w:rFonts w:ascii="Arial" w:cs="Arial" w:eastAsia="Arial" w:hAnsi="Arial"/>
                <w:sz w:val="14"/>
                <w:szCs w:val="14"/>
                <w:b w:val="1"/>
                <w:bCs w:val="1"/>
                <w:color w:val="FFFFFF"/>
              </w:rPr>
              <w:t>percentage of base</w:t>
            </w:r>
          </w:p>
        </w:tc>
        <w:tc>
          <w:tcPr>
            <w:tcW w:w="2200" w:type="dxa"/>
            <w:vAlign w:val="bottom"/>
            <w:shd w:val="clear" w:color="auto" w:fill="0071CE"/>
          </w:tcPr>
          <w:p>
            <w:pPr>
              <w:jc w:val="center"/>
              <w:ind w:left="418"/>
              <w:spacing w:after="0"/>
              <w:rPr>
                <w:sz w:val="20"/>
                <w:szCs w:val="20"/>
                <w:color w:val="auto"/>
              </w:rPr>
            </w:pPr>
            <w:r>
              <w:rPr>
                <w:rFonts w:ascii="Arial" w:cs="Arial" w:eastAsia="Arial" w:hAnsi="Arial"/>
                <w:sz w:val="14"/>
                <w:szCs w:val="14"/>
                <w:b w:val="1"/>
                <w:bCs w:val="1"/>
                <w:color w:val="FFFFFF"/>
              </w:rPr>
              <w:t>percentage of base</w:t>
            </w:r>
          </w:p>
        </w:tc>
      </w:tr>
      <w:tr>
        <w:trPr>
          <w:trHeight w:val="211"/>
        </w:trPr>
        <w:tc>
          <w:tcPr>
            <w:tcW w:w="558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3240" w:type="dxa"/>
            <w:vAlign w:val="bottom"/>
            <w:tcBorders>
              <w:bottom w:val="single" w:sz="8" w:color="0071CE"/>
            </w:tcBorders>
            <w:shd w:val="clear" w:color="auto" w:fill="0071CE"/>
          </w:tcPr>
          <w:p>
            <w:pPr>
              <w:jc w:val="center"/>
              <w:ind w:left="458"/>
              <w:spacing w:after="0"/>
              <w:rPr>
                <w:sz w:val="20"/>
                <w:szCs w:val="20"/>
                <w:color w:val="auto"/>
              </w:rPr>
            </w:pPr>
            <w:r>
              <w:rPr>
                <w:rFonts w:ascii="Arial" w:cs="Arial" w:eastAsia="Arial" w:hAnsi="Arial"/>
                <w:sz w:val="14"/>
                <w:szCs w:val="14"/>
                <w:b w:val="1"/>
                <w:bCs w:val="1"/>
                <w:color w:val="FFFFFF"/>
              </w:rPr>
              <w:t>salary)</w:t>
            </w:r>
          </w:p>
        </w:tc>
        <w:tc>
          <w:tcPr>
            <w:tcW w:w="2200" w:type="dxa"/>
            <w:vAlign w:val="bottom"/>
            <w:tcBorders>
              <w:bottom w:val="single" w:sz="8" w:color="0071CE"/>
            </w:tcBorders>
            <w:shd w:val="clear" w:color="auto" w:fill="0071CE"/>
          </w:tcPr>
          <w:p>
            <w:pPr>
              <w:jc w:val="center"/>
              <w:ind w:left="418"/>
              <w:spacing w:after="0"/>
              <w:rPr>
                <w:sz w:val="20"/>
                <w:szCs w:val="20"/>
                <w:color w:val="auto"/>
              </w:rPr>
            </w:pPr>
            <w:r>
              <w:rPr>
                <w:rFonts w:ascii="Arial" w:cs="Arial" w:eastAsia="Arial" w:hAnsi="Arial"/>
                <w:sz w:val="14"/>
                <w:szCs w:val="14"/>
                <w:b w:val="1"/>
                <w:bCs w:val="1"/>
                <w:color w:val="FFFFFF"/>
              </w:rPr>
              <w:t>salary)</w:t>
            </w:r>
          </w:p>
        </w:tc>
      </w:tr>
      <w:tr>
        <w:trPr>
          <w:trHeight w:val="270"/>
        </w:trPr>
        <w:tc>
          <w:tcPr>
            <w:tcW w:w="5580" w:type="dxa"/>
            <w:vAlign w:val="bottom"/>
            <w:shd w:val="clear" w:color="auto" w:fill="E5E5E5"/>
          </w:tcPr>
          <w:p>
            <w:pPr>
              <w:ind w:left="60"/>
              <w:spacing w:after="0"/>
              <w:rPr>
                <w:sz w:val="20"/>
                <w:szCs w:val="20"/>
                <w:color w:val="auto"/>
              </w:rPr>
            </w:pPr>
            <w:r>
              <w:rPr>
                <w:rFonts w:ascii="Arial" w:cs="Arial" w:eastAsia="Arial" w:hAnsi="Arial"/>
                <w:sz w:val="18"/>
                <w:szCs w:val="18"/>
                <w:color w:val="auto"/>
              </w:rPr>
              <w:t>Dr. Anzalone</w:t>
            </w:r>
          </w:p>
        </w:tc>
        <w:tc>
          <w:tcPr>
            <w:tcW w:w="3240" w:type="dxa"/>
            <w:vAlign w:val="bottom"/>
            <w:shd w:val="clear" w:color="auto" w:fill="E5E5E5"/>
          </w:tcPr>
          <w:p>
            <w:pPr>
              <w:jc w:val="right"/>
              <w:ind w:right="918"/>
              <w:spacing w:after="0"/>
              <w:rPr>
                <w:sz w:val="20"/>
                <w:szCs w:val="20"/>
                <w:color w:val="auto"/>
              </w:rPr>
            </w:pPr>
            <w:r>
              <w:rPr>
                <w:rFonts w:ascii="Arial" w:cs="Arial" w:eastAsia="Arial" w:hAnsi="Arial"/>
                <w:sz w:val="18"/>
                <w:szCs w:val="18"/>
                <w:color w:val="auto"/>
              </w:rPr>
              <w:t>100%</w:t>
            </w:r>
          </w:p>
        </w:tc>
        <w:tc>
          <w:tcPr>
            <w:tcW w:w="2200" w:type="dxa"/>
            <w:vAlign w:val="bottom"/>
            <w:shd w:val="clear" w:color="auto" w:fill="E5E5E5"/>
          </w:tcPr>
          <w:p>
            <w:pPr>
              <w:jc w:val="right"/>
              <w:ind w:right="418"/>
              <w:spacing w:after="0"/>
              <w:rPr>
                <w:sz w:val="20"/>
                <w:szCs w:val="20"/>
                <w:color w:val="auto"/>
              </w:rPr>
            </w:pPr>
            <w:r>
              <w:rPr>
                <w:rFonts w:ascii="Arial" w:cs="Arial" w:eastAsia="Arial" w:hAnsi="Arial"/>
                <w:sz w:val="18"/>
                <w:szCs w:val="18"/>
                <w:color w:val="auto"/>
              </w:rPr>
              <w:t>100%</w:t>
            </w:r>
          </w:p>
        </w:tc>
      </w:tr>
      <w:tr>
        <w:trPr>
          <w:trHeight w:val="265"/>
        </w:trPr>
        <w:tc>
          <w:tcPr>
            <w:tcW w:w="5580" w:type="dxa"/>
            <w:vAlign w:val="bottom"/>
          </w:tcPr>
          <w:p>
            <w:pPr>
              <w:ind w:left="60"/>
              <w:spacing w:after="0"/>
              <w:rPr>
                <w:sz w:val="20"/>
                <w:szCs w:val="20"/>
                <w:color w:val="auto"/>
              </w:rPr>
            </w:pPr>
            <w:r>
              <w:rPr>
                <w:rFonts w:ascii="Arial" w:cs="Arial" w:eastAsia="Arial" w:hAnsi="Arial"/>
                <w:sz w:val="18"/>
                <w:szCs w:val="18"/>
                <w:color w:val="auto"/>
              </w:rPr>
              <w:t>Mr. Myszkowski</w:t>
            </w:r>
          </w:p>
        </w:tc>
        <w:tc>
          <w:tcPr>
            <w:tcW w:w="3240" w:type="dxa"/>
            <w:vAlign w:val="bottom"/>
          </w:tcPr>
          <w:p>
            <w:pPr>
              <w:jc w:val="right"/>
              <w:ind w:right="918"/>
              <w:spacing w:after="0"/>
              <w:rPr>
                <w:sz w:val="20"/>
                <w:szCs w:val="20"/>
                <w:color w:val="auto"/>
              </w:rPr>
            </w:pPr>
            <w:r>
              <w:rPr>
                <w:rFonts w:ascii="Arial" w:cs="Arial" w:eastAsia="Arial" w:hAnsi="Arial"/>
                <w:sz w:val="18"/>
                <w:szCs w:val="18"/>
                <w:color w:val="auto"/>
              </w:rPr>
              <w:t>45%</w:t>
            </w:r>
          </w:p>
        </w:tc>
        <w:tc>
          <w:tcPr>
            <w:tcW w:w="2200" w:type="dxa"/>
            <w:vAlign w:val="bottom"/>
          </w:tcPr>
          <w:p>
            <w:pPr>
              <w:jc w:val="right"/>
              <w:ind w:right="418"/>
              <w:spacing w:after="0"/>
              <w:rPr>
                <w:sz w:val="20"/>
                <w:szCs w:val="20"/>
                <w:color w:val="auto"/>
              </w:rPr>
            </w:pPr>
            <w:r>
              <w:rPr>
                <w:rFonts w:ascii="Arial" w:cs="Arial" w:eastAsia="Arial" w:hAnsi="Arial"/>
                <w:sz w:val="18"/>
                <w:szCs w:val="18"/>
                <w:color w:val="auto"/>
              </w:rPr>
              <w:t>45%</w:t>
            </w:r>
          </w:p>
        </w:tc>
      </w:tr>
      <w:tr>
        <w:trPr>
          <w:trHeight w:val="275"/>
        </w:trPr>
        <w:tc>
          <w:tcPr>
            <w:tcW w:w="5580" w:type="dxa"/>
            <w:vAlign w:val="bottom"/>
            <w:shd w:val="clear" w:color="auto" w:fill="E5E5E5"/>
          </w:tcPr>
          <w:p>
            <w:pPr>
              <w:ind w:left="60"/>
              <w:spacing w:after="0"/>
              <w:rPr>
                <w:sz w:val="20"/>
                <w:szCs w:val="20"/>
                <w:color w:val="auto"/>
              </w:rPr>
            </w:pPr>
            <w:r>
              <w:rPr>
                <w:rFonts w:ascii="Arial" w:cs="Arial" w:eastAsia="Arial" w:hAnsi="Arial"/>
                <w:sz w:val="18"/>
                <w:szCs w:val="18"/>
                <w:color w:val="auto"/>
              </w:rPr>
              <w:t>Dr. San Martin (1)</w:t>
            </w:r>
          </w:p>
        </w:tc>
        <w:tc>
          <w:tcPr>
            <w:tcW w:w="3240" w:type="dxa"/>
            <w:vAlign w:val="bottom"/>
            <w:shd w:val="clear" w:color="auto" w:fill="E5E5E5"/>
          </w:tcPr>
          <w:p>
            <w:pPr>
              <w:jc w:val="right"/>
              <w:ind w:right="918"/>
              <w:spacing w:after="0"/>
              <w:rPr>
                <w:sz w:val="20"/>
                <w:szCs w:val="20"/>
                <w:color w:val="auto"/>
              </w:rPr>
            </w:pPr>
            <w:r>
              <w:rPr>
                <w:rFonts w:ascii="Arial" w:cs="Arial" w:eastAsia="Arial" w:hAnsi="Arial"/>
                <w:sz w:val="18"/>
                <w:szCs w:val="18"/>
                <w:color w:val="auto"/>
              </w:rPr>
              <w:t>40%</w:t>
            </w:r>
          </w:p>
        </w:tc>
        <w:tc>
          <w:tcPr>
            <w:tcW w:w="2200" w:type="dxa"/>
            <w:vAlign w:val="bottom"/>
            <w:shd w:val="clear" w:color="auto" w:fill="E5E5E5"/>
          </w:tcPr>
          <w:p>
            <w:pPr>
              <w:jc w:val="right"/>
              <w:ind w:right="578"/>
              <w:spacing w:after="0"/>
              <w:rPr>
                <w:sz w:val="20"/>
                <w:szCs w:val="20"/>
                <w:color w:val="auto"/>
              </w:rPr>
            </w:pPr>
            <w:r>
              <w:rPr>
                <w:rFonts w:ascii="Arial" w:cs="Arial" w:eastAsia="Arial" w:hAnsi="Arial"/>
                <w:sz w:val="18"/>
                <w:szCs w:val="18"/>
                <w:color w:val="auto"/>
              </w:rPr>
              <w:t>N/A</w:t>
            </w:r>
          </w:p>
        </w:tc>
      </w:tr>
      <w:tr>
        <w:trPr>
          <w:trHeight w:val="265"/>
        </w:trPr>
        <w:tc>
          <w:tcPr>
            <w:tcW w:w="5580" w:type="dxa"/>
            <w:vAlign w:val="bottom"/>
          </w:tcPr>
          <w:p>
            <w:pPr>
              <w:ind w:left="60"/>
              <w:spacing w:after="0"/>
              <w:rPr>
                <w:sz w:val="20"/>
                <w:szCs w:val="20"/>
                <w:color w:val="auto"/>
              </w:rPr>
            </w:pPr>
            <w:r>
              <w:rPr>
                <w:rFonts w:ascii="Arial" w:cs="Arial" w:eastAsia="Arial" w:hAnsi="Arial"/>
                <w:sz w:val="18"/>
                <w:szCs w:val="18"/>
                <w:color w:val="auto"/>
              </w:rPr>
              <w:t>Mr. Hassard (1)</w:t>
            </w:r>
          </w:p>
        </w:tc>
        <w:tc>
          <w:tcPr>
            <w:tcW w:w="3240" w:type="dxa"/>
            <w:vAlign w:val="bottom"/>
          </w:tcPr>
          <w:p>
            <w:pPr>
              <w:jc w:val="right"/>
              <w:ind w:right="918"/>
              <w:spacing w:after="0"/>
              <w:rPr>
                <w:sz w:val="20"/>
                <w:szCs w:val="20"/>
                <w:color w:val="auto"/>
              </w:rPr>
            </w:pPr>
            <w:r>
              <w:rPr>
                <w:rFonts w:ascii="Arial" w:cs="Arial" w:eastAsia="Arial" w:hAnsi="Arial"/>
                <w:sz w:val="18"/>
                <w:szCs w:val="18"/>
                <w:color w:val="auto"/>
              </w:rPr>
              <w:t>40%</w:t>
            </w:r>
          </w:p>
        </w:tc>
        <w:tc>
          <w:tcPr>
            <w:tcW w:w="2200" w:type="dxa"/>
            <w:vAlign w:val="bottom"/>
          </w:tcPr>
          <w:p>
            <w:pPr>
              <w:jc w:val="right"/>
              <w:ind w:right="578"/>
              <w:spacing w:after="0"/>
              <w:rPr>
                <w:sz w:val="20"/>
                <w:szCs w:val="20"/>
                <w:color w:val="auto"/>
              </w:rPr>
            </w:pPr>
            <w:r>
              <w:rPr>
                <w:rFonts w:ascii="Arial" w:cs="Arial" w:eastAsia="Arial" w:hAnsi="Arial"/>
                <w:sz w:val="18"/>
                <w:szCs w:val="18"/>
                <w:color w:val="auto"/>
              </w:rPr>
              <w:t>N/A</w:t>
            </w:r>
          </w:p>
        </w:tc>
      </w:tr>
      <w:tr>
        <w:trPr>
          <w:trHeight w:val="275"/>
        </w:trPr>
        <w:tc>
          <w:tcPr>
            <w:tcW w:w="5580" w:type="dxa"/>
            <w:vAlign w:val="bottom"/>
            <w:shd w:val="clear" w:color="auto" w:fill="E5E5E5"/>
          </w:tcPr>
          <w:p>
            <w:pPr>
              <w:ind w:left="60"/>
              <w:spacing w:after="0"/>
              <w:rPr>
                <w:sz w:val="20"/>
                <w:szCs w:val="20"/>
                <w:color w:val="auto"/>
              </w:rPr>
            </w:pPr>
            <w:r>
              <w:rPr>
                <w:rFonts w:ascii="Arial" w:cs="Arial" w:eastAsia="Arial" w:hAnsi="Arial"/>
                <w:sz w:val="18"/>
                <w:szCs w:val="18"/>
                <w:color w:val="auto"/>
              </w:rPr>
              <w:t>Dr. Bradshaw (2)</w:t>
            </w:r>
          </w:p>
        </w:tc>
        <w:tc>
          <w:tcPr>
            <w:tcW w:w="3240" w:type="dxa"/>
            <w:vAlign w:val="bottom"/>
            <w:shd w:val="clear" w:color="auto" w:fill="E5E5E5"/>
          </w:tcPr>
          <w:p>
            <w:pPr>
              <w:jc w:val="right"/>
              <w:ind w:right="918"/>
              <w:spacing w:after="0"/>
              <w:rPr>
                <w:sz w:val="20"/>
                <w:szCs w:val="20"/>
                <w:color w:val="auto"/>
              </w:rPr>
            </w:pPr>
            <w:r>
              <w:rPr>
                <w:rFonts w:ascii="Arial" w:cs="Arial" w:eastAsia="Arial" w:hAnsi="Arial"/>
                <w:sz w:val="18"/>
                <w:szCs w:val="18"/>
                <w:color w:val="auto"/>
              </w:rPr>
              <w:t>40%</w:t>
            </w:r>
          </w:p>
        </w:tc>
        <w:tc>
          <w:tcPr>
            <w:tcW w:w="2200" w:type="dxa"/>
            <w:vAlign w:val="bottom"/>
            <w:shd w:val="clear" w:color="auto" w:fill="E5E5E5"/>
          </w:tcPr>
          <w:p>
            <w:pPr>
              <w:jc w:val="right"/>
              <w:ind w:right="578"/>
              <w:spacing w:after="0"/>
              <w:rPr>
                <w:sz w:val="20"/>
                <w:szCs w:val="20"/>
                <w:color w:val="auto"/>
              </w:rPr>
            </w:pPr>
            <w:r>
              <w:rPr>
                <w:rFonts w:ascii="Arial" w:cs="Arial" w:eastAsia="Arial" w:hAnsi="Arial"/>
                <w:sz w:val="18"/>
                <w:szCs w:val="18"/>
                <w:color w:val="auto"/>
              </w:rPr>
              <w:t>N/A</w:t>
            </w:r>
          </w:p>
        </w:tc>
      </w:tr>
      <w:tr>
        <w:trPr>
          <w:trHeight w:val="265"/>
        </w:trPr>
        <w:tc>
          <w:tcPr>
            <w:tcW w:w="5580" w:type="dxa"/>
            <w:vAlign w:val="bottom"/>
            <w:tcBorders>
              <w:bottom w:val="single" w:sz="8" w:color="0071CE"/>
            </w:tcBorders>
          </w:tcPr>
          <w:p>
            <w:pPr>
              <w:ind w:left="60"/>
              <w:spacing w:after="0"/>
              <w:rPr>
                <w:sz w:val="20"/>
                <w:szCs w:val="20"/>
                <w:color w:val="auto"/>
              </w:rPr>
            </w:pPr>
            <w:r>
              <w:rPr>
                <w:rFonts w:ascii="Arial" w:cs="Arial" w:eastAsia="Arial" w:hAnsi="Arial"/>
                <w:sz w:val="18"/>
                <w:szCs w:val="18"/>
                <w:color w:val="auto"/>
              </w:rPr>
              <w:t>Dr. Given (3)</w:t>
            </w:r>
          </w:p>
        </w:tc>
        <w:tc>
          <w:tcPr>
            <w:tcW w:w="3240" w:type="dxa"/>
            <w:vAlign w:val="bottom"/>
            <w:tcBorders>
              <w:bottom w:val="single" w:sz="8" w:color="0071CE"/>
            </w:tcBorders>
          </w:tcPr>
          <w:p>
            <w:pPr>
              <w:jc w:val="right"/>
              <w:ind w:right="918"/>
              <w:spacing w:after="0"/>
              <w:rPr>
                <w:sz w:val="20"/>
                <w:szCs w:val="20"/>
                <w:color w:val="auto"/>
              </w:rPr>
            </w:pPr>
            <w:r>
              <w:rPr>
                <w:rFonts w:ascii="Arial" w:cs="Arial" w:eastAsia="Arial" w:hAnsi="Arial"/>
                <w:sz w:val="18"/>
                <w:szCs w:val="18"/>
                <w:color w:val="auto"/>
              </w:rPr>
              <w:t>70%</w:t>
            </w:r>
          </w:p>
        </w:tc>
        <w:tc>
          <w:tcPr>
            <w:tcW w:w="2200" w:type="dxa"/>
            <w:vAlign w:val="bottom"/>
            <w:tcBorders>
              <w:bottom w:val="single" w:sz="8" w:color="0071CE"/>
            </w:tcBorders>
          </w:tcPr>
          <w:p>
            <w:pPr>
              <w:jc w:val="right"/>
              <w:ind w:right="418"/>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94615</wp:posOffset>
            </wp:positionV>
            <wp:extent cx="98615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52"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Dr. San Martin and Mr. Hassard’s employment with the company began in November 2019 and January 2020, respectively.</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Dr. Bradshaw’s employment with the company began in November 2019 and terminated in November 2020.</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Dr. Given’s employment with the Company terminated in May 2020 upon his retirement. Dr. Given continues to serve as a consultant to the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Performance Objectives</w:t>
      </w:r>
    </w:p>
    <w:p>
      <w:pPr>
        <w:spacing w:after="0" w:line="108" w:lineRule="exact"/>
        <w:rPr>
          <w:sz w:val="20"/>
          <w:szCs w:val="20"/>
          <w:color w:val="auto"/>
        </w:rPr>
      </w:pPr>
    </w:p>
    <w:p>
      <w:pPr>
        <w:ind w:left="120" w:right="100"/>
        <w:spacing w:after="0" w:line="257" w:lineRule="auto"/>
        <w:rPr>
          <w:sz w:val="20"/>
          <w:szCs w:val="20"/>
          <w:color w:val="auto"/>
        </w:rPr>
      </w:pPr>
      <w:r>
        <w:rPr>
          <w:rFonts w:ascii="Arial" w:cs="Arial" w:eastAsia="Arial" w:hAnsi="Arial"/>
          <w:sz w:val="16"/>
          <w:szCs w:val="16"/>
          <w:color w:val="auto"/>
        </w:rPr>
        <w:t>In determining the amount of the annual incentive award for each of our executive officers, including each of our NEOs,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2020, the Compensation Committee determined that we had largely achieved or exceeded our primary business objectives set for calendar 2020, as described below.</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144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Goal</w:t>
            </w:r>
          </w:p>
        </w:tc>
        <w:tc>
          <w:tcPr>
            <w:tcW w:w="600" w:type="dxa"/>
            <w:vAlign w:val="bottom"/>
            <w:tcBorders>
              <w:bottom w:val="single" w:sz="8" w:color="0071CE"/>
            </w:tcBorders>
            <w:shd w:val="clear" w:color="auto" w:fill="0071CE"/>
          </w:tcPr>
          <w:p>
            <w:pPr>
              <w:spacing w:after="0"/>
              <w:rPr>
                <w:sz w:val="20"/>
                <w:szCs w:val="20"/>
                <w:color w:val="auto"/>
              </w:rPr>
            </w:pPr>
          </w:p>
        </w:tc>
        <w:tc>
          <w:tcPr>
            <w:tcW w:w="220" w:type="dxa"/>
            <w:vAlign w:val="bottom"/>
            <w:tcBorders>
              <w:bottom w:val="single" w:sz="8" w:color="0071CE"/>
            </w:tcBorders>
            <w:shd w:val="clear" w:color="auto" w:fill="0071CE"/>
          </w:tcPr>
          <w:p>
            <w:pPr>
              <w:spacing w:after="0"/>
              <w:rPr>
                <w:sz w:val="20"/>
                <w:szCs w:val="20"/>
                <w:color w:val="auto"/>
              </w:rPr>
            </w:pPr>
          </w:p>
        </w:tc>
        <w:tc>
          <w:tcPr>
            <w:tcW w:w="3360" w:type="dxa"/>
            <w:vAlign w:val="bottom"/>
            <w:tcBorders>
              <w:bottom w:val="single" w:sz="8" w:color="0071CE"/>
            </w:tcBorders>
            <w:shd w:val="clear" w:color="auto" w:fill="0071CE"/>
          </w:tcPr>
          <w:p>
            <w:pPr>
              <w:spacing w:after="0"/>
              <w:rPr>
                <w:sz w:val="20"/>
                <w:szCs w:val="20"/>
                <w:color w:val="auto"/>
              </w:rPr>
            </w:pPr>
          </w:p>
        </w:tc>
        <w:tc>
          <w:tcPr>
            <w:tcW w:w="5400" w:type="dxa"/>
            <w:vAlign w:val="bottom"/>
            <w:tcBorders>
              <w:bottom w:val="single" w:sz="8" w:color="0071CE"/>
            </w:tcBorders>
            <w:shd w:val="clear" w:color="auto" w:fill="0071CE"/>
          </w:tcPr>
          <w:p>
            <w:pPr>
              <w:ind w:left="1920"/>
              <w:spacing w:after="0"/>
              <w:rPr>
                <w:sz w:val="20"/>
                <w:szCs w:val="20"/>
                <w:color w:val="auto"/>
              </w:rPr>
            </w:pPr>
            <w:r>
              <w:rPr>
                <w:rFonts w:ascii="Arial" w:cs="Arial" w:eastAsia="Arial" w:hAnsi="Arial"/>
                <w:sz w:val="14"/>
                <w:szCs w:val="14"/>
                <w:b w:val="1"/>
                <w:bCs w:val="1"/>
                <w:color w:val="FFFFFF"/>
              </w:rPr>
              <w:t>Achievement Highlights</w:t>
            </w:r>
          </w:p>
        </w:tc>
      </w:tr>
      <w:tr>
        <w:trPr>
          <w:trHeight w:val="249"/>
        </w:trPr>
        <w:tc>
          <w:tcPr>
            <w:tcW w:w="204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Corporate Development</w:t>
            </w:r>
          </w:p>
        </w:tc>
        <w:tc>
          <w:tcPr>
            <w:tcW w:w="220" w:type="dxa"/>
            <w:vAlign w:val="bottom"/>
            <w:shd w:val="clear" w:color="auto" w:fill="E5E5E5"/>
          </w:tcPr>
          <w:p>
            <w:pPr>
              <w:spacing w:after="0"/>
              <w:rPr>
                <w:sz w:val="21"/>
                <w:szCs w:val="21"/>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6"/>
                <w:szCs w:val="16"/>
                <w:color w:val="auto"/>
              </w:rPr>
              <w:t>Weight: 23%</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Met, including some stretch goals</w:t>
            </w:r>
          </w:p>
        </w:tc>
      </w:tr>
      <w:tr>
        <w:trPr>
          <w:trHeight w:val="396"/>
        </w:trPr>
        <w:tc>
          <w:tcPr>
            <w:tcW w:w="5620" w:type="dxa"/>
            <w:vAlign w:val="bottom"/>
            <w:gridSpan w:val="4"/>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goals related to capital formation, market capitalization; board</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Ended fiscal year with $453M cash.</w:t>
            </w:r>
          </w:p>
        </w:tc>
      </w:tr>
      <w:tr>
        <w:trPr>
          <w:trHeight w:val="217"/>
        </w:trPr>
        <w:tc>
          <w:tcPr>
            <w:tcW w:w="2260" w:type="dxa"/>
            <w:vAlign w:val="bottom"/>
            <w:gridSpan w:val="3"/>
            <w:shd w:val="clear" w:color="auto" w:fill="E5E5E5"/>
          </w:tcPr>
          <w:p>
            <w:pPr>
              <w:ind w:left="60"/>
              <w:spacing w:after="0"/>
              <w:rPr>
                <w:sz w:val="20"/>
                <w:szCs w:val="20"/>
                <w:color w:val="auto"/>
              </w:rPr>
            </w:pPr>
            <w:r>
              <w:rPr>
                <w:rFonts w:ascii="Arial" w:cs="Arial" w:eastAsia="Arial" w:hAnsi="Arial"/>
                <w:sz w:val="16"/>
                <w:szCs w:val="16"/>
                <w:i w:val="1"/>
                <w:iCs w:val="1"/>
                <w:color w:val="auto"/>
              </w:rPr>
              <w:t>interface with scientific leaders</w:t>
            </w:r>
          </w:p>
        </w:tc>
        <w:tc>
          <w:tcPr>
            <w:tcW w:w="3360" w:type="dxa"/>
            <w:vAlign w:val="bottom"/>
            <w:shd w:val="clear" w:color="auto" w:fill="E5E5E5"/>
          </w:tcPr>
          <w:p>
            <w:pPr>
              <w:spacing w:after="0"/>
              <w:rPr>
                <w:sz w:val="18"/>
                <w:szCs w:val="18"/>
                <w:color w:val="auto"/>
              </w:rPr>
            </w:pPr>
          </w:p>
        </w:tc>
        <w:tc>
          <w:tcPr>
            <w:tcW w:w="5400" w:type="dxa"/>
            <w:vAlign w:val="bottom"/>
            <w:shd w:val="clear" w:color="auto" w:fill="E5E5E5"/>
          </w:tcPr>
          <w:p>
            <w:pPr>
              <w:spacing w:after="0"/>
              <w:rPr>
                <w:sz w:val="18"/>
                <w:szCs w:val="18"/>
                <w:color w:val="auto"/>
              </w:rPr>
            </w:pPr>
          </w:p>
        </w:tc>
      </w:tr>
      <w:tr>
        <w:trPr>
          <w:trHeight w:val="243"/>
        </w:trPr>
        <w:tc>
          <w:tcPr>
            <w:tcW w:w="144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3360" w:type="dxa"/>
            <w:vAlign w:val="bottom"/>
            <w:shd w:val="clear" w:color="auto" w:fill="E5E5E5"/>
          </w:tcPr>
          <w:p>
            <w:pPr>
              <w:spacing w:after="0"/>
              <w:rPr>
                <w:sz w:val="21"/>
                <w:szCs w:val="21"/>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Completed employee engagement survey and related activities.</w:t>
            </w:r>
          </w:p>
        </w:tc>
      </w:tr>
      <w:tr>
        <w:trPr>
          <w:trHeight w:val="83"/>
        </w:trPr>
        <w:tc>
          <w:tcPr>
            <w:tcW w:w="2260" w:type="dxa"/>
            <w:vAlign w:val="bottom"/>
            <w:gridSpan w:val="3"/>
            <w:shd w:val="clear" w:color="auto" w:fill="E5E5E5"/>
          </w:tcPr>
          <w:p>
            <w:pPr>
              <w:spacing w:after="0"/>
              <w:rPr>
                <w:sz w:val="7"/>
                <w:szCs w:val="7"/>
                <w:color w:val="auto"/>
              </w:rPr>
            </w:pPr>
          </w:p>
        </w:tc>
        <w:tc>
          <w:tcPr>
            <w:tcW w:w="3360" w:type="dxa"/>
            <w:vAlign w:val="bottom"/>
            <w:shd w:val="clear" w:color="auto" w:fill="E5E5E5"/>
          </w:tcPr>
          <w:p>
            <w:pPr>
              <w:spacing w:after="0"/>
              <w:rPr>
                <w:sz w:val="7"/>
                <w:szCs w:val="7"/>
                <w:color w:val="auto"/>
              </w:rPr>
            </w:pPr>
          </w:p>
        </w:tc>
        <w:tc>
          <w:tcPr>
            <w:tcW w:w="5400" w:type="dxa"/>
            <w:vAlign w:val="bottom"/>
            <w:shd w:val="clear" w:color="auto" w:fill="E5E5E5"/>
          </w:tcPr>
          <w:p>
            <w:pPr>
              <w:spacing w:after="0"/>
              <w:rPr>
                <w:sz w:val="7"/>
                <w:szCs w:val="7"/>
                <w:color w:val="auto"/>
              </w:rPr>
            </w:pPr>
          </w:p>
        </w:tc>
      </w:tr>
      <w:tr>
        <w:trPr>
          <w:trHeight w:val="249"/>
        </w:trPr>
        <w:tc>
          <w:tcPr>
            <w:tcW w:w="2260" w:type="dxa"/>
            <w:vAlign w:val="bottom"/>
            <w:gridSpan w:val="3"/>
          </w:tcPr>
          <w:p>
            <w:pPr>
              <w:ind w:left="60"/>
              <w:spacing w:after="0"/>
              <w:rPr>
                <w:sz w:val="20"/>
                <w:szCs w:val="20"/>
                <w:color w:val="auto"/>
              </w:rPr>
            </w:pPr>
            <w:r>
              <w:rPr>
                <w:rFonts w:ascii="Arial" w:cs="Arial" w:eastAsia="Arial" w:hAnsi="Arial"/>
                <w:sz w:val="16"/>
                <w:szCs w:val="16"/>
                <w:b w:val="1"/>
                <w:bCs w:val="1"/>
                <w:color w:val="auto"/>
              </w:rPr>
              <w:t>New Business Development</w:t>
            </w:r>
          </w:p>
        </w:tc>
        <w:tc>
          <w:tcPr>
            <w:tcW w:w="3360" w:type="dxa"/>
            <w:vAlign w:val="bottom"/>
          </w:tcPr>
          <w:p>
            <w:pPr>
              <w:ind w:left="320"/>
              <w:spacing w:after="0"/>
              <w:rPr>
                <w:sz w:val="20"/>
                <w:szCs w:val="20"/>
                <w:color w:val="auto"/>
              </w:rPr>
            </w:pPr>
            <w:r>
              <w:rPr>
                <w:rFonts w:ascii="Arial" w:cs="Arial" w:eastAsia="Arial" w:hAnsi="Arial"/>
                <w:sz w:val="16"/>
                <w:szCs w:val="16"/>
                <w:color w:val="auto"/>
              </w:rPr>
              <w:t>Weight: 17%</w:t>
            </w:r>
          </w:p>
        </w:tc>
        <w:tc>
          <w:tcPr>
            <w:tcW w:w="5400" w:type="dxa"/>
            <w:vAlign w:val="bottom"/>
          </w:tcPr>
          <w:p>
            <w:pPr>
              <w:ind w:left="120"/>
              <w:spacing w:after="0"/>
              <w:rPr>
                <w:sz w:val="20"/>
                <w:szCs w:val="20"/>
                <w:color w:val="auto"/>
              </w:rPr>
            </w:pPr>
            <w:r>
              <w:rPr>
                <w:rFonts w:ascii="Arial" w:cs="Arial" w:eastAsia="Arial" w:hAnsi="Arial"/>
                <w:sz w:val="16"/>
                <w:szCs w:val="16"/>
                <w:color w:val="auto"/>
              </w:rPr>
              <w:t>Met and exceeded</w:t>
            </w:r>
          </w:p>
        </w:tc>
      </w:tr>
      <w:tr>
        <w:trPr>
          <w:trHeight w:val="394"/>
        </w:trPr>
        <w:tc>
          <w:tcPr>
            <w:tcW w:w="5620" w:type="dxa"/>
            <w:vAlign w:val="bottom"/>
            <w:gridSpan w:val="4"/>
          </w:tcPr>
          <w:p>
            <w:pPr>
              <w:ind w:left="60"/>
              <w:spacing w:after="0"/>
              <w:rPr>
                <w:sz w:val="20"/>
                <w:szCs w:val="20"/>
                <w:color w:val="auto"/>
              </w:rPr>
            </w:pPr>
            <w:r>
              <w:rPr>
                <w:rFonts w:ascii="Arial" w:cs="Arial" w:eastAsia="Arial" w:hAnsi="Arial"/>
                <w:sz w:val="16"/>
                <w:szCs w:val="16"/>
                <w:i w:val="1"/>
                <w:iCs w:val="1"/>
                <w:color w:val="auto"/>
              </w:rPr>
              <w:t>Meet certain goals with regard to new pharma collaborations</w:t>
            </w:r>
          </w:p>
        </w:tc>
        <w:tc>
          <w:tcPr>
            <w:tcW w:w="5400" w:type="dxa"/>
            <w:vAlign w:val="bottom"/>
          </w:tcPr>
          <w:p>
            <w:pPr>
              <w:ind w:left="120"/>
              <w:spacing w:after="0"/>
              <w:rPr>
                <w:sz w:val="20"/>
                <w:szCs w:val="20"/>
                <w:color w:val="auto"/>
              </w:rPr>
            </w:pPr>
            <w:r>
              <w:rPr>
                <w:rFonts w:ascii="Arial" w:cs="Arial" w:eastAsia="Arial" w:hAnsi="Arial"/>
                <w:sz w:val="16"/>
                <w:szCs w:val="16"/>
                <w:color w:val="auto"/>
              </w:rPr>
              <w:t>Entered a collaboration and licensing agreement with Takeda relating to</w:t>
            </w:r>
          </w:p>
        </w:tc>
      </w:tr>
      <w:tr>
        <w:trPr>
          <w:trHeight w:val="219"/>
        </w:trPr>
        <w:tc>
          <w:tcPr>
            <w:tcW w:w="1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ARO-AAT.</w:t>
            </w:r>
          </w:p>
        </w:tc>
      </w:tr>
      <w:tr>
        <w:trPr>
          <w:trHeight w:val="83"/>
        </w:trPr>
        <w:tc>
          <w:tcPr>
            <w:tcW w:w="1440" w:type="dxa"/>
            <w:vAlign w:val="bottom"/>
          </w:tcPr>
          <w:p>
            <w:pPr>
              <w:spacing w:after="0"/>
              <w:rPr>
                <w:sz w:val="7"/>
                <w:szCs w:val="7"/>
                <w:color w:val="auto"/>
              </w:rPr>
            </w:pPr>
          </w:p>
        </w:tc>
        <w:tc>
          <w:tcPr>
            <w:tcW w:w="4180" w:type="dxa"/>
            <w:vAlign w:val="bottom"/>
            <w:gridSpan w:val="3"/>
          </w:tcPr>
          <w:p>
            <w:pPr>
              <w:spacing w:after="0"/>
              <w:rPr>
                <w:sz w:val="7"/>
                <w:szCs w:val="7"/>
                <w:color w:val="auto"/>
              </w:rPr>
            </w:pPr>
          </w:p>
        </w:tc>
        <w:tc>
          <w:tcPr>
            <w:tcW w:w="5400" w:type="dxa"/>
            <w:vAlign w:val="bottom"/>
          </w:tcPr>
          <w:p>
            <w:pPr>
              <w:spacing w:after="0"/>
              <w:rPr>
                <w:sz w:val="7"/>
                <w:szCs w:val="7"/>
                <w:color w:val="auto"/>
              </w:rPr>
            </w:pPr>
          </w:p>
        </w:tc>
      </w:tr>
      <w:tr>
        <w:trPr>
          <w:trHeight w:val="24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Manufacturing</w:t>
            </w:r>
          </w:p>
        </w:tc>
        <w:tc>
          <w:tcPr>
            <w:tcW w:w="418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Weight: 10%</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Met</w:t>
            </w:r>
          </w:p>
        </w:tc>
      </w:tr>
      <w:tr>
        <w:trPr>
          <w:trHeight w:val="424"/>
        </w:trPr>
        <w:tc>
          <w:tcPr>
            <w:tcW w:w="5620" w:type="dxa"/>
            <w:vAlign w:val="bottom"/>
            <w:gridSpan w:val="4"/>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requirements pursuant to manufacturing capabilities</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Manufactured significant GMP materials in-house.</w:t>
            </w:r>
          </w:p>
        </w:tc>
      </w:tr>
      <w:tr>
        <w:trPr>
          <w:trHeight w:val="432"/>
        </w:trPr>
        <w:tc>
          <w:tcPr>
            <w:tcW w:w="144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336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Manufactured GLP material in-house using novel manufacturing process.</w:t>
            </w:r>
          </w:p>
        </w:tc>
      </w:tr>
      <w:tr>
        <w:trPr>
          <w:trHeight w:val="83"/>
        </w:trPr>
        <w:tc>
          <w:tcPr>
            <w:tcW w:w="2040" w:type="dxa"/>
            <w:vAlign w:val="bottom"/>
            <w:gridSpan w:val="2"/>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3360" w:type="dxa"/>
            <w:vAlign w:val="bottom"/>
            <w:shd w:val="clear" w:color="auto" w:fill="E5E5E5"/>
          </w:tcPr>
          <w:p>
            <w:pPr>
              <w:spacing w:after="0"/>
              <w:rPr>
                <w:sz w:val="7"/>
                <w:szCs w:val="7"/>
                <w:color w:val="auto"/>
              </w:rPr>
            </w:pPr>
          </w:p>
        </w:tc>
        <w:tc>
          <w:tcPr>
            <w:tcW w:w="5400" w:type="dxa"/>
            <w:vAlign w:val="bottom"/>
            <w:shd w:val="clear" w:color="auto" w:fill="E5E5E5"/>
          </w:tcPr>
          <w:p>
            <w:pPr>
              <w:spacing w:after="0"/>
              <w:rPr>
                <w:sz w:val="7"/>
                <w:szCs w:val="7"/>
                <w:color w:val="auto"/>
              </w:rPr>
            </w:pPr>
          </w:p>
        </w:tc>
      </w:tr>
      <w:tr>
        <w:trPr>
          <w:trHeight w:val="249"/>
        </w:trPr>
        <w:tc>
          <w:tcPr>
            <w:tcW w:w="2040" w:type="dxa"/>
            <w:vAlign w:val="bottom"/>
            <w:gridSpan w:val="2"/>
          </w:tcPr>
          <w:p>
            <w:pPr>
              <w:ind w:left="60"/>
              <w:spacing w:after="0"/>
              <w:rPr>
                <w:sz w:val="20"/>
                <w:szCs w:val="20"/>
                <w:color w:val="auto"/>
              </w:rPr>
            </w:pPr>
            <w:r>
              <w:rPr>
                <w:rFonts w:ascii="Arial" w:cs="Arial" w:eastAsia="Arial" w:hAnsi="Arial"/>
                <w:sz w:val="16"/>
                <w:szCs w:val="16"/>
                <w:b w:val="1"/>
                <w:bCs w:val="1"/>
                <w:color w:val="auto"/>
              </w:rPr>
              <w:t>Pre-Clinical Development</w:t>
            </w:r>
          </w:p>
        </w:tc>
        <w:tc>
          <w:tcPr>
            <w:tcW w:w="220" w:type="dxa"/>
            <w:vAlign w:val="bottom"/>
          </w:tcPr>
          <w:p>
            <w:pPr>
              <w:spacing w:after="0"/>
              <w:rPr>
                <w:sz w:val="21"/>
                <w:szCs w:val="21"/>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Weight: 14%</w:t>
            </w:r>
          </w:p>
        </w:tc>
        <w:tc>
          <w:tcPr>
            <w:tcW w:w="5400" w:type="dxa"/>
            <w:vAlign w:val="bottom"/>
          </w:tcPr>
          <w:p>
            <w:pPr>
              <w:ind w:left="120"/>
              <w:spacing w:after="0"/>
              <w:rPr>
                <w:sz w:val="20"/>
                <w:szCs w:val="20"/>
                <w:color w:val="auto"/>
              </w:rPr>
            </w:pPr>
            <w:r>
              <w:rPr>
                <w:rFonts w:ascii="Arial" w:cs="Arial" w:eastAsia="Arial" w:hAnsi="Arial"/>
                <w:sz w:val="16"/>
                <w:szCs w:val="16"/>
                <w:color w:val="auto"/>
              </w:rPr>
              <w:t>Not Met</w:t>
            </w:r>
          </w:p>
        </w:tc>
      </w:tr>
      <w:tr>
        <w:trPr>
          <w:trHeight w:val="394"/>
        </w:trPr>
        <w:tc>
          <w:tcPr>
            <w:tcW w:w="5620" w:type="dxa"/>
            <w:vAlign w:val="bottom"/>
            <w:gridSpan w:val="4"/>
          </w:tcPr>
          <w:p>
            <w:pPr>
              <w:ind w:left="60"/>
              <w:spacing w:after="0"/>
              <w:rPr>
                <w:sz w:val="20"/>
                <w:szCs w:val="20"/>
                <w:color w:val="auto"/>
              </w:rPr>
            </w:pPr>
            <w:r>
              <w:rPr>
                <w:rFonts w:ascii="Arial" w:cs="Arial" w:eastAsia="Arial" w:hAnsi="Arial"/>
                <w:sz w:val="16"/>
                <w:szCs w:val="16"/>
                <w:i w:val="1"/>
                <w:iCs w:val="1"/>
                <w:color w:val="auto"/>
              </w:rPr>
              <w:t>Meet certain goals with regard to progress on the Company’s pre-clinical</w:t>
            </w:r>
          </w:p>
        </w:tc>
        <w:tc>
          <w:tcPr>
            <w:tcW w:w="5400" w:type="dxa"/>
            <w:vAlign w:val="bottom"/>
          </w:tcPr>
          <w:p>
            <w:pPr>
              <w:ind w:left="120"/>
              <w:spacing w:after="0"/>
              <w:rPr>
                <w:sz w:val="20"/>
                <w:szCs w:val="20"/>
                <w:color w:val="auto"/>
              </w:rPr>
            </w:pPr>
            <w:r>
              <w:rPr>
                <w:rFonts w:ascii="Arial" w:cs="Arial" w:eastAsia="Arial" w:hAnsi="Arial"/>
                <w:sz w:val="16"/>
                <w:szCs w:val="16"/>
                <w:color w:val="auto"/>
              </w:rPr>
              <w:t>Some goals not met due to worldwide shortage of non-human primates</w:t>
            </w:r>
          </w:p>
        </w:tc>
      </w:tr>
      <w:tr>
        <w:trPr>
          <w:trHeight w:val="219"/>
        </w:trPr>
        <w:tc>
          <w:tcPr>
            <w:tcW w:w="1440" w:type="dxa"/>
            <w:vAlign w:val="bottom"/>
          </w:tcPr>
          <w:p>
            <w:pPr>
              <w:ind w:left="60"/>
              <w:spacing w:after="0"/>
              <w:rPr>
                <w:sz w:val="20"/>
                <w:szCs w:val="20"/>
                <w:color w:val="auto"/>
              </w:rPr>
            </w:pPr>
            <w:r>
              <w:rPr>
                <w:rFonts w:ascii="Arial" w:cs="Arial" w:eastAsia="Arial" w:hAnsi="Arial"/>
                <w:sz w:val="16"/>
                <w:szCs w:val="16"/>
                <w:i w:val="1"/>
                <w:iCs w:val="1"/>
                <w:color w:val="auto"/>
              </w:rPr>
              <w:t>programs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relating to COVID-19 pandemic.</w:t>
            </w:r>
          </w:p>
        </w:tc>
      </w:tr>
      <w:tr>
        <w:trPr>
          <w:trHeight w:val="83"/>
        </w:trPr>
        <w:tc>
          <w:tcPr>
            <w:tcW w:w="2040" w:type="dxa"/>
            <w:vAlign w:val="bottom"/>
            <w:gridSpan w:val="2"/>
          </w:tcPr>
          <w:p>
            <w:pPr>
              <w:spacing w:after="0"/>
              <w:rPr>
                <w:sz w:val="7"/>
                <w:szCs w:val="7"/>
                <w:color w:val="auto"/>
              </w:rPr>
            </w:pPr>
          </w:p>
        </w:tc>
        <w:tc>
          <w:tcPr>
            <w:tcW w:w="3580" w:type="dxa"/>
            <w:vAlign w:val="bottom"/>
            <w:gridSpan w:val="2"/>
          </w:tcPr>
          <w:p>
            <w:pPr>
              <w:spacing w:after="0"/>
              <w:rPr>
                <w:sz w:val="7"/>
                <w:szCs w:val="7"/>
                <w:color w:val="auto"/>
              </w:rPr>
            </w:pPr>
          </w:p>
        </w:tc>
        <w:tc>
          <w:tcPr>
            <w:tcW w:w="5400" w:type="dxa"/>
            <w:vAlign w:val="bottom"/>
          </w:tcPr>
          <w:p>
            <w:pPr>
              <w:spacing w:after="0"/>
              <w:rPr>
                <w:sz w:val="7"/>
                <w:szCs w:val="7"/>
                <w:color w:val="auto"/>
              </w:rPr>
            </w:pPr>
          </w:p>
        </w:tc>
      </w:tr>
      <w:tr>
        <w:trPr>
          <w:trHeight w:val="249"/>
        </w:trPr>
        <w:tc>
          <w:tcPr>
            <w:tcW w:w="204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Clinical Development</w:t>
            </w:r>
          </w:p>
        </w:tc>
        <w:tc>
          <w:tcPr>
            <w:tcW w:w="358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Weight: 28%</w:t>
            </w: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Met, except certain stretch goals due to COVID-19 pandemic</w:t>
            </w:r>
          </w:p>
        </w:tc>
      </w:tr>
      <w:tr>
        <w:trPr>
          <w:trHeight w:val="424"/>
        </w:trPr>
        <w:tc>
          <w:tcPr>
            <w:tcW w:w="144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336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Completed enrollment for ARO-ANG3 and ARO-APOC3 Phase 1/2 trials</w:t>
            </w:r>
          </w:p>
        </w:tc>
      </w:tr>
      <w:tr>
        <w:trPr>
          <w:trHeight w:val="432"/>
        </w:trPr>
        <w:tc>
          <w:tcPr>
            <w:tcW w:w="144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336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Completed enrollment of ARO-AAT Phase 2 open label study</w:t>
            </w:r>
          </w:p>
        </w:tc>
      </w:tr>
      <w:tr>
        <w:trPr>
          <w:trHeight w:val="432"/>
        </w:trPr>
        <w:tc>
          <w:tcPr>
            <w:tcW w:w="144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336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Presented AAT open label study data.</w:t>
            </w:r>
          </w:p>
        </w:tc>
      </w:tr>
      <w:tr>
        <w:trPr>
          <w:trHeight w:val="432"/>
        </w:trPr>
        <w:tc>
          <w:tcPr>
            <w:tcW w:w="144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3360" w:type="dxa"/>
            <w:vAlign w:val="bottom"/>
            <w:shd w:val="clear" w:color="auto" w:fill="E5E5E5"/>
          </w:tcPr>
          <w:p>
            <w:pPr>
              <w:spacing w:after="0"/>
              <w:rPr>
                <w:sz w:val="24"/>
                <w:szCs w:val="24"/>
                <w:color w:val="auto"/>
              </w:rPr>
            </w:pPr>
          </w:p>
        </w:tc>
        <w:tc>
          <w:tcPr>
            <w:tcW w:w="54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Completed enrollment of healthy volunteers in ARO-HSD Phase 1/2 trial</w:t>
            </w:r>
          </w:p>
        </w:tc>
      </w:tr>
      <w:tr>
        <w:trPr>
          <w:trHeight w:val="83"/>
        </w:trPr>
        <w:tc>
          <w:tcPr>
            <w:tcW w:w="1440" w:type="dxa"/>
            <w:vAlign w:val="bottom"/>
            <w:shd w:val="clear" w:color="auto" w:fill="E5E5E5"/>
          </w:tcPr>
          <w:p>
            <w:pPr>
              <w:spacing w:after="0"/>
              <w:rPr>
                <w:sz w:val="7"/>
                <w:szCs w:val="7"/>
                <w:color w:val="auto"/>
              </w:rPr>
            </w:pPr>
          </w:p>
        </w:tc>
        <w:tc>
          <w:tcPr>
            <w:tcW w:w="4180" w:type="dxa"/>
            <w:vAlign w:val="bottom"/>
            <w:gridSpan w:val="3"/>
            <w:shd w:val="clear" w:color="auto" w:fill="E5E5E5"/>
          </w:tcPr>
          <w:p>
            <w:pPr>
              <w:spacing w:after="0"/>
              <w:rPr>
                <w:sz w:val="7"/>
                <w:szCs w:val="7"/>
                <w:color w:val="auto"/>
              </w:rPr>
            </w:pPr>
          </w:p>
        </w:tc>
        <w:tc>
          <w:tcPr>
            <w:tcW w:w="5400" w:type="dxa"/>
            <w:vAlign w:val="bottom"/>
            <w:shd w:val="clear" w:color="auto" w:fill="E5E5E5"/>
          </w:tcPr>
          <w:p>
            <w:pPr>
              <w:spacing w:after="0"/>
              <w:rPr>
                <w:sz w:val="7"/>
                <w:szCs w:val="7"/>
                <w:color w:val="auto"/>
              </w:rPr>
            </w:pPr>
          </w:p>
        </w:tc>
      </w:tr>
      <w:tr>
        <w:trPr>
          <w:trHeight w:val="249"/>
        </w:trPr>
        <w:tc>
          <w:tcPr>
            <w:tcW w:w="1440" w:type="dxa"/>
            <w:vAlign w:val="bottom"/>
          </w:tcPr>
          <w:p>
            <w:pPr>
              <w:ind w:left="60"/>
              <w:spacing w:after="0"/>
              <w:rPr>
                <w:sz w:val="20"/>
                <w:szCs w:val="20"/>
                <w:color w:val="auto"/>
              </w:rPr>
            </w:pPr>
            <w:r>
              <w:rPr>
                <w:rFonts w:ascii="Arial" w:cs="Arial" w:eastAsia="Arial" w:hAnsi="Arial"/>
                <w:sz w:val="16"/>
                <w:szCs w:val="16"/>
                <w:b w:val="1"/>
                <w:bCs w:val="1"/>
                <w:color w:val="auto"/>
              </w:rPr>
              <w:t>Next Generation</w:t>
            </w:r>
          </w:p>
        </w:tc>
        <w:tc>
          <w:tcPr>
            <w:tcW w:w="4180" w:type="dxa"/>
            <w:vAlign w:val="bottom"/>
            <w:gridSpan w:val="3"/>
          </w:tcPr>
          <w:p>
            <w:pPr>
              <w:ind w:left="240"/>
              <w:spacing w:after="0"/>
              <w:rPr>
                <w:sz w:val="20"/>
                <w:szCs w:val="20"/>
                <w:color w:val="auto"/>
              </w:rPr>
            </w:pPr>
            <w:r>
              <w:rPr>
                <w:rFonts w:ascii="Arial" w:cs="Arial" w:eastAsia="Arial" w:hAnsi="Arial"/>
                <w:sz w:val="16"/>
                <w:szCs w:val="16"/>
                <w:color w:val="auto"/>
              </w:rPr>
              <w:t>Weight: 8%</w:t>
            </w:r>
          </w:p>
        </w:tc>
        <w:tc>
          <w:tcPr>
            <w:tcW w:w="5400" w:type="dxa"/>
            <w:vAlign w:val="bottom"/>
          </w:tcPr>
          <w:p>
            <w:pPr>
              <w:ind w:left="120"/>
              <w:spacing w:after="0"/>
              <w:rPr>
                <w:sz w:val="20"/>
                <w:szCs w:val="20"/>
                <w:color w:val="auto"/>
              </w:rPr>
            </w:pPr>
            <w:r>
              <w:rPr>
                <w:rFonts w:ascii="Arial" w:cs="Arial" w:eastAsia="Arial" w:hAnsi="Arial"/>
                <w:sz w:val="16"/>
                <w:szCs w:val="16"/>
                <w:color w:val="auto"/>
              </w:rPr>
              <w:t>Met and exceeded</w:t>
            </w:r>
          </w:p>
        </w:tc>
      </w:tr>
      <w:tr>
        <w:trPr>
          <w:trHeight w:val="424"/>
        </w:trPr>
        <w:tc>
          <w:tcPr>
            <w:tcW w:w="5620" w:type="dxa"/>
            <w:vAlign w:val="bottom"/>
            <w:gridSpan w:val="4"/>
          </w:tcPr>
          <w:p>
            <w:pPr>
              <w:ind w:left="60"/>
              <w:spacing w:after="0"/>
              <w:rPr>
                <w:sz w:val="20"/>
                <w:szCs w:val="20"/>
                <w:color w:val="auto"/>
              </w:rPr>
            </w:pPr>
            <w:r>
              <w:rPr>
                <w:rFonts w:ascii="Arial" w:cs="Arial" w:eastAsia="Arial" w:hAnsi="Arial"/>
                <w:sz w:val="16"/>
                <w:szCs w:val="16"/>
                <w:i w:val="1"/>
                <w:iCs w:val="1"/>
                <w:color w:val="auto"/>
              </w:rPr>
              <w:t>Meet certain goals for Company’s new capabilities</w:t>
            </w:r>
          </w:p>
        </w:tc>
        <w:tc>
          <w:tcPr>
            <w:tcW w:w="5400" w:type="dxa"/>
            <w:vAlign w:val="bottom"/>
          </w:tcPr>
          <w:p>
            <w:pPr>
              <w:ind w:left="120"/>
              <w:spacing w:after="0"/>
              <w:rPr>
                <w:sz w:val="20"/>
                <w:szCs w:val="20"/>
                <w:color w:val="auto"/>
              </w:rPr>
            </w:pPr>
            <w:r>
              <w:rPr>
                <w:rFonts w:ascii="Arial" w:cs="Arial" w:eastAsia="Arial" w:hAnsi="Arial"/>
                <w:sz w:val="16"/>
                <w:szCs w:val="16"/>
                <w:color w:val="auto"/>
              </w:rPr>
              <w:t>Achieved significant target knock down in new tissue type.</w:t>
            </w:r>
          </w:p>
        </w:tc>
      </w:tr>
      <w:tr>
        <w:trPr>
          <w:trHeight w:val="123"/>
        </w:trPr>
        <w:tc>
          <w:tcPr>
            <w:tcW w:w="1440" w:type="dxa"/>
            <w:vAlign w:val="bottom"/>
            <w:tcBorders>
              <w:bottom w:val="single" w:sz="8" w:color="0071CE"/>
            </w:tcBorders>
          </w:tcPr>
          <w:p>
            <w:pPr>
              <w:spacing w:after="0"/>
              <w:rPr>
                <w:sz w:val="10"/>
                <w:szCs w:val="10"/>
                <w:color w:val="auto"/>
              </w:rPr>
            </w:pPr>
          </w:p>
        </w:tc>
        <w:tc>
          <w:tcPr>
            <w:tcW w:w="600" w:type="dxa"/>
            <w:vAlign w:val="bottom"/>
            <w:tcBorders>
              <w:bottom w:val="single" w:sz="8" w:color="0071CE"/>
            </w:tcBorders>
          </w:tcPr>
          <w:p>
            <w:pPr>
              <w:spacing w:after="0"/>
              <w:rPr>
                <w:sz w:val="10"/>
                <w:szCs w:val="10"/>
                <w:color w:val="auto"/>
              </w:rPr>
            </w:pPr>
          </w:p>
        </w:tc>
        <w:tc>
          <w:tcPr>
            <w:tcW w:w="220" w:type="dxa"/>
            <w:vAlign w:val="bottom"/>
            <w:tcBorders>
              <w:bottom w:val="single" w:sz="8" w:color="0071CE"/>
            </w:tcBorders>
          </w:tcPr>
          <w:p>
            <w:pPr>
              <w:spacing w:after="0"/>
              <w:rPr>
                <w:sz w:val="10"/>
                <w:szCs w:val="10"/>
                <w:color w:val="auto"/>
              </w:rPr>
            </w:pPr>
          </w:p>
        </w:tc>
        <w:tc>
          <w:tcPr>
            <w:tcW w:w="3360" w:type="dxa"/>
            <w:vAlign w:val="bottom"/>
            <w:tcBorders>
              <w:bottom w:val="single" w:sz="8" w:color="0071CE"/>
            </w:tcBorders>
          </w:tcPr>
          <w:p>
            <w:pPr>
              <w:spacing w:after="0"/>
              <w:rPr>
                <w:sz w:val="10"/>
                <w:szCs w:val="10"/>
                <w:color w:val="auto"/>
              </w:rPr>
            </w:pPr>
          </w:p>
        </w:tc>
        <w:tc>
          <w:tcPr>
            <w:tcW w:w="5400" w:type="dxa"/>
            <w:vAlign w:val="bottom"/>
            <w:tcBorders>
              <w:bottom w:val="single" w:sz="8" w:color="0071CE"/>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94615</wp:posOffset>
            </wp:positionV>
            <wp:extent cx="98615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Annual Incentive Award Payments</w:t>
      </w:r>
    </w:p>
    <w:p>
      <w:pPr>
        <w:spacing w:after="0" w:line="108" w:lineRule="exact"/>
        <w:rPr>
          <w:sz w:val="20"/>
          <w:szCs w:val="20"/>
          <w:color w:val="auto"/>
        </w:rPr>
      </w:pPr>
    </w:p>
    <w:p>
      <w:pPr>
        <w:ind w:left="120" w:right="60"/>
        <w:spacing w:after="0" w:line="257" w:lineRule="auto"/>
        <w:rPr>
          <w:sz w:val="20"/>
          <w:szCs w:val="20"/>
          <w:color w:val="auto"/>
        </w:rPr>
      </w:pPr>
      <w:r>
        <w:rPr>
          <w:rFonts w:ascii="Arial" w:cs="Arial" w:eastAsia="Arial" w:hAnsi="Arial"/>
          <w:sz w:val="16"/>
          <w:szCs w:val="16"/>
          <w:color w:val="auto"/>
        </w:rPr>
        <w:t>The actual annual incentive award payments earned by our currently employed NEOs was 100% of their target annual incentive award opportunities. Except for the award for our CEO, these awards were recommended by our CEO and approved by the Compensation Committee based on the overall achievement of the Company’s goals, their contributions to the goals, and the overall performance of each officer during the year. The following table sets forth the target annual incentive award opportunities, the actual award payment as a percentage of each NEO’s base salary, and the actual award payment made in cash to each of our NEOs based on their performance in 2020:</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60" w:type="dxa"/>
            <w:vAlign w:val="bottom"/>
            <w:shd w:val="clear" w:color="auto" w:fill="0071CE"/>
          </w:tcPr>
          <w:p>
            <w:pPr>
              <w:spacing w:after="0"/>
              <w:rPr>
                <w:sz w:val="16"/>
                <w:szCs w:val="16"/>
                <w:color w:val="auto"/>
              </w:rPr>
            </w:pPr>
          </w:p>
        </w:tc>
        <w:tc>
          <w:tcPr>
            <w:tcW w:w="2380" w:type="dxa"/>
            <w:vAlign w:val="bottom"/>
            <w:shd w:val="clear" w:color="auto" w:fill="0071CE"/>
          </w:tcPr>
          <w:p>
            <w:pPr>
              <w:jc w:val="center"/>
              <w:ind w:left="224"/>
              <w:spacing w:after="0"/>
              <w:rPr>
                <w:sz w:val="20"/>
                <w:szCs w:val="20"/>
                <w:color w:val="auto"/>
              </w:rPr>
            </w:pPr>
            <w:r>
              <w:rPr>
                <w:rFonts w:ascii="Arial" w:cs="Arial" w:eastAsia="Arial" w:hAnsi="Arial"/>
                <w:sz w:val="14"/>
                <w:szCs w:val="14"/>
                <w:b w:val="1"/>
                <w:bCs w:val="1"/>
                <w:color w:val="FFFFFF"/>
              </w:rPr>
              <w:t>Target Annual</w:t>
            </w:r>
          </w:p>
        </w:tc>
        <w:tc>
          <w:tcPr>
            <w:tcW w:w="2360" w:type="dxa"/>
            <w:vAlign w:val="bottom"/>
            <w:shd w:val="clear" w:color="auto" w:fill="0071CE"/>
          </w:tcPr>
          <w:p>
            <w:pPr>
              <w:spacing w:after="0"/>
              <w:rPr>
                <w:sz w:val="16"/>
                <w:szCs w:val="16"/>
                <w:color w:val="auto"/>
              </w:rPr>
            </w:pPr>
          </w:p>
        </w:tc>
        <w:tc>
          <w:tcPr>
            <w:tcW w:w="960" w:type="dxa"/>
            <w:vAlign w:val="bottom"/>
            <w:shd w:val="clear" w:color="auto" w:fill="0071CE"/>
          </w:tcPr>
          <w:p>
            <w:pPr>
              <w:spacing w:after="0"/>
              <w:rPr>
                <w:sz w:val="16"/>
                <w:szCs w:val="16"/>
                <w:color w:val="auto"/>
              </w:rPr>
            </w:pPr>
          </w:p>
        </w:tc>
        <w:tc>
          <w:tcPr>
            <w:tcW w:w="1160" w:type="dxa"/>
            <w:vAlign w:val="bottom"/>
            <w:shd w:val="clear" w:color="auto" w:fill="0071CE"/>
          </w:tcPr>
          <w:p>
            <w:pPr>
              <w:spacing w:after="0"/>
              <w:rPr>
                <w:sz w:val="16"/>
                <w:szCs w:val="16"/>
                <w:color w:val="auto"/>
              </w:rPr>
            </w:pPr>
          </w:p>
        </w:tc>
      </w:tr>
      <w:tr>
        <w:trPr>
          <w:trHeight w:val="162"/>
        </w:trPr>
        <w:tc>
          <w:tcPr>
            <w:tcW w:w="4160" w:type="dxa"/>
            <w:vAlign w:val="bottom"/>
            <w:shd w:val="clear" w:color="auto" w:fill="0071CE"/>
          </w:tcPr>
          <w:p>
            <w:pPr>
              <w:spacing w:after="0"/>
              <w:rPr>
                <w:sz w:val="14"/>
                <w:szCs w:val="14"/>
                <w:color w:val="auto"/>
              </w:rPr>
            </w:pPr>
          </w:p>
        </w:tc>
        <w:tc>
          <w:tcPr>
            <w:tcW w:w="2380" w:type="dxa"/>
            <w:vAlign w:val="bottom"/>
            <w:shd w:val="clear" w:color="auto" w:fill="0071CE"/>
          </w:tcPr>
          <w:p>
            <w:pPr>
              <w:jc w:val="center"/>
              <w:ind w:left="204"/>
              <w:spacing w:after="0"/>
              <w:rPr>
                <w:sz w:val="20"/>
                <w:szCs w:val="20"/>
                <w:color w:val="auto"/>
              </w:rPr>
            </w:pPr>
            <w:r>
              <w:rPr>
                <w:rFonts w:ascii="Arial" w:cs="Arial" w:eastAsia="Arial" w:hAnsi="Arial"/>
                <w:sz w:val="14"/>
                <w:szCs w:val="14"/>
                <w:b w:val="1"/>
                <w:bCs w:val="1"/>
                <w:color w:val="FFFFFF"/>
              </w:rPr>
              <w:t>Incentive Award</w:t>
            </w:r>
          </w:p>
        </w:tc>
        <w:tc>
          <w:tcPr>
            <w:tcW w:w="236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160" w:type="dxa"/>
            <w:vAlign w:val="bottom"/>
            <w:shd w:val="clear" w:color="auto" w:fill="0071CE"/>
          </w:tcPr>
          <w:p>
            <w:pPr>
              <w:spacing w:after="0"/>
              <w:rPr>
                <w:sz w:val="14"/>
                <w:szCs w:val="14"/>
                <w:color w:val="auto"/>
              </w:rPr>
            </w:pPr>
          </w:p>
        </w:tc>
      </w:tr>
      <w:tr>
        <w:trPr>
          <w:trHeight w:val="162"/>
        </w:trPr>
        <w:tc>
          <w:tcPr>
            <w:tcW w:w="4160" w:type="dxa"/>
            <w:vAlign w:val="bottom"/>
            <w:shd w:val="clear" w:color="auto" w:fill="0071CE"/>
          </w:tcPr>
          <w:p>
            <w:pPr>
              <w:spacing w:after="0"/>
              <w:rPr>
                <w:sz w:val="14"/>
                <w:szCs w:val="14"/>
                <w:color w:val="auto"/>
              </w:rPr>
            </w:pPr>
          </w:p>
        </w:tc>
        <w:tc>
          <w:tcPr>
            <w:tcW w:w="2380" w:type="dxa"/>
            <w:vAlign w:val="bottom"/>
            <w:shd w:val="clear" w:color="auto" w:fill="0071CE"/>
          </w:tcPr>
          <w:p>
            <w:pPr>
              <w:jc w:val="center"/>
              <w:ind w:left="224"/>
              <w:spacing w:after="0"/>
              <w:rPr>
                <w:sz w:val="20"/>
                <w:szCs w:val="20"/>
                <w:color w:val="auto"/>
              </w:rPr>
            </w:pPr>
            <w:r>
              <w:rPr>
                <w:rFonts w:ascii="Arial" w:cs="Arial" w:eastAsia="Arial" w:hAnsi="Arial"/>
                <w:sz w:val="14"/>
                <w:szCs w:val="14"/>
                <w:b w:val="1"/>
                <w:bCs w:val="1"/>
                <w:color w:val="FFFFFF"/>
              </w:rPr>
              <w:t>Opportunity (as a</w:t>
            </w:r>
          </w:p>
        </w:tc>
        <w:tc>
          <w:tcPr>
            <w:tcW w:w="2360" w:type="dxa"/>
            <w:vAlign w:val="bottom"/>
            <w:shd w:val="clear" w:color="auto" w:fill="0071CE"/>
          </w:tcPr>
          <w:p>
            <w:pPr>
              <w:jc w:val="center"/>
              <w:ind w:right="83"/>
              <w:spacing w:after="0"/>
              <w:rPr>
                <w:sz w:val="20"/>
                <w:szCs w:val="20"/>
                <w:color w:val="auto"/>
              </w:rPr>
            </w:pPr>
            <w:r>
              <w:rPr>
                <w:rFonts w:ascii="Arial" w:cs="Arial" w:eastAsia="Arial" w:hAnsi="Arial"/>
                <w:sz w:val="14"/>
                <w:szCs w:val="14"/>
                <w:b w:val="1"/>
                <w:bCs w:val="1"/>
                <w:color w:val="FFFFFF"/>
              </w:rPr>
              <w:t>Actual Annual</w:t>
            </w:r>
          </w:p>
        </w:tc>
        <w:tc>
          <w:tcPr>
            <w:tcW w:w="960" w:type="dxa"/>
            <w:vAlign w:val="bottom"/>
            <w:shd w:val="clear" w:color="auto" w:fill="0071CE"/>
          </w:tcPr>
          <w:p>
            <w:pPr>
              <w:spacing w:after="0"/>
              <w:rPr>
                <w:sz w:val="14"/>
                <w:szCs w:val="14"/>
                <w:color w:val="auto"/>
              </w:rPr>
            </w:pPr>
          </w:p>
        </w:tc>
        <w:tc>
          <w:tcPr>
            <w:tcW w:w="1160" w:type="dxa"/>
            <w:vAlign w:val="bottom"/>
            <w:shd w:val="clear" w:color="auto" w:fill="0071CE"/>
          </w:tcPr>
          <w:p>
            <w:pPr>
              <w:spacing w:after="0"/>
              <w:rPr>
                <w:sz w:val="14"/>
                <w:szCs w:val="14"/>
                <w:color w:val="auto"/>
              </w:rPr>
            </w:pPr>
          </w:p>
        </w:tc>
      </w:tr>
      <w:tr>
        <w:trPr>
          <w:trHeight w:val="162"/>
        </w:trPr>
        <w:tc>
          <w:tcPr>
            <w:tcW w:w="4160" w:type="dxa"/>
            <w:vAlign w:val="bottom"/>
            <w:shd w:val="clear" w:color="auto" w:fill="0071CE"/>
          </w:tcPr>
          <w:p>
            <w:pPr>
              <w:spacing w:after="0"/>
              <w:rPr>
                <w:sz w:val="14"/>
                <w:szCs w:val="14"/>
                <w:color w:val="auto"/>
              </w:rPr>
            </w:pPr>
          </w:p>
        </w:tc>
        <w:tc>
          <w:tcPr>
            <w:tcW w:w="2380" w:type="dxa"/>
            <w:vAlign w:val="bottom"/>
            <w:shd w:val="clear" w:color="auto" w:fill="0071CE"/>
          </w:tcPr>
          <w:p>
            <w:pPr>
              <w:jc w:val="center"/>
              <w:ind w:left="164"/>
              <w:spacing w:after="0"/>
              <w:rPr>
                <w:sz w:val="20"/>
                <w:szCs w:val="20"/>
                <w:color w:val="auto"/>
              </w:rPr>
            </w:pPr>
            <w:r>
              <w:rPr>
                <w:rFonts w:ascii="Arial" w:cs="Arial" w:eastAsia="Arial" w:hAnsi="Arial"/>
                <w:sz w:val="14"/>
                <w:szCs w:val="14"/>
                <w:b w:val="1"/>
                <w:bCs w:val="1"/>
                <w:color w:val="FFFFFF"/>
              </w:rPr>
              <w:t>percentage of</w:t>
            </w:r>
          </w:p>
        </w:tc>
        <w:tc>
          <w:tcPr>
            <w:tcW w:w="2360" w:type="dxa"/>
            <w:vAlign w:val="bottom"/>
            <w:shd w:val="clear" w:color="auto" w:fill="0071CE"/>
          </w:tcPr>
          <w:p>
            <w:pPr>
              <w:jc w:val="center"/>
              <w:ind w:right="63"/>
              <w:spacing w:after="0"/>
              <w:rPr>
                <w:sz w:val="20"/>
                <w:szCs w:val="20"/>
                <w:color w:val="auto"/>
              </w:rPr>
            </w:pPr>
            <w:r>
              <w:rPr>
                <w:rFonts w:ascii="Arial" w:cs="Arial" w:eastAsia="Arial" w:hAnsi="Arial"/>
                <w:sz w:val="14"/>
                <w:szCs w:val="14"/>
                <w:b w:val="1"/>
                <w:bCs w:val="1"/>
                <w:color w:val="FFFFFF"/>
              </w:rPr>
              <w:t>Incentive Award</w:t>
            </w:r>
          </w:p>
        </w:tc>
        <w:tc>
          <w:tcPr>
            <w:tcW w:w="2120" w:type="dxa"/>
            <w:vAlign w:val="bottom"/>
            <w:gridSpan w:val="2"/>
            <w:shd w:val="clear" w:color="auto" w:fill="0071CE"/>
          </w:tcPr>
          <w:p>
            <w:pPr>
              <w:jc w:val="center"/>
              <w:ind w:left="121"/>
              <w:spacing w:after="0"/>
              <w:rPr>
                <w:sz w:val="20"/>
                <w:szCs w:val="20"/>
                <w:color w:val="auto"/>
              </w:rPr>
            </w:pPr>
            <w:r>
              <w:rPr>
                <w:rFonts w:ascii="Arial" w:cs="Arial" w:eastAsia="Arial" w:hAnsi="Arial"/>
                <w:sz w:val="14"/>
                <w:szCs w:val="14"/>
                <w:b w:val="1"/>
                <w:bCs w:val="1"/>
                <w:color w:val="FFFFFF"/>
              </w:rPr>
              <w:t>Actual Annual</w:t>
            </w:r>
          </w:p>
        </w:tc>
      </w:tr>
      <w:tr>
        <w:trPr>
          <w:trHeight w:val="162"/>
        </w:trPr>
        <w:tc>
          <w:tcPr>
            <w:tcW w:w="416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380" w:type="dxa"/>
            <w:vAlign w:val="bottom"/>
            <w:shd w:val="clear" w:color="auto" w:fill="0071CE"/>
          </w:tcPr>
          <w:p>
            <w:pPr>
              <w:jc w:val="center"/>
              <w:ind w:left="224"/>
              <w:spacing w:after="0"/>
              <w:rPr>
                <w:sz w:val="20"/>
                <w:szCs w:val="20"/>
                <w:color w:val="auto"/>
              </w:rPr>
            </w:pPr>
            <w:r>
              <w:rPr>
                <w:rFonts w:ascii="Arial" w:cs="Arial" w:eastAsia="Arial" w:hAnsi="Arial"/>
                <w:sz w:val="14"/>
                <w:szCs w:val="14"/>
                <w:b w:val="1"/>
                <w:bCs w:val="1"/>
                <w:color w:val="FFFFFF"/>
              </w:rPr>
              <w:t>base</w:t>
            </w:r>
          </w:p>
        </w:tc>
        <w:tc>
          <w:tcPr>
            <w:tcW w:w="2360" w:type="dxa"/>
            <w:vAlign w:val="bottom"/>
            <w:shd w:val="clear" w:color="auto" w:fill="0071CE"/>
          </w:tcPr>
          <w:p>
            <w:pPr>
              <w:jc w:val="center"/>
              <w:ind w:right="83"/>
              <w:spacing w:after="0"/>
              <w:rPr>
                <w:sz w:val="20"/>
                <w:szCs w:val="20"/>
                <w:color w:val="auto"/>
              </w:rPr>
            </w:pPr>
            <w:r>
              <w:rPr>
                <w:rFonts w:ascii="Arial" w:cs="Arial" w:eastAsia="Arial" w:hAnsi="Arial"/>
                <w:sz w:val="14"/>
                <w:szCs w:val="14"/>
                <w:b w:val="1"/>
                <w:bCs w:val="1"/>
                <w:color w:val="FFFFFF"/>
              </w:rPr>
              <w:t>(as a percentage of</w:t>
            </w:r>
          </w:p>
        </w:tc>
        <w:tc>
          <w:tcPr>
            <w:tcW w:w="2120" w:type="dxa"/>
            <w:vAlign w:val="bottom"/>
            <w:gridSpan w:val="2"/>
            <w:shd w:val="clear" w:color="auto" w:fill="0071CE"/>
          </w:tcPr>
          <w:p>
            <w:pPr>
              <w:jc w:val="center"/>
              <w:ind w:left="121"/>
              <w:spacing w:after="0"/>
              <w:rPr>
                <w:sz w:val="20"/>
                <w:szCs w:val="20"/>
                <w:color w:val="auto"/>
              </w:rPr>
            </w:pPr>
            <w:r>
              <w:rPr>
                <w:rFonts w:ascii="Arial" w:cs="Arial" w:eastAsia="Arial" w:hAnsi="Arial"/>
                <w:sz w:val="14"/>
                <w:szCs w:val="14"/>
                <w:b w:val="1"/>
                <w:bCs w:val="1"/>
                <w:color w:val="FFFFFF"/>
              </w:rPr>
              <w:t>Incentive Award</w:t>
            </w:r>
          </w:p>
        </w:tc>
      </w:tr>
      <w:tr>
        <w:trPr>
          <w:trHeight w:val="211"/>
        </w:trPr>
        <w:tc>
          <w:tcPr>
            <w:tcW w:w="416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380" w:type="dxa"/>
            <w:vAlign w:val="bottom"/>
            <w:tcBorders>
              <w:bottom w:val="single" w:sz="8" w:color="0071CE"/>
            </w:tcBorders>
            <w:shd w:val="clear" w:color="auto" w:fill="0071CE"/>
          </w:tcPr>
          <w:p>
            <w:pPr>
              <w:jc w:val="center"/>
              <w:ind w:left="204"/>
              <w:spacing w:after="0"/>
              <w:rPr>
                <w:sz w:val="20"/>
                <w:szCs w:val="20"/>
                <w:color w:val="auto"/>
              </w:rPr>
            </w:pPr>
            <w:r>
              <w:rPr>
                <w:rFonts w:ascii="Arial" w:cs="Arial" w:eastAsia="Arial" w:hAnsi="Arial"/>
                <w:sz w:val="14"/>
                <w:szCs w:val="14"/>
                <w:b w:val="1"/>
                <w:bCs w:val="1"/>
                <w:color w:val="FFFFFF"/>
              </w:rPr>
              <w:t>salary)</w:t>
            </w:r>
          </w:p>
        </w:tc>
        <w:tc>
          <w:tcPr>
            <w:tcW w:w="2360" w:type="dxa"/>
            <w:vAlign w:val="bottom"/>
            <w:tcBorders>
              <w:bottom w:val="single" w:sz="8" w:color="0071CE"/>
            </w:tcBorders>
            <w:shd w:val="clear" w:color="auto" w:fill="0071CE"/>
          </w:tcPr>
          <w:p>
            <w:pPr>
              <w:jc w:val="center"/>
              <w:ind w:right="83"/>
              <w:spacing w:after="0"/>
              <w:rPr>
                <w:sz w:val="20"/>
                <w:szCs w:val="20"/>
                <w:color w:val="auto"/>
              </w:rPr>
            </w:pPr>
            <w:r>
              <w:rPr>
                <w:rFonts w:ascii="Arial" w:cs="Arial" w:eastAsia="Arial" w:hAnsi="Arial"/>
                <w:sz w:val="14"/>
                <w:szCs w:val="14"/>
                <w:b w:val="1"/>
                <w:bCs w:val="1"/>
                <w:color w:val="FFFFFF"/>
              </w:rPr>
              <w:t>base salary)</w:t>
            </w:r>
          </w:p>
        </w:tc>
        <w:tc>
          <w:tcPr>
            <w:tcW w:w="960" w:type="dxa"/>
            <w:vAlign w:val="bottom"/>
            <w:tcBorders>
              <w:bottom w:val="single" w:sz="8" w:color="0071CE"/>
            </w:tcBorders>
            <w:shd w:val="clear" w:color="auto" w:fill="0071CE"/>
          </w:tcPr>
          <w:p>
            <w:pPr>
              <w:spacing w:after="0"/>
              <w:rPr>
                <w:sz w:val="18"/>
                <w:szCs w:val="18"/>
                <w:color w:val="auto"/>
              </w:rPr>
            </w:pPr>
          </w:p>
        </w:tc>
        <w:tc>
          <w:tcPr>
            <w:tcW w:w="1160" w:type="dxa"/>
            <w:vAlign w:val="bottom"/>
            <w:tcBorders>
              <w:bottom w:val="single" w:sz="8" w:color="0071CE"/>
            </w:tcBorders>
            <w:shd w:val="clear" w:color="auto" w:fill="0071CE"/>
          </w:tcPr>
          <w:p>
            <w:pPr>
              <w:jc w:val="center"/>
              <w:ind w:right="680"/>
              <w:spacing w:after="0"/>
              <w:rPr>
                <w:sz w:val="20"/>
                <w:szCs w:val="20"/>
                <w:color w:val="auto"/>
              </w:rPr>
            </w:pPr>
            <w:r>
              <w:rPr>
                <w:rFonts w:ascii="Arial" w:cs="Arial" w:eastAsia="Arial" w:hAnsi="Arial"/>
                <w:sz w:val="14"/>
                <w:szCs w:val="14"/>
                <w:b w:val="1"/>
                <w:bCs w:val="1"/>
                <w:color w:val="FFFFFF"/>
                <w:w w:val="93"/>
              </w:rPr>
              <w:t>($)</w:t>
            </w:r>
          </w:p>
        </w:tc>
      </w:tr>
      <w:tr>
        <w:trPr>
          <w:trHeight w:val="257"/>
        </w:trPr>
        <w:tc>
          <w:tcPr>
            <w:tcW w:w="4160" w:type="dxa"/>
            <w:vAlign w:val="bottom"/>
            <w:shd w:val="clear" w:color="auto" w:fill="E5E5E5"/>
          </w:tcPr>
          <w:p>
            <w:pPr>
              <w:ind w:left="60"/>
              <w:spacing w:after="0"/>
              <w:rPr>
                <w:sz w:val="20"/>
                <w:szCs w:val="20"/>
                <w:color w:val="auto"/>
              </w:rPr>
            </w:pPr>
            <w:r>
              <w:rPr>
                <w:rFonts w:ascii="Arial" w:cs="Arial" w:eastAsia="Arial" w:hAnsi="Arial"/>
                <w:sz w:val="16"/>
                <w:szCs w:val="16"/>
                <w:color w:val="auto"/>
              </w:rPr>
              <w:t>Dr. Anzalone</w:t>
            </w:r>
          </w:p>
        </w:tc>
        <w:tc>
          <w:tcPr>
            <w:tcW w:w="2380" w:type="dxa"/>
            <w:vAlign w:val="bottom"/>
            <w:shd w:val="clear" w:color="auto" w:fill="E5E5E5"/>
          </w:tcPr>
          <w:p>
            <w:pPr>
              <w:jc w:val="right"/>
              <w:ind w:right="604"/>
              <w:spacing w:after="0"/>
              <w:rPr>
                <w:sz w:val="20"/>
                <w:szCs w:val="20"/>
                <w:color w:val="auto"/>
              </w:rPr>
            </w:pPr>
            <w:r>
              <w:rPr>
                <w:rFonts w:ascii="Arial" w:cs="Arial" w:eastAsia="Arial" w:hAnsi="Arial"/>
                <w:sz w:val="16"/>
                <w:szCs w:val="16"/>
                <w:color w:val="auto"/>
              </w:rPr>
              <w:t>100%</w:t>
            </w:r>
          </w:p>
        </w:tc>
        <w:tc>
          <w:tcPr>
            <w:tcW w:w="2360" w:type="dxa"/>
            <w:vAlign w:val="bottom"/>
            <w:shd w:val="clear" w:color="auto" w:fill="E5E5E5"/>
          </w:tcPr>
          <w:p>
            <w:pPr>
              <w:jc w:val="right"/>
              <w:ind w:right="863"/>
              <w:spacing w:after="0"/>
              <w:rPr>
                <w:sz w:val="20"/>
                <w:szCs w:val="20"/>
                <w:color w:val="auto"/>
              </w:rPr>
            </w:pPr>
            <w:r>
              <w:rPr>
                <w:rFonts w:ascii="Arial" w:cs="Arial" w:eastAsia="Arial" w:hAnsi="Arial"/>
                <w:sz w:val="16"/>
                <w:szCs w:val="16"/>
                <w:color w:val="auto"/>
              </w:rPr>
              <w:t>100%</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w w:val="96"/>
              </w:rPr>
              <w:t>820,000</w:t>
            </w:r>
          </w:p>
        </w:tc>
      </w:tr>
      <w:tr>
        <w:trPr>
          <w:trHeight w:val="249"/>
        </w:trPr>
        <w:tc>
          <w:tcPr>
            <w:tcW w:w="4160" w:type="dxa"/>
            <w:vAlign w:val="bottom"/>
          </w:tcPr>
          <w:p>
            <w:pPr>
              <w:ind w:left="60"/>
              <w:spacing w:after="0"/>
              <w:rPr>
                <w:sz w:val="20"/>
                <w:szCs w:val="20"/>
                <w:color w:val="auto"/>
              </w:rPr>
            </w:pPr>
            <w:r>
              <w:rPr>
                <w:rFonts w:ascii="Arial" w:cs="Arial" w:eastAsia="Arial" w:hAnsi="Arial"/>
                <w:sz w:val="16"/>
                <w:szCs w:val="16"/>
                <w:color w:val="auto"/>
              </w:rPr>
              <w:t>Mr. Myszkowski</w:t>
            </w:r>
          </w:p>
        </w:tc>
        <w:tc>
          <w:tcPr>
            <w:tcW w:w="2380" w:type="dxa"/>
            <w:vAlign w:val="bottom"/>
          </w:tcPr>
          <w:p>
            <w:pPr>
              <w:jc w:val="right"/>
              <w:ind w:right="604"/>
              <w:spacing w:after="0"/>
              <w:rPr>
                <w:sz w:val="20"/>
                <w:szCs w:val="20"/>
                <w:color w:val="auto"/>
              </w:rPr>
            </w:pPr>
            <w:r>
              <w:rPr>
                <w:rFonts w:ascii="Arial" w:cs="Arial" w:eastAsia="Arial" w:hAnsi="Arial"/>
                <w:sz w:val="16"/>
                <w:szCs w:val="16"/>
                <w:color w:val="auto"/>
              </w:rPr>
              <w:t>45%</w:t>
            </w:r>
          </w:p>
        </w:tc>
        <w:tc>
          <w:tcPr>
            <w:tcW w:w="2360" w:type="dxa"/>
            <w:vAlign w:val="bottom"/>
          </w:tcPr>
          <w:p>
            <w:pPr>
              <w:jc w:val="right"/>
              <w:ind w:right="863"/>
              <w:spacing w:after="0"/>
              <w:rPr>
                <w:sz w:val="20"/>
                <w:szCs w:val="20"/>
                <w:color w:val="auto"/>
              </w:rPr>
            </w:pPr>
            <w:r>
              <w:rPr>
                <w:rFonts w:ascii="Arial" w:cs="Arial" w:eastAsia="Arial" w:hAnsi="Arial"/>
                <w:sz w:val="16"/>
                <w:szCs w:val="16"/>
                <w:color w:val="auto"/>
              </w:rPr>
              <w:t>45%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00"/>
              <w:spacing w:after="0"/>
              <w:rPr>
                <w:sz w:val="20"/>
                <w:szCs w:val="20"/>
                <w:color w:val="auto"/>
              </w:rPr>
            </w:pPr>
            <w:r>
              <w:rPr>
                <w:rFonts w:ascii="Arial" w:cs="Arial" w:eastAsia="Arial" w:hAnsi="Arial"/>
                <w:sz w:val="16"/>
                <w:szCs w:val="16"/>
                <w:color w:val="auto"/>
                <w:w w:val="96"/>
              </w:rPr>
              <w:t>213,750</w:t>
            </w:r>
          </w:p>
        </w:tc>
      </w:tr>
      <w:tr>
        <w:trPr>
          <w:trHeight w:val="264"/>
        </w:trPr>
        <w:tc>
          <w:tcPr>
            <w:tcW w:w="4160" w:type="dxa"/>
            <w:vAlign w:val="bottom"/>
            <w:shd w:val="clear" w:color="auto" w:fill="E5E5E5"/>
          </w:tcPr>
          <w:p>
            <w:pPr>
              <w:ind w:left="60"/>
              <w:spacing w:after="0"/>
              <w:rPr>
                <w:sz w:val="20"/>
                <w:szCs w:val="20"/>
                <w:color w:val="auto"/>
              </w:rPr>
            </w:pPr>
            <w:r>
              <w:rPr>
                <w:rFonts w:ascii="Arial" w:cs="Arial" w:eastAsia="Arial" w:hAnsi="Arial"/>
                <w:sz w:val="16"/>
                <w:szCs w:val="16"/>
                <w:color w:val="auto"/>
              </w:rPr>
              <w:t>Dr. San Martin</w:t>
            </w:r>
          </w:p>
        </w:tc>
        <w:tc>
          <w:tcPr>
            <w:tcW w:w="2380" w:type="dxa"/>
            <w:vAlign w:val="bottom"/>
            <w:shd w:val="clear" w:color="auto" w:fill="E5E5E5"/>
          </w:tcPr>
          <w:p>
            <w:pPr>
              <w:jc w:val="right"/>
              <w:ind w:right="604"/>
              <w:spacing w:after="0"/>
              <w:rPr>
                <w:sz w:val="20"/>
                <w:szCs w:val="20"/>
                <w:color w:val="auto"/>
              </w:rPr>
            </w:pPr>
            <w:r>
              <w:rPr>
                <w:rFonts w:ascii="Arial" w:cs="Arial" w:eastAsia="Arial" w:hAnsi="Arial"/>
                <w:sz w:val="16"/>
                <w:szCs w:val="16"/>
                <w:color w:val="auto"/>
              </w:rPr>
              <w:t>40%</w:t>
            </w:r>
          </w:p>
        </w:tc>
        <w:tc>
          <w:tcPr>
            <w:tcW w:w="2360" w:type="dxa"/>
            <w:vAlign w:val="bottom"/>
            <w:shd w:val="clear" w:color="auto" w:fill="E5E5E5"/>
          </w:tcPr>
          <w:p>
            <w:pPr>
              <w:jc w:val="right"/>
              <w:ind w:right="863"/>
              <w:spacing w:after="0"/>
              <w:rPr>
                <w:sz w:val="20"/>
                <w:szCs w:val="20"/>
                <w:color w:val="auto"/>
              </w:rPr>
            </w:pPr>
            <w:r>
              <w:rPr>
                <w:rFonts w:ascii="Arial" w:cs="Arial" w:eastAsia="Arial" w:hAnsi="Arial"/>
                <w:sz w:val="16"/>
                <w:szCs w:val="16"/>
                <w:color w:val="auto"/>
              </w:rPr>
              <w:t>40%</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w w:val="96"/>
              </w:rPr>
              <w:t>180,000</w:t>
            </w:r>
          </w:p>
        </w:tc>
      </w:tr>
      <w:tr>
        <w:trPr>
          <w:trHeight w:val="249"/>
        </w:trPr>
        <w:tc>
          <w:tcPr>
            <w:tcW w:w="4160" w:type="dxa"/>
            <w:vAlign w:val="bottom"/>
          </w:tcPr>
          <w:p>
            <w:pPr>
              <w:ind w:left="60"/>
              <w:spacing w:after="0"/>
              <w:rPr>
                <w:sz w:val="20"/>
                <w:szCs w:val="20"/>
                <w:color w:val="auto"/>
              </w:rPr>
            </w:pPr>
            <w:r>
              <w:rPr>
                <w:rFonts w:ascii="Arial" w:cs="Arial" w:eastAsia="Arial" w:hAnsi="Arial"/>
                <w:sz w:val="16"/>
                <w:szCs w:val="16"/>
                <w:color w:val="auto"/>
              </w:rPr>
              <w:t>Mr. Hassard</w:t>
            </w:r>
          </w:p>
        </w:tc>
        <w:tc>
          <w:tcPr>
            <w:tcW w:w="2380" w:type="dxa"/>
            <w:vAlign w:val="bottom"/>
          </w:tcPr>
          <w:p>
            <w:pPr>
              <w:jc w:val="right"/>
              <w:ind w:right="604"/>
              <w:spacing w:after="0"/>
              <w:rPr>
                <w:sz w:val="20"/>
                <w:szCs w:val="20"/>
                <w:color w:val="auto"/>
              </w:rPr>
            </w:pPr>
            <w:r>
              <w:rPr>
                <w:rFonts w:ascii="Arial" w:cs="Arial" w:eastAsia="Arial" w:hAnsi="Arial"/>
                <w:sz w:val="16"/>
                <w:szCs w:val="16"/>
                <w:color w:val="auto"/>
              </w:rPr>
              <w:t>40%</w:t>
            </w:r>
          </w:p>
        </w:tc>
        <w:tc>
          <w:tcPr>
            <w:tcW w:w="2360" w:type="dxa"/>
            <w:vAlign w:val="bottom"/>
          </w:tcPr>
          <w:p>
            <w:pPr>
              <w:jc w:val="right"/>
              <w:ind w:right="863"/>
              <w:spacing w:after="0"/>
              <w:rPr>
                <w:sz w:val="20"/>
                <w:szCs w:val="20"/>
                <w:color w:val="auto"/>
              </w:rPr>
            </w:pPr>
            <w:r>
              <w:rPr>
                <w:rFonts w:ascii="Arial" w:cs="Arial" w:eastAsia="Arial" w:hAnsi="Arial"/>
                <w:sz w:val="16"/>
                <w:szCs w:val="16"/>
                <w:color w:val="auto"/>
              </w:rPr>
              <w:t>40%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00"/>
              <w:spacing w:after="0"/>
              <w:rPr>
                <w:sz w:val="20"/>
                <w:szCs w:val="20"/>
                <w:color w:val="auto"/>
              </w:rPr>
            </w:pPr>
            <w:r>
              <w:rPr>
                <w:rFonts w:ascii="Arial" w:cs="Arial" w:eastAsia="Arial" w:hAnsi="Arial"/>
                <w:sz w:val="16"/>
                <w:szCs w:val="16"/>
                <w:color w:val="auto"/>
                <w:w w:val="96"/>
              </w:rPr>
              <w:t>170,000</w:t>
            </w:r>
          </w:p>
        </w:tc>
      </w:tr>
      <w:tr>
        <w:trPr>
          <w:trHeight w:val="264"/>
        </w:trPr>
        <w:tc>
          <w:tcPr>
            <w:tcW w:w="4160" w:type="dxa"/>
            <w:vAlign w:val="bottom"/>
            <w:shd w:val="clear" w:color="auto" w:fill="E5E5E5"/>
          </w:tcPr>
          <w:p>
            <w:pPr>
              <w:ind w:left="60"/>
              <w:spacing w:after="0"/>
              <w:rPr>
                <w:sz w:val="20"/>
                <w:szCs w:val="20"/>
                <w:color w:val="auto"/>
              </w:rPr>
            </w:pPr>
            <w:r>
              <w:rPr>
                <w:rFonts w:ascii="Arial" w:cs="Arial" w:eastAsia="Arial" w:hAnsi="Arial"/>
                <w:sz w:val="16"/>
                <w:szCs w:val="16"/>
                <w:color w:val="auto"/>
              </w:rPr>
              <w:t>Dr. Bradshaw (1)</w:t>
            </w:r>
          </w:p>
        </w:tc>
        <w:tc>
          <w:tcPr>
            <w:tcW w:w="2380" w:type="dxa"/>
            <w:vAlign w:val="bottom"/>
            <w:shd w:val="clear" w:color="auto" w:fill="E5E5E5"/>
          </w:tcPr>
          <w:p>
            <w:pPr>
              <w:jc w:val="right"/>
              <w:ind w:right="604"/>
              <w:spacing w:after="0"/>
              <w:rPr>
                <w:sz w:val="20"/>
                <w:szCs w:val="20"/>
                <w:color w:val="auto"/>
              </w:rPr>
            </w:pPr>
            <w:r>
              <w:rPr>
                <w:rFonts w:ascii="Arial" w:cs="Arial" w:eastAsia="Arial" w:hAnsi="Arial"/>
                <w:sz w:val="16"/>
                <w:szCs w:val="16"/>
                <w:color w:val="auto"/>
              </w:rPr>
              <w:t>40%</w:t>
            </w:r>
          </w:p>
        </w:tc>
        <w:tc>
          <w:tcPr>
            <w:tcW w:w="2360" w:type="dxa"/>
            <w:vAlign w:val="bottom"/>
            <w:shd w:val="clear" w:color="auto" w:fill="E5E5E5"/>
          </w:tcPr>
          <w:p>
            <w:pPr>
              <w:jc w:val="right"/>
              <w:ind w:right="863"/>
              <w:spacing w:after="0"/>
              <w:rPr>
                <w:sz w:val="20"/>
                <w:szCs w:val="20"/>
                <w:color w:val="auto"/>
              </w:rPr>
            </w:pPr>
            <w:r>
              <w:rPr>
                <w:rFonts w:ascii="Arial" w:cs="Arial" w:eastAsia="Arial" w:hAnsi="Arial"/>
                <w:sz w:val="16"/>
                <w:szCs w:val="16"/>
                <w:color w:val="auto"/>
              </w:rPr>
              <w:t>0%</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rPr>
              <w:t>0</w:t>
            </w:r>
          </w:p>
        </w:tc>
      </w:tr>
      <w:tr>
        <w:trPr>
          <w:trHeight w:val="250"/>
        </w:trPr>
        <w:tc>
          <w:tcPr>
            <w:tcW w:w="4160" w:type="dxa"/>
            <w:vAlign w:val="bottom"/>
            <w:tcBorders>
              <w:bottom w:val="single" w:sz="8" w:color="0071CE"/>
            </w:tcBorders>
          </w:tcPr>
          <w:p>
            <w:pPr>
              <w:ind w:left="60"/>
              <w:spacing w:after="0"/>
              <w:rPr>
                <w:sz w:val="20"/>
                <w:szCs w:val="20"/>
                <w:color w:val="auto"/>
              </w:rPr>
            </w:pPr>
            <w:r>
              <w:rPr>
                <w:rFonts w:ascii="Arial" w:cs="Arial" w:eastAsia="Arial" w:hAnsi="Arial"/>
                <w:sz w:val="16"/>
                <w:szCs w:val="16"/>
                <w:color w:val="auto"/>
              </w:rPr>
              <w:t>Dr. Given (2)</w:t>
            </w:r>
          </w:p>
        </w:tc>
        <w:tc>
          <w:tcPr>
            <w:tcW w:w="2380" w:type="dxa"/>
            <w:vAlign w:val="bottom"/>
            <w:tcBorders>
              <w:bottom w:val="single" w:sz="8" w:color="0071CE"/>
            </w:tcBorders>
          </w:tcPr>
          <w:p>
            <w:pPr>
              <w:jc w:val="right"/>
              <w:ind w:right="604"/>
              <w:spacing w:after="0"/>
              <w:rPr>
                <w:sz w:val="20"/>
                <w:szCs w:val="20"/>
                <w:color w:val="auto"/>
              </w:rPr>
            </w:pPr>
            <w:r>
              <w:rPr>
                <w:rFonts w:ascii="Arial" w:cs="Arial" w:eastAsia="Arial" w:hAnsi="Arial"/>
                <w:sz w:val="16"/>
                <w:szCs w:val="16"/>
                <w:color w:val="auto"/>
              </w:rPr>
              <w:t>70%</w:t>
            </w:r>
          </w:p>
        </w:tc>
        <w:tc>
          <w:tcPr>
            <w:tcW w:w="2360" w:type="dxa"/>
            <w:vAlign w:val="bottom"/>
            <w:tcBorders>
              <w:bottom w:val="single" w:sz="8" w:color="0071CE"/>
            </w:tcBorders>
          </w:tcPr>
          <w:p>
            <w:pPr>
              <w:jc w:val="right"/>
              <w:ind w:right="863"/>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0071CE"/>
            </w:tcBorders>
          </w:tcPr>
          <w:p>
            <w:pPr>
              <w:jc w:val="right"/>
              <w:ind w:right="500"/>
              <w:spacing w:after="0"/>
              <w:rPr>
                <w:sz w:val="20"/>
                <w:szCs w:val="20"/>
                <w:color w:val="auto"/>
              </w:rPr>
            </w:pPr>
            <w:r>
              <w:rPr>
                <w:rFonts w:ascii="Arial" w:cs="Arial" w:eastAsia="Arial" w:hAnsi="Arial"/>
                <w:sz w:val="16"/>
                <w:szCs w:val="16"/>
                <w:color w:val="auto"/>
              </w:rPr>
              <w:t>0</w:t>
            </w:r>
          </w:p>
        </w:tc>
      </w:tr>
    </w:tbl>
    <w:p>
      <w:pPr>
        <w:spacing w:after="0" w:line="68"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Bradshaw’s employment with the company terminated in November 2020.</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Given’s employment with the Company terminated in May 2020 upon his retirement. Dr. Given continues to serve as a consultant to the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annual incentive award payments made to our NEOs for fiscal 2020 are set forth in the “Fiscal 2020 Summary Compensation Table” below.</w:t>
      </w: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Incentive Compensation</w:t>
      </w:r>
    </w:p>
    <w:p>
      <w:pPr>
        <w:spacing w:after="0" w:line="106" w:lineRule="exact"/>
        <w:rPr>
          <w:sz w:val="20"/>
          <w:szCs w:val="20"/>
          <w:color w:val="auto"/>
        </w:rPr>
      </w:pPr>
    </w:p>
    <w:p>
      <w:pPr>
        <w:ind w:left="120" w:right="240"/>
        <w:spacing w:after="0" w:line="269"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NEOs, to create value for our stockholders. Equity awards also help us retain qualified executive officers in a competitive market.</w:t>
      </w:r>
    </w:p>
    <w:p>
      <w:pPr>
        <w:spacing w:after="0" w:line="164"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2020 Long-Term Incentive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108" w:lineRule="exact"/>
        <w:rPr>
          <w:sz w:val="20"/>
          <w:szCs w:val="20"/>
          <w:color w:val="auto"/>
        </w:rPr>
      </w:pPr>
    </w:p>
    <w:p>
      <w:pPr>
        <w:ind w:left="120" w:right="160"/>
        <w:spacing w:after="0" w:line="269" w:lineRule="auto"/>
        <w:rPr>
          <w:sz w:val="20"/>
          <w:szCs w:val="20"/>
          <w:color w:val="auto"/>
        </w:rPr>
      </w:pPr>
      <w:r>
        <w:rPr>
          <w:rFonts w:ascii="Arial" w:cs="Arial" w:eastAsia="Arial" w:hAnsi="Arial"/>
          <w:sz w:val="16"/>
          <w:szCs w:val="16"/>
          <w:color w:val="auto"/>
        </w:rPr>
        <w:t>Annual equity awards granted to our executive officers are solely in the form of restricted stock unit (“RSU”) awards that may be settled for shares of our common stock. In the case of our CEO, the award is entirely performance-based (“PRSU”). On January 1, 2020, Dr. Anzalone was granted a performance-based RSU (“PRSU”) of 900,000 shares to be vested in nine equal installments on the achievement of the following milestones:</w:t>
      </w:r>
    </w:p>
    <w:p>
      <w:pPr>
        <w:spacing w:after="0" w:line="67" w:lineRule="exact"/>
        <w:rPr>
          <w:sz w:val="20"/>
          <w:szCs w:val="20"/>
          <w:color w:val="auto"/>
        </w:rPr>
      </w:pPr>
    </w:p>
    <w:p>
      <w:pPr>
        <w:ind w:left="440" w:hanging="216"/>
        <w:spacing w:after="0"/>
        <w:tabs>
          <w:tab w:leader="none" w:pos="440" w:val="left"/>
        </w:tabs>
        <w:numPr>
          <w:ilvl w:val="0"/>
          <w:numId w:val="55"/>
        </w:numPr>
        <w:rPr>
          <w:rFonts w:ascii="Arial" w:cs="Arial" w:eastAsia="Arial" w:hAnsi="Arial"/>
          <w:sz w:val="16"/>
          <w:szCs w:val="16"/>
          <w:color w:val="0071CE"/>
        </w:rPr>
      </w:pPr>
      <w:r>
        <w:rPr>
          <w:rFonts w:ascii="Arial" w:cs="Arial" w:eastAsia="Arial" w:hAnsi="Arial"/>
          <w:sz w:val="16"/>
          <w:szCs w:val="16"/>
          <w:color w:val="auto"/>
        </w:rPr>
        <w:t>Initiate 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study that could be pivotal (either partnered or wholly-owned)</w:t>
      </w:r>
    </w:p>
    <w:p>
      <w:pPr>
        <w:spacing w:after="0" w:line="23" w:lineRule="exact"/>
        <w:rPr>
          <w:rFonts w:ascii="Arial" w:cs="Arial" w:eastAsia="Arial" w:hAnsi="Arial"/>
          <w:sz w:val="16"/>
          <w:szCs w:val="16"/>
          <w:color w:val="0071CE"/>
        </w:rPr>
      </w:pPr>
    </w:p>
    <w:p>
      <w:pPr>
        <w:ind w:left="440" w:hanging="216"/>
        <w:spacing w:after="0"/>
        <w:tabs>
          <w:tab w:leader="none" w:pos="440" w:val="left"/>
        </w:tabs>
        <w:numPr>
          <w:ilvl w:val="0"/>
          <w:numId w:val="55"/>
        </w:numPr>
        <w:rPr>
          <w:rFonts w:ascii="Arial" w:cs="Arial" w:eastAsia="Arial" w:hAnsi="Arial"/>
          <w:sz w:val="16"/>
          <w:szCs w:val="16"/>
          <w:color w:val="0071CE"/>
        </w:rPr>
      </w:pPr>
      <w:r>
        <w:rPr>
          <w:rFonts w:ascii="Arial" w:cs="Arial" w:eastAsia="Arial" w:hAnsi="Arial"/>
          <w:sz w:val="16"/>
          <w:szCs w:val="16"/>
          <w:color w:val="auto"/>
        </w:rPr>
        <w:t>File first NDA (either partnered or wholly-owned)</w:t>
      </w:r>
    </w:p>
    <w:p>
      <w:pPr>
        <w:spacing w:after="0" w:line="106" w:lineRule="exact"/>
        <w:rPr>
          <w:rFonts w:ascii="Arial" w:cs="Arial" w:eastAsia="Arial" w:hAnsi="Arial"/>
          <w:sz w:val="16"/>
          <w:szCs w:val="16"/>
          <w:color w:val="0071CE"/>
        </w:rPr>
      </w:pPr>
    </w:p>
    <w:p>
      <w:pPr>
        <w:ind w:left="440" w:hanging="216"/>
        <w:spacing w:after="0"/>
        <w:tabs>
          <w:tab w:leader="none" w:pos="440" w:val="left"/>
        </w:tabs>
        <w:numPr>
          <w:ilvl w:val="0"/>
          <w:numId w:val="55"/>
        </w:numPr>
        <w:rPr>
          <w:rFonts w:ascii="Arial" w:cs="Arial" w:eastAsia="Arial" w:hAnsi="Arial"/>
          <w:sz w:val="16"/>
          <w:szCs w:val="16"/>
          <w:color w:val="0071CE"/>
        </w:rPr>
      </w:pPr>
      <w:r>
        <w:rPr>
          <w:rFonts w:ascii="Arial" w:cs="Arial" w:eastAsia="Arial" w:hAnsi="Arial"/>
          <w:sz w:val="16"/>
          <w:szCs w:val="16"/>
          <w:color w:val="auto"/>
        </w:rPr>
        <w:t>Enter a material partnership on a particular tissue target as approved by the Board.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5"/>
        </w:numPr>
        <w:rPr>
          <w:rFonts w:ascii="Arial" w:cs="Arial" w:eastAsia="Arial" w:hAnsi="Arial"/>
          <w:sz w:val="16"/>
          <w:szCs w:val="16"/>
          <w:color w:val="0071CE"/>
        </w:rPr>
      </w:pPr>
      <w:r>
        <w:rPr>
          <w:rFonts w:ascii="Arial" w:cs="Arial" w:eastAsia="Arial" w:hAnsi="Arial"/>
          <w:sz w:val="16"/>
          <w:szCs w:val="16"/>
          <w:color w:val="auto"/>
        </w:rPr>
        <w:t>Achieve market capitalization of $8 billion and hold for 6 months.</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5"/>
        </w:numPr>
        <w:rPr>
          <w:rFonts w:ascii="Arial" w:cs="Arial" w:eastAsia="Arial" w:hAnsi="Arial"/>
          <w:sz w:val="16"/>
          <w:szCs w:val="16"/>
          <w:color w:val="0071CE"/>
        </w:rPr>
      </w:pPr>
      <w:r>
        <w:rPr>
          <w:rFonts w:ascii="Arial" w:cs="Arial" w:eastAsia="Arial" w:hAnsi="Arial"/>
          <w:sz w:val="16"/>
          <w:szCs w:val="16"/>
          <w:color w:val="auto"/>
        </w:rPr>
        <w:t>File a CTA for a candidate targeting a tissue other than hepatocyte, solid tumor, pulmonary epithelial cell, or skeletal muscle.</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5"/>
        </w:numPr>
        <w:rPr>
          <w:rFonts w:ascii="Arial" w:cs="Arial" w:eastAsia="Arial" w:hAnsi="Arial"/>
          <w:sz w:val="16"/>
          <w:szCs w:val="16"/>
          <w:color w:val="0071CE"/>
        </w:rPr>
      </w:pPr>
      <w:r>
        <w:rPr>
          <w:rFonts w:ascii="Arial" w:cs="Arial" w:eastAsia="Arial" w:hAnsi="Arial"/>
          <w:sz w:val="16"/>
          <w:szCs w:val="16"/>
          <w:color w:val="auto"/>
        </w:rPr>
        <w:t>File a second CTA in a single extra-hepatic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109220</wp:posOffset>
            </wp:positionV>
            <wp:extent cx="986155"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81"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440" w:hanging="216"/>
        <w:spacing w:after="0"/>
        <w:tabs>
          <w:tab w:leader="none" w:pos="440" w:val="left"/>
        </w:tabs>
        <w:numPr>
          <w:ilvl w:val="0"/>
          <w:numId w:val="56"/>
        </w:numPr>
        <w:rPr>
          <w:rFonts w:ascii="Arial" w:cs="Arial" w:eastAsia="Arial" w:hAnsi="Arial"/>
          <w:sz w:val="16"/>
          <w:szCs w:val="16"/>
          <w:color w:val="0071CE"/>
        </w:rPr>
      </w:pPr>
      <w:r>
        <w:rPr>
          <w:rFonts w:ascii="Arial" w:cs="Arial" w:eastAsia="Arial" w:hAnsi="Arial"/>
          <w:sz w:val="16"/>
          <w:szCs w:val="16"/>
          <w:color w:val="auto"/>
        </w:rPr>
        <w:t>Complete Sequoia enrollment and maintain leadership in the field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6"/>
        </w:numPr>
        <w:rPr>
          <w:rFonts w:ascii="Arial" w:cs="Arial" w:eastAsia="Arial" w:hAnsi="Arial"/>
          <w:sz w:val="16"/>
          <w:szCs w:val="16"/>
          <w:color w:val="0071CE"/>
        </w:rPr>
      </w:pPr>
      <w:r>
        <w:rPr>
          <w:rFonts w:ascii="Arial" w:cs="Arial" w:eastAsia="Arial" w:hAnsi="Arial"/>
          <w:sz w:val="16"/>
          <w:szCs w:val="16"/>
          <w:color w:val="auto"/>
        </w:rPr>
        <w:t>Achieve largest strategically structured active clinical pipeline in the RNAi field.</w:t>
      </w:r>
    </w:p>
    <w:p>
      <w:pPr>
        <w:spacing w:after="0" w:line="126" w:lineRule="exact"/>
        <w:rPr>
          <w:rFonts w:ascii="Arial" w:cs="Arial" w:eastAsia="Arial" w:hAnsi="Arial"/>
          <w:sz w:val="16"/>
          <w:szCs w:val="16"/>
          <w:color w:val="0071CE"/>
        </w:rPr>
      </w:pPr>
    </w:p>
    <w:p>
      <w:pPr>
        <w:ind w:left="440" w:hanging="216"/>
        <w:spacing w:after="0"/>
        <w:tabs>
          <w:tab w:leader="none" w:pos="440" w:val="left"/>
        </w:tabs>
        <w:numPr>
          <w:ilvl w:val="0"/>
          <w:numId w:val="56"/>
        </w:numPr>
        <w:rPr>
          <w:rFonts w:ascii="Arial" w:cs="Arial" w:eastAsia="Arial" w:hAnsi="Arial"/>
          <w:sz w:val="16"/>
          <w:szCs w:val="16"/>
          <w:color w:val="0071CE"/>
        </w:rPr>
      </w:pPr>
      <w:r>
        <w:rPr>
          <w:rFonts w:ascii="Arial" w:cs="Arial" w:eastAsia="Arial" w:hAnsi="Arial"/>
          <w:sz w:val="16"/>
          <w:szCs w:val="16"/>
          <w:color w:val="auto"/>
        </w:rPr>
        <w:t>Build a commercial team and launch plan for first commercial drug.</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milestones must be achieved by January 1, 2025 or the grants will expire.</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Results from PRSU Awards Previously Granted</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fiscal year 2020, the Compensation Committee certified achievement of the performance milestones and the vesting of the following PRSUs.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3660" w:type="dxa"/>
            <w:vAlign w:val="bottom"/>
            <w:shd w:val="clear" w:color="auto" w:fill="0071CE"/>
          </w:tcPr>
          <w:p>
            <w:pPr>
              <w:spacing w:after="0"/>
              <w:rPr>
                <w:sz w:val="15"/>
                <w:szCs w:val="15"/>
                <w:color w:val="auto"/>
              </w:rPr>
            </w:pPr>
          </w:p>
        </w:tc>
        <w:tc>
          <w:tcPr>
            <w:tcW w:w="3340" w:type="dxa"/>
            <w:vAlign w:val="bottom"/>
            <w:shd w:val="clear" w:color="auto" w:fill="0071CE"/>
          </w:tcPr>
          <w:p>
            <w:pPr>
              <w:spacing w:after="0"/>
              <w:rPr>
                <w:sz w:val="15"/>
                <w:szCs w:val="15"/>
                <w:color w:val="auto"/>
              </w:rPr>
            </w:pPr>
          </w:p>
        </w:tc>
        <w:tc>
          <w:tcPr>
            <w:tcW w:w="4020" w:type="dxa"/>
            <w:vAlign w:val="bottom"/>
            <w:shd w:val="clear" w:color="auto" w:fill="0071CE"/>
          </w:tcPr>
          <w:p>
            <w:pPr>
              <w:jc w:val="center"/>
              <w:ind w:left="663"/>
              <w:spacing w:after="0"/>
              <w:rPr>
                <w:sz w:val="20"/>
                <w:szCs w:val="20"/>
                <w:color w:val="auto"/>
              </w:rPr>
            </w:pPr>
            <w:r>
              <w:rPr>
                <w:rFonts w:ascii="Arial" w:cs="Arial" w:eastAsia="Arial" w:hAnsi="Arial"/>
                <w:sz w:val="14"/>
                <w:szCs w:val="14"/>
                <w:b w:val="1"/>
                <w:bCs w:val="1"/>
                <w:color w:val="FFFFFF"/>
              </w:rPr>
              <w:t>No. of Shares</w:t>
            </w:r>
          </w:p>
        </w:tc>
      </w:tr>
      <w:tr>
        <w:trPr>
          <w:trHeight w:val="211"/>
        </w:trPr>
        <w:tc>
          <w:tcPr>
            <w:tcW w:w="366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Performance Goal</w:t>
            </w:r>
          </w:p>
        </w:tc>
        <w:tc>
          <w:tcPr>
            <w:tcW w:w="3340" w:type="dxa"/>
            <w:vAlign w:val="bottom"/>
            <w:tcBorders>
              <w:bottom w:val="single" w:sz="8" w:color="0071CE"/>
            </w:tcBorders>
            <w:shd w:val="clear" w:color="auto" w:fill="0071CE"/>
          </w:tcPr>
          <w:p>
            <w:pPr>
              <w:ind w:left="1660"/>
              <w:spacing w:after="0"/>
              <w:rPr>
                <w:sz w:val="20"/>
                <w:szCs w:val="20"/>
                <w:color w:val="auto"/>
              </w:rPr>
            </w:pPr>
            <w:r>
              <w:rPr>
                <w:rFonts w:ascii="Arial" w:cs="Arial" w:eastAsia="Arial" w:hAnsi="Arial"/>
                <w:sz w:val="14"/>
                <w:szCs w:val="14"/>
                <w:b w:val="1"/>
                <w:bCs w:val="1"/>
                <w:color w:val="FFFFFF"/>
              </w:rPr>
              <w:t>Achievement</w:t>
            </w:r>
          </w:p>
        </w:tc>
        <w:tc>
          <w:tcPr>
            <w:tcW w:w="4020" w:type="dxa"/>
            <w:vAlign w:val="bottom"/>
            <w:tcBorders>
              <w:bottom w:val="single" w:sz="8" w:color="0071CE"/>
            </w:tcBorders>
            <w:shd w:val="clear" w:color="auto" w:fill="0071CE"/>
          </w:tcPr>
          <w:p>
            <w:pPr>
              <w:jc w:val="center"/>
              <w:ind w:left="663"/>
              <w:spacing w:after="0"/>
              <w:rPr>
                <w:sz w:val="20"/>
                <w:szCs w:val="20"/>
                <w:color w:val="auto"/>
              </w:rPr>
            </w:pPr>
            <w:r>
              <w:rPr>
                <w:rFonts w:ascii="Arial" w:cs="Arial" w:eastAsia="Arial" w:hAnsi="Arial"/>
                <w:sz w:val="14"/>
                <w:szCs w:val="14"/>
                <w:b w:val="1"/>
                <w:bCs w:val="1"/>
                <w:color w:val="FFFFFF"/>
              </w:rPr>
              <w:t>Certified as Vested</w:t>
            </w:r>
          </w:p>
        </w:tc>
      </w:tr>
      <w:tr>
        <w:trPr>
          <w:trHeight w:val="241"/>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File a CTA/IND for a lung/muscle target</w:t>
            </w:r>
          </w:p>
        </w:tc>
        <w:tc>
          <w:tcPr>
            <w:tcW w:w="33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Certified in June 2020</w:t>
            </w:r>
          </w:p>
        </w:tc>
        <w:tc>
          <w:tcPr>
            <w:tcW w:w="4020" w:type="dxa"/>
            <w:vAlign w:val="bottom"/>
            <w:shd w:val="clear" w:color="auto" w:fill="E5E5E5"/>
          </w:tcPr>
          <w:p>
            <w:pPr>
              <w:ind w:left="780"/>
              <w:spacing w:after="0"/>
              <w:rPr>
                <w:sz w:val="20"/>
                <w:szCs w:val="20"/>
                <w:color w:val="auto"/>
              </w:rPr>
            </w:pPr>
            <w:r>
              <w:rPr>
                <w:rFonts w:ascii="Arial" w:cs="Arial" w:eastAsia="Arial" w:hAnsi="Arial"/>
                <w:sz w:val="16"/>
                <w:szCs w:val="16"/>
                <w:color w:val="auto"/>
              </w:rPr>
              <w:t>200,000 shares pursuant to a PRSU award</w:t>
            </w:r>
          </w:p>
        </w:tc>
      </w:tr>
      <w:tr>
        <w:trPr>
          <w:trHeight w:val="454"/>
        </w:trPr>
        <w:tc>
          <w:tcPr>
            <w:tcW w:w="3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Granted 01/01/2019</w:t>
            </w:r>
          </w:p>
        </w:tc>
        <w:tc>
          <w:tcPr>
            <w:tcW w:w="3340" w:type="dxa"/>
            <w:vAlign w:val="bottom"/>
            <w:tcBorders>
              <w:bottom w:val="single" w:sz="8" w:color="E5E5E5"/>
            </w:tcBorders>
            <w:shd w:val="clear" w:color="auto" w:fill="E5E5E5"/>
          </w:tcPr>
          <w:p>
            <w:pPr>
              <w:spacing w:after="0"/>
              <w:rPr>
                <w:sz w:val="24"/>
                <w:szCs w:val="24"/>
                <w:color w:val="auto"/>
              </w:rPr>
            </w:pPr>
          </w:p>
        </w:tc>
        <w:tc>
          <w:tcPr>
            <w:tcW w:w="4020" w:type="dxa"/>
            <w:vAlign w:val="bottom"/>
            <w:tcBorders>
              <w:bottom w:val="single" w:sz="8" w:color="E5E5E5"/>
            </w:tcBorders>
            <w:shd w:val="clear" w:color="auto" w:fill="E5E5E5"/>
          </w:tcPr>
          <w:p>
            <w:pPr>
              <w:spacing w:after="0"/>
              <w:rPr>
                <w:sz w:val="24"/>
                <w:szCs w:val="24"/>
                <w:color w:val="auto"/>
              </w:rPr>
            </w:pPr>
          </w:p>
        </w:tc>
      </w:tr>
      <w:tr>
        <w:trPr>
          <w:trHeight w:val="211"/>
        </w:trPr>
        <w:tc>
          <w:tcPr>
            <w:tcW w:w="3660" w:type="dxa"/>
            <w:vAlign w:val="bottom"/>
          </w:tcPr>
          <w:p>
            <w:pPr>
              <w:ind w:left="60"/>
              <w:spacing w:after="0"/>
              <w:rPr>
                <w:sz w:val="20"/>
                <w:szCs w:val="20"/>
                <w:color w:val="auto"/>
              </w:rPr>
            </w:pPr>
            <w:r>
              <w:rPr>
                <w:rFonts w:ascii="Arial" w:cs="Arial" w:eastAsia="Arial" w:hAnsi="Arial"/>
                <w:sz w:val="16"/>
                <w:szCs w:val="16"/>
                <w:color w:val="auto"/>
              </w:rPr>
              <w:t>Achieve market capitalization of $2 billion and</w:t>
            </w:r>
          </w:p>
        </w:tc>
        <w:tc>
          <w:tcPr>
            <w:tcW w:w="3340" w:type="dxa"/>
            <w:vAlign w:val="bottom"/>
          </w:tcPr>
          <w:p>
            <w:pPr>
              <w:ind w:left="220"/>
              <w:spacing w:after="0"/>
              <w:rPr>
                <w:sz w:val="20"/>
                <w:szCs w:val="20"/>
                <w:color w:val="auto"/>
              </w:rPr>
            </w:pPr>
            <w:r>
              <w:rPr>
                <w:rFonts w:ascii="Arial" w:cs="Arial" w:eastAsia="Arial" w:hAnsi="Arial"/>
                <w:sz w:val="16"/>
                <w:szCs w:val="16"/>
                <w:color w:val="auto"/>
              </w:rPr>
              <w:t>Certified in December 2019</w:t>
            </w:r>
          </w:p>
        </w:tc>
        <w:tc>
          <w:tcPr>
            <w:tcW w:w="4020" w:type="dxa"/>
            <w:vAlign w:val="bottom"/>
          </w:tcPr>
          <w:p>
            <w:pPr>
              <w:ind w:left="780"/>
              <w:spacing w:after="0"/>
              <w:rPr>
                <w:sz w:val="20"/>
                <w:szCs w:val="20"/>
                <w:color w:val="auto"/>
              </w:rPr>
            </w:pPr>
            <w:r>
              <w:rPr>
                <w:rFonts w:ascii="Arial" w:cs="Arial" w:eastAsia="Arial" w:hAnsi="Arial"/>
                <w:sz w:val="16"/>
                <w:szCs w:val="16"/>
                <w:color w:val="auto"/>
              </w:rPr>
              <w:t>200,000 shares pursuant to a PRSU award</w:t>
            </w:r>
          </w:p>
        </w:tc>
      </w:tr>
      <w:tr>
        <w:trPr>
          <w:trHeight w:val="219"/>
        </w:trPr>
        <w:tc>
          <w:tcPr>
            <w:tcW w:w="3660" w:type="dxa"/>
            <w:vAlign w:val="bottom"/>
          </w:tcPr>
          <w:p>
            <w:pPr>
              <w:ind w:left="60"/>
              <w:spacing w:after="0"/>
              <w:rPr>
                <w:sz w:val="20"/>
                <w:szCs w:val="20"/>
                <w:color w:val="auto"/>
              </w:rPr>
            </w:pPr>
            <w:r>
              <w:rPr>
                <w:rFonts w:ascii="Arial" w:cs="Arial" w:eastAsia="Arial" w:hAnsi="Arial"/>
                <w:sz w:val="16"/>
                <w:szCs w:val="16"/>
                <w:color w:val="auto"/>
              </w:rPr>
              <w:t>hold for six months</w:t>
            </w:r>
          </w:p>
        </w:tc>
        <w:tc>
          <w:tcPr>
            <w:tcW w:w="334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32"/>
        </w:trPr>
        <w:tc>
          <w:tcPr>
            <w:tcW w:w="3660" w:type="dxa"/>
            <w:vAlign w:val="bottom"/>
          </w:tcPr>
          <w:p>
            <w:pPr>
              <w:ind w:left="60"/>
              <w:spacing w:after="0"/>
              <w:rPr>
                <w:sz w:val="20"/>
                <w:szCs w:val="20"/>
                <w:color w:val="auto"/>
              </w:rPr>
            </w:pPr>
            <w:r>
              <w:rPr>
                <w:rFonts w:ascii="Arial" w:cs="Arial" w:eastAsia="Arial" w:hAnsi="Arial"/>
                <w:sz w:val="16"/>
                <w:szCs w:val="16"/>
                <w:i w:val="1"/>
                <w:iCs w:val="1"/>
                <w:color w:val="auto"/>
              </w:rPr>
              <w:t>Granted 01/01/2019</w:t>
            </w:r>
          </w:p>
        </w:tc>
        <w:tc>
          <w:tcPr>
            <w:tcW w:w="33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54"/>
        </w:trPr>
        <w:tc>
          <w:tcPr>
            <w:tcW w:w="3660" w:type="dxa"/>
            <w:vAlign w:val="bottom"/>
          </w:tcPr>
          <w:p>
            <w:pPr>
              <w:ind w:left="60"/>
              <w:spacing w:after="0"/>
              <w:rPr>
                <w:sz w:val="20"/>
                <w:szCs w:val="20"/>
                <w:color w:val="auto"/>
              </w:rPr>
            </w:pPr>
            <w:r>
              <w:rPr>
                <w:rFonts w:ascii="Arial" w:cs="Arial" w:eastAsia="Arial" w:hAnsi="Arial"/>
                <w:sz w:val="16"/>
                <w:szCs w:val="16"/>
                <w:color w:val="auto"/>
              </w:rPr>
              <w:t>Initiate a study that could be pivotal or meet</w:t>
            </w:r>
          </w:p>
        </w:tc>
        <w:tc>
          <w:tcPr>
            <w:tcW w:w="3340" w:type="dxa"/>
            <w:vAlign w:val="bottom"/>
          </w:tcPr>
          <w:p>
            <w:pPr>
              <w:ind w:left="220"/>
              <w:spacing w:after="0"/>
              <w:rPr>
                <w:sz w:val="20"/>
                <w:szCs w:val="20"/>
                <w:color w:val="auto"/>
              </w:rPr>
            </w:pPr>
            <w:r>
              <w:rPr>
                <w:rFonts w:ascii="Arial" w:cs="Arial" w:eastAsia="Arial" w:hAnsi="Arial"/>
                <w:sz w:val="16"/>
                <w:szCs w:val="16"/>
                <w:color w:val="auto"/>
              </w:rPr>
              <w:t>Certified in December 2019</w:t>
            </w:r>
          </w:p>
        </w:tc>
        <w:tc>
          <w:tcPr>
            <w:tcW w:w="4020" w:type="dxa"/>
            <w:vAlign w:val="bottom"/>
          </w:tcPr>
          <w:p>
            <w:pPr>
              <w:ind w:left="780"/>
              <w:spacing w:after="0"/>
              <w:rPr>
                <w:sz w:val="20"/>
                <w:szCs w:val="20"/>
                <w:color w:val="auto"/>
              </w:rPr>
            </w:pPr>
            <w:r>
              <w:rPr>
                <w:rFonts w:ascii="Arial" w:cs="Arial" w:eastAsia="Arial" w:hAnsi="Arial"/>
                <w:sz w:val="16"/>
                <w:szCs w:val="16"/>
                <w:color w:val="auto"/>
              </w:rPr>
              <w:t>166,666 shares pursuant to a PRSU award</w:t>
            </w:r>
          </w:p>
        </w:tc>
      </w:tr>
      <w:tr>
        <w:trPr>
          <w:trHeight w:val="189"/>
        </w:trPr>
        <w:tc>
          <w:tcPr>
            <w:tcW w:w="3660" w:type="dxa"/>
            <w:vAlign w:val="bottom"/>
          </w:tcPr>
          <w:p>
            <w:pPr>
              <w:ind w:left="60"/>
              <w:spacing w:after="0"/>
              <w:rPr>
                <w:sz w:val="20"/>
                <w:szCs w:val="20"/>
                <w:color w:val="auto"/>
              </w:rPr>
            </w:pPr>
            <w:r>
              <w:rPr>
                <w:rFonts w:ascii="Arial" w:cs="Arial" w:eastAsia="Arial" w:hAnsi="Arial"/>
                <w:sz w:val="16"/>
                <w:szCs w:val="16"/>
                <w:color w:val="auto"/>
              </w:rPr>
              <w:t>criteria that big pharma would consider to be</w:t>
            </w:r>
          </w:p>
        </w:tc>
        <w:tc>
          <w:tcPr>
            <w:tcW w:w="334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19"/>
        </w:trPr>
        <w:tc>
          <w:tcPr>
            <w:tcW w:w="3660" w:type="dxa"/>
            <w:vAlign w:val="bottom"/>
          </w:tcPr>
          <w:p>
            <w:pPr>
              <w:ind w:left="60"/>
              <w:spacing w:after="0"/>
              <w:rPr>
                <w:sz w:val="20"/>
                <w:szCs w:val="20"/>
                <w:color w:val="auto"/>
              </w:rPr>
            </w:pPr>
            <w:r>
              <w:rPr>
                <w:rFonts w:ascii="Arial" w:cs="Arial" w:eastAsia="Arial" w:hAnsi="Arial"/>
                <w:sz w:val="16"/>
                <w:szCs w:val="16"/>
                <w:color w:val="auto"/>
              </w:rPr>
              <w:t>proof-of-concept</w:t>
            </w:r>
          </w:p>
        </w:tc>
        <w:tc>
          <w:tcPr>
            <w:tcW w:w="3340" w:type="dxa"/>
            <w:vAlign w:val="bottom"/>
          </w:tcPr>
          <w:p>
            <w:pPr>
              <w:spacing w:after="0"/>
              <w:rPr>
                <w:sz w:val="19"/>
                <w:szCs w:val="19"/>
                <w:color w:val="auto"/>
              </w:rPr>
            </w:pPr>
          </w:p>
        </w:tc>
        <w:tc>
          <w:tcPr>
            <w:tcW w:w="4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-392430</wp:posOffset>
            </wp:positionV>
            <wp:extent cx="6995160" cy="6940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Granted 01/01/2018</w:t>
      </w:r>
    </w:p>
    <w:p>
      <w:pPr>
        <w:spacing w:after="0" w:line="98" w:lineRule="exact"/>
        <w:rPr>
          <w:sz w:val="20"/>
          <w:szCs w:val="20"/>
          <w:color w:val="auto"/>
        </w:rPr>
      </w:pPr>
    </w:p>
    <w:p>
      <w:pPr>
        <w:ind w:left="180"/>
        <w:spacing w:after="0" w:line="291" w:lineRule="auto"/>
        <w:rPr>
          <w:sz w:val="20"/>
          <w:szCs w:val="20"/>
          <w:color w:val="auto"/>
        </w:rPr>
      </w:pPr>
      <w:r>
        <w:rPr>
          <w:rFonts w:ascii="Arial" w:cs="Arial" w:eastAsia="Arial" w:hAnsi="Arial"/>
          <w:sz w:val="16"/>
          <w:szCs w:val="16"/>
          <w:color w:val="auto"/>
        </w:rPr>
        <w:t>Execute a business development transaction for a target outside hepatocytes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Granted 1/1/2018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tabs>
          <w:tab w:leader="none" w:pos="3880" w:val="left"/>
        </w:tabs>
        <w:rPr>
          <w:sz w:val="20"/>
          <w:szCs w:val="20"/>
          <w:color w:val="auto"/>
        </w:rPr>
      </w:pPr>
      <w:r>
        <w:rPr>
          <w:rFonts w:ascii="Arial" w:cs="Arial" w:eastAsia="Arial" w:hAnsi="Arial"/>
          <w:sz w:val="16"/>
          <w:szCs w:val="16"/>
          <w:color w:val="auto"/>
        </w:rPr>
        <w:t>The compensation committee deemed this</w:t>
      </w:r>
      <w:r>
        <w:rPr>
          <w:sz w:val="20"/>
          <w:szCs w:val="20"/>
          <w:color w:val="auto"/>
        </w:rPr>
        <w:tab/>
      </w:r>
      <w:r>
        <w:rPr>
          <w:rFonts w:ascii="Arial" w:cs="Arial" w:eastAsia="Arial" w:hAnsi="Arial"/>
          <w:sz w:val="16"/>
          <w:szCs w:val="16"/>
          <w:color w:val="auto"/>
        </w:rPr>
        <w:t>166,667 shares pursuant to a PRSU award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performance goal to be met on 12/22/2019 as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intent of the performance goal was substantially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70485</wp:posOffset>
            </wp:positionV>
            <wp:extent cx="6995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3780" w:space="220"/>
            <w:col w:w="7140"/>
          </w:cols>
          <w:pgMar w:left="320" w:top="455" w:right="439" w:bottom="1440" w:gutter="0" w:footer="0" w:header="0"/>
          <w:type w:val="continuous"/>
        </w:sectPr>
      </w:pP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Equity Awards for Other Named Executive Officers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approved the following aggregate equity awards for our NEOs for 2020:</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5000" w:type="dxa"/>
            <w:vAlign w:val="bottom"/>
            <w:shd w:val="clear" w:color="auto" w:fill="0071CE"/>
          </w:tcPr>
          <w:p>
            <w:pPr>
              <w:spacing w:after="0"/>
              <w:rPr>
                <w:sz w:val="15"/>
                <w:szCs w:val="15"/>
                <w:color w:val="auto"/>
              </w:rPr>
            </w:pPr>
          </w:p>
        </w:tc>
        <w:tc>
          <w:tcPr>
            <w:tcW w:w="3220" w:type="dxa"/>
            <w:vAlign w:val="bottom"/>
            <w:shd w:val="clear" w:color="auto" w:fill="0071CE"/>
          </w:tcPr>
          <w:p>
            <w:pPr>
              <w:jc w:val="center"/>
              <w:ind w:left="177"/>
              <w:spacing w:after="0"/>
              <w:rPr>
                <w:sz w:val="20"/>
                <w:szCs w:val="20"/>
                <w:color w:val="auto"/>
              </w:rPr>
            </w:pPr>
            <w:r>
              <w:rPr>
                <w:rFonts w:ascii="Arial" w:cs="Arial" w:eastAsia="Arial" w:hAnsi="Arial"/>
                <w:sz w:val="14"/>
                <w:szCs w:val="14"/>
                <w:b w:val="1"/>
                <w:bCs w:val="1"/>
                <w:color w:val="FFFFFF"/>
              </w:rPr>
              <w:t>Restricted Stock Unit</w:t>
            </w:r>
          </w:p>
        </w:tc>
        <w:tc>
          <w:tcPr>
            <w:tcW w:w="2800" w:type="dxa"/>
            <w:vAlign w:val="bottom"/>
            <w:gridSpan w:val="2"/>
            <w:shd w:val="clear" w:color="auto" w:fill="0071CE"/>
          </w:tcPr>
          <w:p>
            <w:pPr>
              <w:jc w:val="right"/>
              <w:ind w:right="495"/>
              <w:spacing w:after="0"/>
              <w:rPr>
                <w:sz w:val="20"/>
                <w:szCs w:val="20"/>
                <w:color w:val="auto"/>
              </w:rPr>
            </w:pPr>
            <w:r>
              <w:rPr>
                <w:rFonts w:ascii="Arial" w:cs="Arial" w:eastAsia="Arial" w:hAnsi="Arial"/>
                <w:sz w:val="14"/>
                <w:szCs w:val="14"/>
                <w:b w:val="1"/>
                <w:bCs w:val="1"/>
                <w:color w:val="FFFFFF"/>
              </w:rPr>
              <w:t>Restricted Stock Unit</w:t>
            </w:r>
          </w:p>
        </w:tc>
      </w:tr>
      <w:tr>
        <w:trPr>
          <w:trHeight w:val="162"/>
        </w:trPr>
        <w:tc>
          <w:tcPr>
            <w:tcW w:w="500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3220" w:type="dxa"/>
            <w:vAlign w:val="bottom"/>
            <w:shd w:val="clear" w:color="auto" w:fill="0071CE"/>
          </w:tcPr>
          <w:p>
            <w:pPr>
              <w:jc w:val="center"/>
              <w:ind w:left="177"/>
              <w:spacing w:after="0"/>
              <w:rPr>
                <w:sz w:val="20"/>
                <w:szCs w:val="20"/>
                <w:color w:val="auto"/>
              </w:rPr>
            </w:pPr>
            <w:r>
              <w:rPr>
                <w:rFonts w:ascii="Arial" w:cs="Arial" w:eastAsia="Arial" w:hAnsi="Arial"/>
                <w:sz w:val="14"/>
                <w:szCs w:val="14"/>
                <w:b w:val="1"/>
                <w:bCs w:val="1"/>
                <w:color w:val="FFFFFF"/>
              </w:rPr>
              <w:t>Awards</w:t>
            </w:r>
          </w:p>
        </w:tc>
        <w:tc>
          <w:tcPr>
            <w:tcW w:w="1120" w:type="dxa"/>
            <w:vAlign w:val="bottom"/>
            <w:shd w:val="clear" w:color="auto" w:fill="0071CE"/>
          </w:tcPr>
          <w:p>
            <w:pPr>
              <w:spacing w:after="0"/>
              <w:rPr>
                <w:sz w:val="14"/>
                <w:szCs w:val="14"/>
                <w:color w:val="auto"/>
              </w:rPr>
            </w:pPr>
          </w:p>
        </w:tc>
        <w:tc>
          <w:tcPr>
            <w:tcW w:w="1680" w:type="dxa"/>
            <w:vAlign w:val="bottom"/>
            <w:shd w:val="clear" w:color="auto" w:fill="0071CE"/>
          </w:tcPr>
          <w:p>
            <w:pPr>
              <w:jc w:val="right"/>
              <w:ind w:right="935"/>
              <w:spacing w:after="0"/>
              <w:rPr>
                <w:sz w:val="20"/>
                <w:szCs w:val="20"/>
                <w:color w:val="auto"/>
              </w:rPr>
            </w:pPr>
            <w:r>
              <w:rPr>
                <w:rFonts w:ascii="Arial" w:cs="Arial" w:eastAsia="Arial" w:hAnsi="Arial"/>
                <w:sz w:val="14"/>
                <w:szCs w:val="14"/>
                <w:b w:val="1"/>
                <w:bCs w:val="1"/>
                <w:color w:val="FFFFFF"/>
              </w:rPr>
              <w:t>Awards</w:t>
            </w:r>
          </w:p>
        </w:tc>
      </w:tr>
      <w:tr>
        <w:trPr>
          <w:trHeight w:val="225"/>
        </w:trPr>
        <w:tc>
          <w:tcPr>
            <w:tcW w:w="500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3220" w:type="dxa"/>
            <w:vAlign w:val="bottom"/>
            <w:tcBorders>
              <w:bottom w:val="single" w:sz="8" w:color="0071CE"/>
            </w:tcBorders>
            <w:shd w:val="clear" w:color="auto" w:fill="0071CE"/>
          </w:tcPr>
          <w:p>
            <w:pPr>
              <w:jc w:val="center"/>
              <w:ind w:left="177"/>
              <w:spacing w:after="0"/>
              <w:rPr>
                <w:sz w:val="20"/>
                <w:szCs w:val="20"/>
                <w:color w:val="auto"/>
              </w:rPr>
            </w:pPr>
            <w:r>
              <w:rPr>
                <w:rFonts w:ascii="Arial" w:cs="Arial" w:eastAsia="Arial" w:hAnsi="Arial"/>
                <w:sz w:val="14"/>
                <w:szCs w:val="14"/>
                <w:b w:val="1"/>
                <w:bCs w:val="1"/>
                <w:color w:val="FFFFFF"/>
              </w:rPr>
              <w:t>(number of shares)</w:t>
            </w:r>
          </w:p>
        </w:tc>
        <w:tc>
          <w:tcPr>
            <w:tcW w:w="1120" w:type="dxa"/>
            <w:vAlign w:val="bottom"/>
            <w:tcBorders>
              <w:bottom w:val="single" w:sz="8" w:color="0071CE"/>
            </w:tcBorders>
            <w:shd w:val="clear" w:color="auto" w:fill="0071CE"/>
          </w:tcPr>
          <w:p>
            <w:pPr>
              <w:spacing w:after="0"/>
              <w:rPr>
                <w:sz w:val="19"/>
                <w:szCs w:val="19"/>
                <w:color w:val="auto"/>
              </w:rPr>
            </w:pPr>
          </w:p>
        </w:tc>
        <w:tc>
          <w:tcPr>
            <w:tcW w:w="1680" w:type="dxa"/>
            <w:vAlign w:val="bottom"/>
            <w:tcBorders>
              <w:bottom w:val="single" w:sz="8" w:color="0071CE"/>
            </w:tcBorders>
            <w:shd w:val="clear" w:color="auto" w:fill="0071CE"/>
          </w:tcPr>
          <w:p>
            <w:pPr>
              <w:jc w:val="right"/>
              <w:ind w:right="1095"/>
              <w:spacing w:after="0"/>
              <w:rPr>
                <w:sz w:val="20"/>
                <w:szCs w:val="20"/>
                <w:color w:val="auto"/>
              </w:rPr>
            </w:pPr>
            <w:r>
              <w:rPr>
                <w:rFonts w:ascii="Arial" w:cs="Arial" w:eastAsia="Arial" w:hAnsi="Arial"/>
                <w:sz w:val="14"/>
                <w:szCs w:val="14"/>
                <w:b w:val="1"/>
                <w:bCs w:val="1"/>
                <w:color w:val="FFFFFF"/>
              </w:rPr>
              <w:t>($)</w:t>
            </w:r>
          </w:p>
        </w:tc>
      </w:tr>
      <w:tr>
        <w:trPr>
          <w:trHeight w:val="270"/>
        </w:trPr>
        <w:tc>
          <w:tcPr>
            <w:tcW w:w="500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Myszkowski</w:t>
            </w:r>
          </w:p>
        </w:tc>
        <w:tc>
          <w:tcPr>
            <w:tcW w:w="3220" w:type="dxa"/>
            <w:vAlign w:val="bottom"/>
            <w:shd w:val="clear" w:color="auto" w:fill="E5E5E5"/>
          </w:tcPr>
          <w:p>
            <w:pPr>
              <w:jc w:val="right"/>
              <w:ind w:right="1037"/>
              <w:spacing w:after="0"/>
              <w:rPr>
                <w:sz w:val="20"/>
                <w:szCs w:val="20"/>
                <w:color w:val="auto"/>
              </w:rPr>
            </w:pPr>
            <w:r>
              <w:rPr>
                <w:rFonts w:ascii="Arial" w:cs="Arial" w:eastAsia="Arial" w:hAnsi="Arial"/>
                <w:sz w:val="18"/>
                <w:szCs w:val="18"/>
                <w:color w:val="auto"/>
              </w:rPr>
              <w:t>85,000</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E5E5E5"/>
          </w:tcPr>
          <w:p>
            <w:pPr>
              <w:jc w:val="right"/>
              <w:ind w:right="675"/>
              <w:spacing w:after="0"/>
              <w:rPr>
                <w:sz w:val="20"/>
                <w:szCs w:val="20"/>
                <w:color w:val="auto"/>
              </w:rPr>
            </w:pPr>
            <w:r>
              <w:rPr>
                <w:rFonts w:ascii="Arial" w:cs="Arial" w:eastAsia="Arial" w:hAnsi="Arial"/>
                <w:sz w:val="18"/>
                <w:szCs w:val="18"/>
                <w:color w:val="auto"/>
              </w:rPr>
              <w:t>5,391,550</w:t>
            </w:r>
          </w:p>
        </w:tc>
      </w:tr>
      <w:tr>
        <w:trPr>
          <w:trHeight w:val="265"/>
        </w:trPr>
        <w:tc>
          <w:tcPr>
            <w:tcW w:w="5000" w:type="dxa"/>
            <w:vAlign w:val="bottom"/>
          </w:tcPr>
          <w:p>
            <w:pPr>
              <w:ind w:left="60"/>
              <w:spacing w:after="0"/>
              <w:rPr>
                <w:sz w:val="20"/>
                <w:szCs w:val="20"/>
                <w:color w:val="auto"/>
              </w:rPr>
            </w:pPr>
            <w:r>
              <w:rPr>
                <w:rFonts w:ascii="Arial" w:cs="Arial" w:eastAsia="Arial" w:hAnsi="Arial"/>
                <w:sz w:val="18"/>
                <w:szCs w:val="18"/>
                <w:color w:val="auto"/>
              </w:rPr>
              <w:t>Dr. San Martin</w:t>
            </w:r>
          </w:p>
        </w:tc>
        <w:tc>
          <w:tcPr>
            <w:tcW w:w="3220" w:type="dxa"/>
            <w:vAlign w:val="bottom"/>
          </w:tcPr>
          <w:p>
            <w:pPr>
              <w:jc w:val="right"/>
              <w:ind w:right="1037"/>
              <w:spacing w:after="0"/>
              <w:rPr>
                <w:sz w:val="20"/>
                <w:szCs w:val="20"/>
                <w:color w:val="auto"/>
              </w:rPr>
            </w:pPr>
            <w:r>
              <w:rPr>
                <w:rFonts w:ascii="Arial" w:cs="Arial" w:eastAsia="Arial" w:hAnsi="Arial"/>
                <w:sz w:val="18"/>
                <w:szCs w:val="18"/>
                <w:color w:val="auto"/>
              </w:rPr>
              <w:t>150,000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75"/>
              <w:spacing w:after="0"/>
              <w:rPr>
                <w:sz w:val="20"/>
                <w:szCs w:val="20"/>
                <w:color w:val="auto"/>
              </w:rPr>
            </w:pPr>
            <w:r>
              <w:rPr>
                <w:rFonts w:ascii="Arial" w:cs="Arial" w:eastAsia="Arial" w:hAnsi="Arial"/>
                <w:sz w:val="18"/>
                <w:szCs w:val="18"/>
                <w:color w:val="auto"/>
              </w:rPr>
              <w:t>7,225,500</w:t>
            </w:r>
          </w:p>
        </w:tc>
      </w:tr>
      <w:tr>
        <w:trPr>
          <w:trHeight w:val="275"/>
        </w:trPr>
        <w:tc>
          <w:tcPr>
            <w:tcW w:w="500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Hassard</w:t>
            </w:r>
          </w:p>
        </w:tc>
        <w:tc>
          <w:tcPr>
            <w:tcW w:w="3220" w:type="dxa"/>
            <w:vAlign w:val="bottom"/>
            <w:shd w:val="clear" w:color="auto" w:fill="E5E5E5"/>
          </w:tcPr>
          <w:p>
            <w:pPr>
              <w:jc w:val="right"/>
              <w:ind w:right="1037"/>
              <w:spacing w:after="0"/>
              <w:rPr>
                <w:sz w:val="20"/>
                <w:szCs w:val="20"/>
                <w:color w:val="auto"/>
              </w:rPr>
            </w:pPr>
            <w:r>
              <w:rPr>
                <w:rFonts w:ascii="Arial" w:cs="Arial" w:eastAsia="Arial" w:hAnsi="Arial"/>
                <w:sz w:val="18"/>
                <w:szCs w:val="18"/>
                <w:color w:val="auto"/>
              </w:rPr>
              <w:t>125,000</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E5E5E5"/>
          </w:tcPr>
          <w:p>
            <w:pPr>
              <w:jc w:val="right"/>
              <w:ind w:right="675"/>
              <w:spacing w:after="0"/>
              <w:rPr>
                <w:sz w:val="20"/>
                <w:szCs w:val="20"/>
                <w:color w:val="auto"/>
              </w:rPr>
            </w:pPr>
            <w:r>
              <w:rPr>
                <w:rFonts w:ascii="Arial" w:cs="Arial" w:eastAsia="Arial" w:hAnsi="Arial"/>
                <w:sz w:val="18"/>
                <w:szCs w:val="18"/>
                <w:color w:val="auto"/>
              </w:rPr>
              <w:t>7,430,000</w:t>
            </w:r>
          </w:p>
        </w:tc>
      </w:tr>
      <w:tr>
        <w:trPr>
          <w:trHeight w:val="265"/>
        </w:trPr>
        <w:tc>
          <w:tcPr>
            <w:tcW w:w="5000" w:type="dxa"/>
            <w:vAlign w:val="bottom"/>
          </w:tcPr>
          <w:p>
            <w:pPr>
              <w:ind w:left="60"/>
              <w:spacing w:after="0"/>
              <w:rPr>
                <w:sz w:val="20"/>
                <w:szCs w:val="20"/>
                <w:color w:val="auto"/>
              </w:rPr>
            </w:pPr>
            <w:r>
              <w:rPr>
                <w:rFonts w:ascii="Arial" w:cs="Arial" w:eastAsia="Arial" w:hAnsi="Arial"/>
                <w:sz w:val="18"/>
                <w:szCs w:val="18"/>
                <w:color w:val="auto"/>
              </w:rPr>
              <w:t>Dr. Bradshaw</w:t>
            </w:r>
          </w:p>
        </w:tc>
        <w:tc>
          <w:tcPr>
            <w:tcW w:w="3220" w:type="dxa"/>
            <w:vAlign w:val="bottom"/>
          </w:tcPr>
          <w:p>
            <w:pPr>
              <w:jc w:val="right"/>
              <w:ind w:right="1037"/>
              <w:spacing w:after="0"/>
              <w:rPr>
                <w:sz w:val="20"/>
                <w:szCs w:val="20"/>
                <w:color w:val="auto"/>
              </w:rPr>
            </w:pPr>
            <w:r>
              <w:rPr>
                <w:rFonts w:ascii="Arial" w:cs="Arial" w:eastAsia="Arial" w:hAnsi="Arial"/>
                <w:sz w:val="18"/>
                <w:szCs w:val="18"/>
                <w:color w:val="auto"/>
              </w:rPr>
              <w:t>125,000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75"/>
              <w:spacing w:after="0"/>
              <w:rPr>
                <w:sz w:val="20"/>
                <w:szCs w:val="20"/>
                <w:color w:val="auto"/>
              </w:rPr>
            </w:pPr>
            <w:r>
              <w:rPr>
                <w:rFonts w:ascii="Arial" w:cs="Arial" w:eastAsia="Arial" w:hAnsi="Arial"/>
                <w:sz w:val="18"/>
                <w:szCs w:val="18"/>
                <w:color w:val="auto"/>
              </w:rPr>
              <w:t>6,021,250</w:t>
            </w:r>
          </w:p>
        </w:tc>
      </w:tr>
      <w:tr>
        <w:trPr>
          <w:trHeight w:val="270"/>
        </w:trPr>
        <w:tc>
          <w:tcPr>
            <w:tcW w:w="500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8"/>
                <w:szCs w:val="18"/>
                <w:color w:val="auto"/>
              </w:rPr>
              <w:t>Dr. Given</w:t>
            </w:r>
          </w:p>
        </w:tc>
        <w:tc>
          <w:tcPr>
            <w:tcW w:w="3220" w:type="dxa"/>
            <w:vAlign w:val="bottom"/>
            <w:tcBorders>
              <w:bottom w:val="single" w:sz="8" w:color="0071CE"/>
            </w:tcBorders>
            <w:shd w:val="clear" w:color="auto" w:fill="E5E5E5"/>
          </w:tcPr>
          <w:p>
            <w:pPr>
              <w:jc w:val="right"/>
              <w:ind w:right="1037"/>
              <w:spacing w:after="0"/>
              <w:rPr>
                <w:sz w:val="20"/>
                <w:szCs w:val="20"/>
                <w:color w:val="auto"/>
              </w:rPr>
            </w:pPr>
            <w:r>
              <w:rPr>
                <w:rFonts w:ascii="Arial" w:cs="Arial" w:eastAsia="Arial" w:hAnsi="Arial"/>
                <w:sz w:val="18"/>
                <w:szCs w:val="18"/>
                <w:color w:val="auto"/>
              </w:rPr>
              <w:t>250,000</w:t>
            </w:r>
          </w:p>
        </w:tc>
        <w:tc>
          <w:tcPr>
            <w:tcW w:w="112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0071CE"/>
            </w:tcBorders>
            <w:shd w:val="clear" w:color="auto" w:fill="E5E5E5"/>
          </w:tcPr>
          <w:p>
            <w:pPr>
              <w:jc w:val="right"/>
              <w:ind w:right="675"/>
              <w:spacing w:after="0"/>
              <w:rPr>
                <w:sz w:val="20"/>
                <w:szCs w:val="20"/>
                <w:color w:val="auto"/>
              </w:rPr>
            </w:pPr>
            <w:r>
              <w:rPr>
                <w:rFonts w:ascii="Arial" w:cs="Arial" w:eastAsia="Arial" w:hAnsi="Arial"/>
                <w:sz w:val="18"/>
                <w:szCs w:val="18"/>
                <w:color w:val="auto"/>
                <w:w w:val="99"/>
              </w:rPr>
              <w:t>15,857,500</w:t>
            </w:r>
          </w:p>
        </w:tc>
      </w:tr>
    </w:tbl>
    <w:p>
      <w:pPr>
        <w:spacing w:after="0" w:line="19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awards vest over 4 years in 4 equal installments. Dr. Bradshaw’s award was terminated upon his termination in November 2020. Dr. Given’s awards continues to vest as he continues to provide service to the company as a consultant.</w:t>
      </w:r>
    </w:p>
    <w:p>
      <w:pPr>
        <w:spacing w:after="0" w:line="148" w:lineRule="exact"/>
        <w:rPr>
          <w:sz w:val="20"/>
          <w:szCs w:val="20"/>
          <w:color w:val="auto"/>
        </w:rPr>
      </w:pPr>
    </w:p>
    <w:p>
      <w:pPr>
        <w:ind w:left="120" w:right="360"/>
        <w:spacing w:after="0" w:line="291" w:lineRule="auto"/>
        <w:rPr>
          <w:sz w:val="20"/>
          <w:szCs w:val="20"/>
          <w:color w:val="auto"/>
        </w:rPr>
      </w:pPr>
      <w:r>
        <w:rPr>
          <w:rFonts w:ascii="Arial" w:cs="Arial" w:eastAsia="Arial" w:hAnsi="Arial"/>
          <w:sz w:val="16"/>
          <w:szCs w:val="16"/>
          <w:color w:val="auto"/>
        </w:rPr>
        <w:t>The equity awards granted to our NEOs in fiscal 2020 are set forth in the “Fiscal 2020 Summary Compensation Table” and the “Fiscal 2020 Grants of Plan-Based Awards Table” below.</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Welfare and Health Benefits</w:t>
      </w:r>
    </w:p>
    <w:p>
      <w:pPr>
        <w:spacing w:after="0" w:line="106"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Our executive officers, including our NEOs, are eligible to participate in all of our employee benefit plans, including medical, dental, vision, life, and disability insurance, in each case on the same basis as our other employees, subject to applicable law. In addition, we provide additional life insurance for our CEO for the benefit of his heirs. We also provide vacation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73025</wp:posOffset>
            </wp:positionV>
            <wp:extent cx="98615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34</w:t>
      </w:r>
    </w:p>
    <w:p>
      <w:pPr>
        <w:sectPr>
          <w:pgSz w:w="11900" w:h="16838" w:orient="portrait"/>
          <w:cols w:equalWidth="0" w:num="1">
            <w:col w:w="11140"/>
          </w:cols>
          <w:pgMar w:left="320" w:top="455" w:right="4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paid holidays to all our employees, including our executive officers, all of which we believe to be comparable to those provided at peer companies.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164"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NEOs,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NEOs is reflected in the “All Other Compensation” column of the “Summary Compensation Table” below.</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06"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172"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06" w:lineRule="exact"/>
        <w:rPr>
          <w:sz w:val="20"/>
          <w:szCs w:val="20"/>
          <w:color w:val="auto"/>
        </w:rPr>
      </w:pPr>
    </w:p>
    <w:p>
      <w:pPr>
        <w:ind w:left="120" w:right="20"/>
        <w:spacing w:after="0" w:line="258"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17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For detailed descriptions of the employment arrangements we maintained with our NEOs for 2020, see “Termination Benefits — Potential Payments Upon Termination or Change in Control” below.</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08"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We have entered into an employment agreement with our CEO, and we also have agreements with our CFO and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to executive officers who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17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148"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16"/>
          <w:szCs w:val="16"/>
          <w:color w:val="auto"/>
        </w:rPr>
        <w:t>In addition, our 2013 Incentive Plan provides for the acceleration of vesting of outstanding and unvested equity awards in the event of a change in control of the Company, as defined in the plan, except as otherwise determined by our Board. The Company has amended the agreements for outstanding equity awards granted to our CEO 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172" w:lineRule="exact"/>
        <w:rPr>
          <w:sz w:val="20"/>
          <w:szCs w:val="20"/>
          <w:color w:val="auto"/>
        </w:rPr>
      </w:pPr>
    </w:p>
    <w:p>
      <w:pPr>
        <w:ind w:left="120" w:right="320"/>
        <w:spacing w:after="0" w:line="269" w:lineRule="auto"/>
        <w:rPr>
          <w:sz w:val="20"/>
          <w:szCs w:val="20"/>
          <w:color w:val="auto"/>
        </w:rPr>
      </w:pPr>
      <w:r>
        <w:rPr>
          <w:rFonts w:ascii="Arial" w:cs="Arial" w:eastAsia="Arial" w:hAnsi="Arial"/>
          <w:sz w:val="16"/>
          <w:szCs w:val="16"/>
          <w:color w:val="auto"/>
        </w:rPr>
        <w:t>For detailed descriptions of the post-employment compensation arrangements we maintained with our NEOs for 2020, as well as an estimate of the potential payments and benefits payable under these arrangements, see “Termination Benefits — Potential Payments Upon Termination or Change in Control”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73025</wp:posOffset>
            </wp:positionV>
            <wp:extent cx="986155"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Awards Grant Policy</w:t>
      </w:r>
    </w:p>
    <w:p>
      <w:pPr>
        <w:spacing w:after="0" w:line="106" w:lineRule="exact"/>
        <w:rPr>
          <w:sz w:val="20"/>
          <w:szCs w:val="20"/>
          <w:color w:val="auto"/>
        </w:rPr>
      </w:pPr>
    </w:p>
    <w:p>
      <w:pPr>
        <w:ind w:left="120"/>
        <w:spacing w:after="0" w:line="257"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on the commencement of their employment. We do not have any program, plan, or practice to grant options to purchase shares of our common stock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76"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172"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Under the terms of our 2013 Incentive Plan, pursuant to which new equity awards are granted, the exercise price of any option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Policy</w:t>
      </w:r>
    </w:p>
    <w:p>
      <w:pPr>
        <w:spacing w:after="0" w:line="106" w:lineRule="exact"/>
        <w:rPr>
          <w:sz w:val="20"/>
          <w:szCs w:val="20"/>
          <w:color w:val="auto"/>
        </w:rPr>
      </w:pPr>
    </w:p>
    <w:p>
      <w:pPr>
        <w:jc w:val="both"/>
        <w:ind w:left="120" w:right="80"/>
        <w:spacing w:after="0" w:line="261" w:lineRule="auto"/>
        <w:rPr>
          <w:sz w:val="20"/>
          <w:szCs w:val="20"/>
          <w:color w:val="auto"/>
        </w:rPr>
      </w:pPr>
      <w:r>
        <w:rPr>
          <w:rFonts w:ascii="Arial" w:cs="Arial" w:eastAsia="Arial" w:hAnsi="Arial"/>
          <w:sz w:val="16"/>
          <w:szCs w:val="16"/>
          <w:color w:val="auto"/>
        </w:rPr>
        <w:t>We maintain a stock ownership policy for our CEO and CFO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CFO to own a minimum number of shares of our common stock equal to a value of twice their annualized base salary. Each of these executive officers has achieved the required ownership.</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December 2017, our Board adopted a compensation recovery (“clawback”) policy as follows:</w:t>
      </w:r>
    </w:p>
    <w:p>
      <w:pPr>
        <w:spacing w:after="0" w:line="113"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auto"/>
        </w:rPr>
        <w:t>“If Arrowhead Pharmaceuticals, Inc. (the “Company”) is required to materially restate any of its financial statements, the Board of Directors (the “Board”) shall assess the degree to which any fraud, negligence, or intentional misconduct by any executive officer of the Company was responsible for such restatement. If the Board determines that any executive officer was responsible for causing such restatement, the Board shall, in addition to any other lawful remedies the Board or the Company may take, seek recovery of all or a portion of the incentive compensation awarded to the executive officer for the performance period covered by the restated financial statement, provided that such recovery shall not extend to payments made more than three years prior to the date the financial record was restated. In addition, the Board may, in its absolute discretion, revoke any of the responsible executive officer’s unpaid or unvested incentive compensation outstanding as of the date of the Board’s determination of the executive officer’s responsibility for the financial restatement.”</w:t>
      </w:r>
    </w:p>
    <w:p>
      <w:pPr>
        <w:spacing w:after="0" w:line="183"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In addition, our 2013 Incentive Plan (and, if approved, our 2021 Plan) provides for the recovery of awards made under the plan in accordance with any applicable compensation recovery or recoupment policy, including as required by law, regulation, or national securities exchange rule.</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Policy Prohibiting Hedging and Limiting Pledging</w:t>
      </w:r>
    </w:p>
    <w:p>
      <w:pPr>
        <w:spacing w:after="0" w:line="106" w:lineRule="exact"/>
        <w:rPr>
          <w:sz w:val="20"/>
          <w:szCs w:val="20"/>
          <w:color w:val="auto"/>
        </w:rPr>
      </w:pPr>
    </w:p>
    <w:p>
      <w:pPr>
        <w:jc w:val="both"/>
        <w:ind w:left="120" w:right="100"/>
        <w:spacing w:after="0" w:line="269" w:lineRule="auto"/>
        <w:rPr>
          <w:sz w:val="20"/>
          <w:szCs w:val="20"/>
          <w:color w:val="auto"/>
        </w:rPr>
      </w:pPr>
      <w:r>
        <w:rPr>
          <w:rFonts w:ascii="Arial" w:cs="Arial" w:eastAsia="Arial" w:hAnsi="Arial"/>
          <w:sz w:val="16"/>
          <w:szCs w:val="16"/>
          <w:color w:val="auto"/>
        </w:rPr>
        <w:t>Our Insider Trading Policy prohibits our employees, our executive officers, and the non-employee members of our Board from short-term trading, options trading, trading on margin, pledging our common stock as collateral, and all hedging transactions with respect to our securities, except for pledging up to 50% owned and vested stock as collateral for a loan subject to the approval of the Board.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04" w:lineRule="exact"/>
        <w:rPr>
          <w:sz w:val="20"/>
          <w:szCs w:val="20"/>
          <w:color w:val="auto"/>
        </w:rPr>
      </w:pPr>
    </w:p>
    <w:p>
      <w:pPr>
        <w:ind w:left="120" w:right="820"/>
        <w:spacing w:after="0" w:line="294" w:lineRule="auto"/>
        <w:rPr>
          <w:sz w:val="20"/>
          <w:szCs w:val="20"/>
          <w:color w:val="auto"/>
        </w:rPr>
      </w:pPr>
      <w:r>
        <w:rPr>
          <w:rFonts w:ascii="Arial" w:cs="Arial" w:eastAsia="Arial" w:hAnsi="Arial"/>
          <w:sz w:val="16"/>
          <w:szCs w:val="16"/>
          <w:color w:val="auto"/>
        </w:rPr>
        <w:t>Prior to the US Tax Cuts and Jobs Act enacted in December of 2017 (the “</w:t>
      </w:r>
      <w:r>
        <w:rPr>
          <w:rFonts w:ascii="Arial" w:cs="Arial" w:eastAsia="Arial" w:hAnsi="Arial"/>
          <w:sz w:val="16"/>
          <w:szCs w:val="16"/>
          <w:b w:val="1"/>
          <w:bCs w:val="1"/>
          <w:color w:val="auto"/>
        </w:rPr>
        <w:t>US Tax Act</w:t>
      </w:r>
      <w:r>
        <w:rPr>
          <w:rFonts w:ascii="Arial" w:cs="Arial" w:eastAsia="Arial" w:hAnsi="Arial"/>
          <w:sz w:val="16"/>
          <w:szCs w:val="16"/>
          <w:color w:val="auto"/>
        </w:rPr>
        <w:t>”), compensation that satisfied conditions set forth under Section 162(m) of the Internal Revenue Code to qualify as “performance-based compensation”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60960</wp:posOffset>
            </wp:positionV>
            <wp:extent cx="98615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not subject to a $1 million limit on deductibility, and the limit did not apply to compensation paid to the Chief Financial Officer. The US Tax Act eliminates the performance-based compensation exception and applies the limit to the Chief Financial Officer and certain former executive officers. However, it provides a transition rule with respect to remuneration provided under a written contract which was in effect on November 2, 2017 and which was not materially modified after that date. With elimination of the exemption for performance-based compensation, we expect that we will be unable to deduct all compensation in excess of $1 million paid to our Chief Executive Officer, Chief Financial Officer and our other NEOs covered by the new tax law, other than previously granted awards that comply with the transition rules. We monitor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06" w:lineRule="exact"/>
        <w:rPr>
          <w:sz w:val="20"/>
          <w:szCs w:val="20"/>
          <w:color w:val="auto"/>
        </w:rPr>
      </w:pPr>
    </w:p>
    <w:p>
      <w:pPr>
        <w:ind w:left="120" w:right="60"/>
        <w:spacing w:after="0" w:line="257"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80010</wp:posOffset>
            </wp:positionV>
            <wp:extent cx="986155"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6"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Compensation Risk Assessment</w:t>
      </w:r>
    </w:p>
    <w:p>
      <w:pPr>
        <w:spacing w:after="0" w:line="358"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NEOs.</w:t>
      </w:r>
    </w:p>
    <w:p>
      <w:pPr>
        <w:spacing w:after="0" w:line="177"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and are considered to be generally of the nature that promote the steady progression of our development programs and would not encourage or reward excessive risk-taking. In addition, our Board has the ability to intervene in instances where actions by our executive officers vis-à-vis Company performance objective attainment would be considered unduly risky to prevent or penalize such actions.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08" w:lineRule="exact"/>
        <w:rPr>
          <w:sz w:val="20"/>
          <w:szCs w:val="20"/>
          <w:color w:val="auto"/>
        </w:rPr>
      </w:pPr>
    </w:p>
    <w:p>
      <w:pPr>
        <w:ind w:left="120" w:right="200"/>
        <w:spacing w:after="0" w:line="269"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Submitted by the Compensation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of the Board of Directors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Michael S. Perry, Chairman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Marianne De Backer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Adeoye Olukotun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William Waddill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96520</wp:posOffset>
            </wp:positionV>
            <wp:extent cx="98615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108" w:lineRule="exact"/>
        <w:rPr>
          <w:sz w:val="20"/>
          <w:szCs w:val="20"/>
          <w:color w:val="auto"/>
        </w:rPr>
      </w:pPr>
    </w:p>
    <w:p>
      <w:pPr>
        <w:ind w:left="120" w:right="180"/>
        <w:spacing w:after="0" w:line="269" w:lineRule="auto"/>
        <w:rPr>
          <w:sz w:val="20"/>
          <w:szCs w:val="20"/>
          <w:color w:val="auto"/>
        </w:rPr>
      </w:pPr>
      <w:r>
        <w:rPr>
          <w:rFonts w:ascii="Arial" w:cs="Arial" w:eastAsia="Arial" w:hAnsi="Arial"/>
          <w:sz w:val="16"/>
          <w:szCs w:val="16"/>
          <w:color w:val="auto"/>
        </w:rPr>
        <w:t>During 2020, Dr. Perry, Dr. De Backer, Dr. Ferrari, and Mr. Waddill served on the Compensation Committee. During fiscal year 2020 and through December 2020, there were no compensation committee interlocks between the Company and other entities involving the Company’s executive officers and directors.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The following table summarizes compensation earned for services rendered during fiscal 2020, 2019, and 2018 by our Chief Executive Officer, our Chief Financial Officer, our Chief Medical Officer, our Chief Commercial Officer, our former Chief Scientific Officer, and our former Chief Operating Officer, collectively our “Named Executive Officers”: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600" w:type="dxa"/>
            <w:vAlign w:val="bottom"/>
            <w:shd w:val="clear" w:color="auto" w:fill="0071CE"/>
          </w:tcPr>
          <w:p>
            <w:pPr>
              <w:spacing w:after="0"/>
              <w:rPr>
                <w:sz w:val="15"/>
                <w:szCs w:val="15"/>
                <w:color w:val="auto"/>
              </w:rPr>
            </w:pPr>
          </w:p>
        </w:tc>
        <w:tc>
          <w:tcPr>
            <w:tcW w:w="180" w:type="dxa"/>
            <w:vAlign w:val="bottom"/>
            <w:shd w:val="clear" w:color="auto" w:fill="0071CE"/>
          </w:tcPr>
          <w:p>
            <w:pPr>
              <w:spacing w:after="0"/>
              <w:rPr>
                <w:sz w:val="15"/>
                <w:szCs w:val="15"/>
                <w:color w:val="auto"/>
              </w:rPr>
            </w:pPr>
          </w:p>
        </w:tc>
        <w:tc>
          <w:tcPr>
            <w:tcW w:w="520" w:type="dxa"/>
            <w:vAlign w:val="bottom"/>
            <w:shd w:val="clear" w:color="auto" w:fill="0071CE"/>
          </w:tcPr>
          <w:p>
            <w:pPr>
              <w:spacing w:after="0"/>
              <w:rPr>
                <w:sz w:val="15"/>
                <w:szCs w:val="15"/>
                <w:color w:val="auto"/>
              </w:rPr>
            </w:pPr>
          </w:p>
        </w:tc>
        <w:tc>
          <w:tcPr>
            <w:tcW w:w="820" w:type="dxa"/>
            <w:vAlign w:val="bottom"/>
            <w:shd w:val="clear" w:color="auto" w:fill="0071CE"/>
          </w:tcPr>
          <w:p>
            <w:pPr>
              <w:spacing w:after="0"/>
              <w:rPr>
                <w:sz w:val="15"/>
                <w:szCs w:val="15"/>
                <w:color w:val="auto"/>
              </w:rPr>
            </w:pPr>
          </w:p>
        </w:tc>
        <w:tc>
          <w:tcPr>
            <w:tcW w:w="840" w:type="dxa"/>
            <w:vAlign w:val="bottom"/>
            <w:shd w:val="clear" w:color="auto" w:fill="0071CE"/>
          </w:tcPr>
          <w:p>
            <w:pPr>
              <w:spacing w:after="0"/>
              <w:rPr>
                <w:sz w:val="15"/>
                <w:szCs w:val="15"/>
                <w:color w:val="auto"/>
              </w:rPr>
            </w:pPr>
          </w:p>
        </w:tc>
        <w:tc>
          <w:tcPr>
            <w:tcW w:w="1180" w:type="dxa"/>
            <w:vAlign w:val="bottom"/>
            <w:shd w:val="clear" w:color="auto" w:fill="0071CE"/>
          </w:tcPr>
          <w:p>
            <w:pPr>
              <w:spacing w:after="0"/>
              <w:rPr>
                <w:sz w:val="15"/>
                <w:szCs w:val="15"/>
                <w:color w:val="auto"/>
              </w:rPr>
            </w:pPr>
          </w:p>
        </w:tc>
        <w:tc>
          <w:tcPr>
            <w:tcW w:w="1040" w:type="dxa"/>
            <w:vAlign w:val="bottom"/>
            <w:shd w:val="clear" w:color="auto" w:fill="0071CE"/>
          </w:tcPr>
          <w:p>
            <w:pPr>
              <w:spacing w:after="0"/>
              <w:rPr>
                <w:sz w:val="15"/>
                <w:szCs w:val="15"/>
                <w:color w:val="auto"/>
              </w:rPr>
            </w:pPr>
          </w:p>
        </w:tc>
        <w:tc>
          <w:tcPr>
            <w:tcW w:w="1840" w:type="dxa"/>
            <w:vAlign w:val="bottom"/>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Non-Equity</w:t>
            </w:r>
          </w:p>
        </w:tc>
        <w:tc>
          <w:tcPr>
            <w:tcW w:w="1840" w:type="dxa"/>
            <w:vAlign w:val="bottom"/>
            <w:shd w:val="clear" w:color="auto" w:fill="0071CE"/>
          </w:tcPr>
          <w:p>
            <w:pPr>
              <w:spacing w:after="0"/>
              <w:rPr>
                <w:sz w:val="15"/>
                <w:szCs w:val="15"/>
                <w:color w:val="auto"/>
              </w:rPr>
            </w:pPr>
          </w:p>
        </w:tc>
        <w:tc>
          <w:tcPr>
            <w:tcW w:w="116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00" w:type="dxa"/>
            <w:vAlign w:val="bottom"/>
            <w:shd w:val="clear" w:color="auto" w:fill="0071CE"/>
          </w:tcPr>
          <w:p>
            <w:pPr>
              <w:spacing w:after="0"/>
              <w:rPr>
                <w:sz w:val="14"/>
                <w:szCs w:val="14"/>
                <w:color w:val="auto"/>
              </w:rPr>
            </w:pPr>
          </w:p>
        </w:tc>
        <w:tc>
          <w:tcPr>
            <w:tcW w:w="180" w:type="dxa"/>
            <w:vAlign w:val="bottom"/>
            <w:shd w:val="clear" w:color="auto" w:fill="0071CE"/>
          </w:tcPr>
          <w:p>
            <w:pPr>
              <w:spacing w:after="0"/>
              <w:rPr>
                <w:sz w:val="14"/>
                <w:szCs w:val="14"/>
                <w:color w:val="auto"/>
              </w:rPr>
            </w:pPr>
          </w:p>
        </w:tc>
        <w:tc>
          <w:tcPr>
            <w:tcW w:w="520" w:type="dxa"/>
            <w:vAlign w:val="bottom"/>
            <w:shd w:val="clear" w:color="auto" w:fill="0071CE"/>
          </w:tcPr>
          <w:p>
            <w:pPr>
              <w:spacing w:after="0"/>
              <w:rPr>
                <w:sz w:val="14"/>
                <w:szCs w:val="14"/>
                <w:color w:val="auto"/>
              </w:rPr>
            </w:pPr>
          </w:p>
        </w:tc>
        <w:tc>
          <w:tcPr>
            <w:tcW w:w="8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1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40" w:type="dxa"/>
            <w:vAlign w:val="bottom"/>
            <w:shd w:val="clear" w:color="auto" w:fill="0071CE"/>
          </w:tcPr>
          <w:p>
            <w:pPr>
              <w:jc w:val="center"/>
              <w:ind w:right="100"/>
              <w:spacing w:after="0"/>
              <w:rPr>
                <w:sz w:val="20"/>
                <w:szCs w:val="20"/>
                <w:color w:val="auto"/>
              </w:rPr>
            </w:pPr>
            <w:r>
              <w:rPr>
                <w:rFonts w:ascii="Arial" w:cs="Arial" w:eastAsia="Arial" w:hAnsi="Arial"/>
                <w:sz w:val="14"/>
                <w:szCs w:val="14"/>
                <w:b w:val="1"/>
                <w:bCs w:val="1"/>
                <w:color w:val="FFFFFF"/>
              </w:rPr>
              <w:t>Option</w:t>
            </w:r>
          </w:p>
        </w:tc>
        <w:tc>
          <w:tcPr>
            <w:tcW w:w="1840" w:type="dxa"/>
            <w:vAlign w:val="bottom"/>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Incentive Plan</w:t>
            </w:r>
          </w:p>
        </w:tc>
        <w:tc>
          <w:tcPr>
            <w:tcW w:w="1840" w:type="dxa"/>
            <w:vAlign w:val="bottom"/>
            <w:shd w:val="clear" w:color="auto" w:fill="0071CE"/>
          </w:tcPr>
          <w:p>
            <w:pPr>
              <w:jc w:val="center"/>
              <w:ind w:left="60"/>
              <w:spacing w:after="0"/>
              <w:rPr>
                <w:sz w:val="20"/>
                <w:szCs w:val="20"/>
                <w:color w:val="auto"/>
              </w:rPr>
            </w:pPr>
            <w:r>
              <w:rPr>
                <w:rFonts w:ascii="Arial" w:cs="Arial" w:eastAsia="Arial" w:hAnsi="Arial"/>
                <w:sz w:val="14"/>
                <w:szCs w:val="14"/>
                <w:b w:val="1"/>
                <w:bCs w:val="1"/>
                <w:color w:val="FFFFFF"/>
              </w:rPr>
              <w:t>All Other</w:t>
            </w:r>
          </w:p>
        </w:tc>
        <w:tc>
          <w:tcPr>
            <w:tcW w:w="116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0071CE"/>
          </w:tcPr>
          <w:p>
            <w:pPr>
              <w:ind w:left="160"/>
              <w:spacing w:after="0"/>
              <w:rPr>
                <w:sz w:val="20"/>
                <w:szCs w:val="20"/>
                <w:color w:val="auto"/>
              </w:rPr>
            </w:pPr>
            <w:r>
              <w:rPr>
                <w:rFonts w:ascii="Arial" w:cs="Arial" w:eastAsia="Arial" w:hAnsi="Arial"/>
                <w:sz w:val="14"/>
                <w:szCs w:val="14"/>
                <w:b w:val="1"/>
                <w:bCs w:val="1"/>
                <w:color w:val="FFFFFF"/>
              </w:rPr>
              <w:t>Name and</w:t>
            </w:r>
          </w:p>
        </w:tc>
        <w:tc>
          <w:tcPr>
            <w:tcW w:w="180" w:type="dxa"/>
            <w:vAlign w:val="bottom"/>
            <w:shd w:val="clear" w:color="auto" w:fill="0071CE"/>
          </w:tcPr>
          <w:p>
            <w:pPr>
              <w:spacing w:after="0"/>
              <w:rPr>
                <w:sz w:val="14"/>
                <w:szCs w:val="14"/>
                <w:color w:val="auto"/>
              </w:rPr>
            </w:pPr>
          </w:p>
        </w:tc>
        <w:tc>
          <w:tcPr>
            <w:tcW w:w="520" w:type="dxa"/>
            <w:vAlign w:val="bottom"/>
            <w:shd w:val="clear" w:color="auto" w:fill="0071CE"/>
          </w:tcPr>
          <w:p>
            <w:pPr>
              <w:spacing w:after="0"/>
              <w:rPr>
                <w:sz w:val="14"/>
                <w:szCs w:val="14"/>
                <w:color w:val="auto"/>
              </w:rPr>
            </w:pPr>
          </w:p>
        </w:tc>
        <w:tc>
          <w:tcPr>
            <w:tcW w:w="820" w:type="dxa"/>
            <w:vAlign w:val="bottom"/>
            <w:shd w:val="clear" w:color="auto" w:fill="0071CE"/>
          </w:tcPr>
          <w:p>
            <w:pPr>
              <w:jc w:val="right"/>
              <w:ind w:right="160"/>
              <w:spacing w:after="0"/>
              <w:rPr>
                <w:sz w:val="20"/>
                <w:szCs w:val="20"/>
                <w:color w:val="auto"/>
              </w:rPr>
            </w:pPr>
            <w:r>
              <w:rPr>
                <w:rFonts w:ascii="Arial" w:cs="Arial" w:eastAsia="Arial" w:hAnsi="Arial"/>
                <w:sz w:val="14"/>
                <w:szCs w:val="14"/>
                <w:b w:val="1"/>
                <w:bCs w:val="1"/>
                <w:color w:val="FFFFFF"/>
              </w:rPr>
              <w:t>Salary</w:t>
            </w:r>
          </w:p>
        </w:tc>
        <w:tc>
          <w:tcPr>
            <w:tcW w:w="840" w:type="dxa"/>
            <w:vAlign w:val="bottom"/>
            <w:shd w:val="clear" w:color="auto" w:fill="0071CE"/>
          </w:tcPr>
          <w:p>
            <w:pPr>
              <w:jc w:val="right"/>
              <w:ind w:right="160"/>
              <w:spacing w:after="0"/>
              <w:rPr>
                <w:sz w:val="20"/>
                <w:szCs w:val="20"/>
                <w:color w:val="auto"/>
              </w:rPr>
            </w:pPr>
            <w:r>
              <w:rPr>
                <w:rFonts w:ascii="Arial" w:cs="Arial" w:eastAsia="Arial" w:hAnsi="Arial"/>
                <w:sz w:val="14"/>
                <w:szCs w:val="14"/>
                <w:b w:val="1"/>
                <w:bCs w:val="1"/>
                <w:color w:val="FFFFFF"/>
              </w:rPr>
              <w:t>Bonus</w:t>
            </w:r>
          </w:p>
        </w:tc>
        <w:tc>
          <w:tcPr>
            <w:tcW w:w="11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 (1)</w:t>
            </w:r>
          </w:p>
        </w:tc>
        <w:tc>
          <w:tcPr>
            <w:tcW w:w="1040" w:type="dxa"/>
            <w:vAlign w:val="bottom"/>
            <w:shd w:val="clear" w:color="auto" w:fill="0071CE"/>
          </w:tcPr>
          <w:p>
            <w:pPr>
              <w:jc w:val="center"/>
              <w:ind w:right="100"/>
              <w:spacing w:after="0"/>
              <w:rPr>
                <w:sz w:val="20"/>
                <w:szCs w:val="20"/>
                <w:color w:val="auto"/>
              </w:rPr>
            </w:pPr>
            <w:r>
              <w:rPr>
                <w:rFonts w:ascii="Arial" w:cs="Arial" w:eastAsia="Arial" w:hAnsi="Arial"/>
                <w:sz w:val="14"/>
                <w:szCs w:val="14"/>
                <w:b w:val="1"/>
                <w:bCs w:val="1"/>
                <w:color w:val="FFFFFF"/>
              </w:rPr>
              <w:t>Awards (1)</w:t>
            </w:r>
          </w:p>
        </w:tc>
        <w:tc>
          <w:tcPr>
            <w:tcW w:w="1840" w:type="dxa"/>
            <w:vAlign w:val="bottom"/>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Compensation (2)</w:t>
            </w:r>
          </w:p>
        </w:tc>
        <w:tc>
          <w:tcPr>
            <w:tcW w:w="1840" w:type="dxa"/>
            <w:vAlign w:val="bottom"/>
            <w:shd w:val="clear" w:color="auto" w:fill="0071CE"/>
          </w:tcPr>
          <w:p>
            <w:pPr>
              <w:jc w:val="center"/>
              <w:ind w:left="60"/>
              <w:spacing w:after="0"/>
              <w:rPr>
                <w:sz w:val="20"/>
                <w:szCs w:val="20"/>
                <w:color w:val="auto"/>
              </w:rPr>
            </w:pPr>
            <w:r>
              <w:rPr>
                <w:rFonts w:ascii="Arial" w:cs="Arial" w:eastAsia="Arial" w:hAnsi="Arial"/>
                <w:sz w:val="14"/>
                <w:szCs w:val="14"/>
                <w:b w:val="1"/>
                <w:bCs w:val="1"/>
                <w:color w:val="FFFFFF"/>
              </w:rPr>
              <w:t>Compensation (3)</w:t>
            </w:r>
          </w:p>
        </w:tc>
        <w:tc>
          <w:tcPr>
            <w:tcW w:w="116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0071CE"/>
            </w:tcBorders>
            <w:shd w:val="clear" w:color="auto" w:fill="0071CE"/>
          </w:tcPr>
          <w:p>
            <w:pPr>
              <w:ind w:left="160"/>
              <w:spacing w:after="0"/>
              <w:rPr>
                <w:sz w:val="20"/>
                <w:szCs w:val="20"/>
                <w:color w:val="auto"/>
              </w:rPr>
            </w:pPr>
            <w:r>
              <w:rPr>
                <w:rFonts w:ascii="Arial" w:cs="Arial" w:eastAsia="Arial" w:hAnsi="Arial"/>
                <w:sz w:val="14"/>
                <w:szCs w:val="14"/>
                <w:b w:val="1"/>
                <w:bCs w:val="1"/>
                <w:color w:val="FFFFFF"/>
              </w:rPr>
              <w:t>Principal Position</w:t>
            </w:r>
          </w:p>
        </w:tc>
        <w:tc>
          <w:tcPr>
            <w:tcW w:w="180" w:type="dxa"/>
            <w:vAlign w:val="bottom"/>
            <w:tcBorders>
              <w:bottom w:val="single" w:sz="8" w:color="0071CE"/>
            </w:tcBorders>
            <w:shd w:val="clear" w:color="auto" w:fill="0071CE"/>
          </w:tcPr>
          <w:p>
            <w:pPr>
              <w:spacing w:after="0"/>
              <w:rPr>
                <w:sz w:val="17"/>
                <w:szCs w:val="17"/>
                <w:color w:val="auto"/>
              </w:rPr>
            </w:pPr>
          </w:p>
        </w:tc>
        <w:tc>
          <w:tcPr>
            <w:tcW w:w="520" w:type="dxa"/>
            <w:vAlign w:val="bottom"/>
            <w:tcBorders>
              <w:bottom w:val="single" w:sz="8" w:color="0071CE"/>
            </w:tcBorders>
            <w:shd w:val="clear" w:color="auto" w:fill="0071CE"/>
          </w:tcPr>
          <w:p>
            <w:pPr>
              <w:ind w:left="40"/>
              <w:spacing w:after="0"/>
              <w:rPr>
                <w:sz w:val="20"/>
                <w:szCs w:val="20"/>
                <w:color w:val="auto"/>
              </w:rPr>
            </w:pPr>
            <w:r>
              <w:rPr>
                <w:rFonts w:ascii="Arial" w:cs="Arial" w:eastAsia="Arial" w:hAnsi="Arial"/>
                <w:sz w:val="14"/>
                <w:szCs w:val="14"/>
                <w:b w:val="1"/>
                <w:bCs w:val="1"/>
                <w:color w:val="FFFFFF"/>
              </w:rPr>
              <w:t>Year</w:t>
            </w:r>
          </w:p>
        </w:tc>
        <w:tc>
          <w:tcPr>
            <w:tcW w:w="820" w:type="dxa"/>
            <w:vAlign w:val="bottom"/>
            <w:tcBorders>
              <w:bottom w:val="single" w:sz="8" w:color="0071CE"/>
            </w:tcBorders>
            <w:shd w:val="clear" w:color="auto" w:fill="0071CE"/>
          </w:tcPr>
          <w:p>
            <w:pPr>
              <w:jc w:val="right"/>
              <w:ind w:right="280"/>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0071CE"/>
            </w:tcBorders>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(S)</w:t>
            </w:r>
          </w:p>
        </w:tc>
        <w:tc>
          <w:tcPr>
            <w:tcW w:w="11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71CE"/>
            </w:tcBorders>
            <w:shd w:val="clear" w:color="auto" w:fill="0071CE"/>
          </w:tcPr>
          <w:p>
            <w:pPr>
              <w:jc w:val="center"/>
              <w:ind w:right="100"/>
              <w:spacing w:after="0"/>
              <w:rPr>
                <w:sz w:val="20"/>
                <w:szCs w:val="20"/>
                <w:color w:val="auto"/>
              </w:rPr>
            </w:pPr>
            <w:r>
              <w:rPr>
                <w:rFonts w:ascii="Arial" w:cs="Arial" w:eastAsia="Arial" w:hAnsi="Arial"/>
                <w:sz w:val="14"/>
                <w:szCs w:val="14"/>
                <w:b w:val="1"/>
                <w:bCs w:val="1"/>
                <w:color w:val="FFFFFF"/>
              </w:rPr>
              <w:t>($)</w:t>
            </w:r>
          </w:p>
        </w:tc>
        <w:tc>
          <w:tcPr>
            <w:tcW w:w="1840" w:type="dxa"/>
            <w:vAlign w:val="bottom"/>
            <w:tcBorders>
              <w:bottom w:val="single" w:sz="8" w:color="0071CE"/>
            </w:tcBorders>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w:t>
            </w:r>
          </w:p>
        </w:tc>
        <w:tc>
          <w:tcPr>
            <w:tcW w:w="1840" w:type="dxa"/>
            <w:vAlign w:val="bottom"/>
            <w:tcBorders>
              <w:bottom w:val="single" w:sz="8" w:color="0071CE"/>
            </w:tcBorders>
            <w:shd w:val="clear" w:color="auto" w:fill="0071CE"/>
          </w:tcPr>
          <w:p>
            <w:pPr>
              <w:jc w:val="center"/>
              <w:ind w:left="60"/>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bottom w:val="single" w:sz="8" w:color="0071CE"/>
            </w:tcBorders>
            <w:shd w:val="clear" w:color="auto" w:fill="0071CE"/>
          </w:tcPr>
          <w:p>
            <w:pPr>
              <w:jc w:val="right"/>
              <w:ind w:right="27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160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Christopher</w:t>
            </w:r>
          </w:p>
        </w:tc>
        <w:tc>
          <w:tcPr>
            <w:tcW w:w="70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2020</w:t>
            </w:r>
          </w:p>
        </w:tc>
        <w:tc>
          <w:tcPr>
            <w:tcW w:w="8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785,625</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12,686,000(4)</w:t>
            </w:r>
          </w:p>
        </w:tc>
        <w:tc>
          <w:tcPr>
            <w:tcW w:w="104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21"/>
              <w:spacing w:after="0"/>
              <w:rPr>
                <w:sz w:val="20"/>
                <w:szCs w:val="20"/>
                <w:color w:val="auto"/>
              </w:rPr>
            </w:pPr>
            <w:r>
              <w:rPr>
                <w:rFonts w:ascii="Arial" w:cs="Arial" w:eastAsia="Arial" w:hAnsi="Arial"/>
                <w:sz w:val="16"/>
                <w:szCs w:val="16"/>
                <w:color w:val="auto"/>
              </w:rPr>
              <w:t>820,000</w:t>
            </w:r>
          </w:p>
        </w:tc>
        <w:tc>
          <w:tcPr>
            <w:tcW w:w="184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rPr>
              <w:t>2,892</w:t>
            </w:r>
          </w:p>
        </w:tc>
        <w:tc>
          <w:tcPr>
            <w:tcW w:w="11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14,294,517</w:t>
            </w:r>
          </w:p>
        </w:tc>
        <w:tc>
          <w:tcPr>
            <w:tcW w:w="0" w:type="dxa"/>
            <w:vAlign w:val="bottom"/>
          </w:tcPr>
          <w:p>
            <w:pPr>
              <w:spacing w:after="0"/>
              <w:rPr>
                <w:sz w:val="1"/>
                <w:szCs w:val="1"/>
                <w:color w:val="auto"/>
              </w:rPr>
            </w:pPr>
          </w:p>
        </w:tc>
      </w:tr>
      <w:tr>
        <w:trPr>
          <w:trHeight w:val="171"/>
        </w:trPr>
        <w:tc>
          <w:tcPr>
            <w:tcW w:w="1600" w:type="dxa"/>
            <w:vAlign w:val="bottom"/>
            <w:shd w:val="clear" w:color="auto" w:fill="E5E5E5"/>
          </w:tcPr>
          <w:p>
            <w:pPr>
              <w:ind w:left="140"/>
              <w:spacing w:after="0" w:line="171" w:lineRule="exact"/>
              <w:rPr>
                <w:sz w:val="20"/>
                <w:szCs w:val="20"/>
                <w:color w:val="auto"/>
              </w:rPr>
            </w:pPr>
            <w:r>
              <w:rPr>
                <w:rFonts w:ascii="Arial" w:cs="Arial" w:eastAsia="Arial" w:hAnsi="Arial"/>
                <w:sz w:val="16"/>
                <w:szCs w:val="16"/>
                <w:b w:val="1"/>
                <w:bCs w:val="1"/>
                <w:color w:val="0071CE"/>
              </w:rPr>
              <w:t>Anzalone</w:t>
            </w:r>
          </w:p>
        </w:tc>
        <w:tc>
          <w:tcPr>
            <w:tcW w:w="180" w:type="dxa"/>
            <w:vAlign w:val="bottom"/>
            <w:shd w:val="clear" w:color="auto" w:fill="E5E5E5"/>
          </w:tcPr>
          <w:p>
            <w:pPr>
              <w:spacing w:after="0"/>
              <w:rPr>
                <w:sz w:val="14"/>
                <w:szCs w:val="14"/>
                <w:color w:val="auto"/>
              </w:rPr>
            </w:pPr>
          </w:p>
        </w:tc>
        <w:tc>
          <w:tcPr>
            <w:tcW w:w="5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2019</w:t>
            </w:r>
          </w:p>
        </w:tc>
        <w:tc>
          <w:tcPr>
            <w:tcW w:w="820" w:type="dxa"/>
            <w:vAlign w:val="bottom"/>
            <w:vMerge w:val="restart"/>
            <w:shd w:val="clear" w:color="auto" w:fill="E5E5E5"/>
          </w:tcPr>
          <w:p>
            <w:pPr>
              <w:jc w:val="right"/>
              <w:ind w:right="40"/>
              <w:spacing w:after="0"/>
              <w:rPr>
                <w:sz w:val="20"/>
                <w:szCs w:val="20"/>
                <w:color w:val="auto"/>
              </w:rPr>
            </w:pPr>
            <w:r>
              <w:rPr>
                <w:rFonts w:ascii="Arial" w:cs="Arial" w:eastAsia="Arial" w:hAnsi="Arial"/>
                <w:sz w:val="16"/>
                <w:szCs w:val="16"/>
                <w:color w:val="auto"/>
              </w:rPr>
              <w:t>674,375</w:t>
            </w:r>
          </w:p>
        </w:tc>
        <w:tc>
          <w:tcPr>
            <w:tcW w:w="840" w:type="dxa"/>
            <w:vAlign w:val="bottom"/>
            <w:vMerge w:val="restart"/>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—(5)</w:t>
            </w:r>
          </w:p>
        </w:tc>
        <w:tc>
          <w:tcPr>
            <w:tcW w:w="1040" w:type="dxa"/>
            <w:vAlign w:val="bottom"/>
            <w:vMerge w:val="restart"/>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E5E5E5"/>
          </w:tcPr>
          <w:p>
            <w:pPr>
              <w:jc w:val="right"/>
              <w:ind w:right="521"/>
              <w:spacing w:after="0"/>
              <w:rPr>
                <w:sz w:val="20"/>
                <w:szCs w:val="20"/>
                <w:color w:val="auto"/>
              </w:rPr>
            </w:pPr>
            <w:r>
              <w:rPr>
                <w:rFonts w:ascii="Arial" w:cs="Arial" w:eastAsia="Arial" w:hAnsi="Arial"/>
                <w:sz w:val="16"/>
                <w:szCs w:val="16"/>
                <w:color w:val="auto"/>
              </w:rPr>
              <w:t>1,540,000</w:t>
            </w:r>
          </w:p>
        </w:tc>
        <w:tc>
          <w:tcPr>
            <w:tcW w:w="1840" w:type="dxa"/>
            <w:vAlign w:val="bottom"/>
            <w:vMerge w:val="restart"/>
            <w:shd w:val="clear" w:color="auto" w:fill="E5E5E5"/>
          </w:tcPr>
          <w:p>
            <w:pPr>
              <w:jc w:val="right"/>
              <w:ind w:right="500"/>
              <w:spacing w:after="0"/>
              <w:rPr>
                <w:sz w:val="20"/>
                <w:szCs w:val="20"/>
                <w:color w:val="auto"/>
              </w:rPr>
            </w:pPr>
            <w:r>
              <w:rPr>
                <w:rFonts w:ascii="Arial" w:cs="Arial" w:eastAsia="Arial" w:hAnsi="Arial"/>
                <w:sz w:val="16"/>
                <w:szCs w:val="16"/>
                <w:color w:val="auto"/>
              </w:rPr>
              <w:t>1,889</w:t>
            </w:r>
          </w:p>
        </w:tc>
        <w:tc>
          <w:tcPr>
            <w:tcW w:w="116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2,216,264</w:t>
            </w:r>
          </w:p>
        </w:tc>
        <w:tc>
          <w:tcPr>
            <w:tcW w:w="0" w:type="dxa"/>
            <w:vAlign w:val="bottom"/>
          </w:tcPr>
          <w:p>
            <w:pPr>
              <w:spacing w:after="0"/>
              <w:rPr>
                <w:sz w:val="1"/>
                <w:szCs w:val="1"/>
                <w:color w:val="auto"/>
              </w:rPr>
            </w:pPr>
          </w:p>
        </w:tc>
      </w:tr>
      <w:tr>
        <w:trPr>
          <w:trHeight w:val="138"/>
        </w:trPr>
        <w:tc>
          <w:tcPr>
            <w:tcW w:w="1600" w:type="dxa"/>
            <w:vAlign w:val="bottom"/>
            <w:vMerge w:val="restart"/>
            <w:shd w:val="clear" w:color="auto" w:fill="E5E5E5"/>
          </w:tcPr>
          <w:p>
            <w:pPr>
              <w:ind w:left="140"/>
              <w:spacing w:after="0"/>
              <w:rPr>
                <w:sz w:val="20"/>
                <w:szCs w:val="20"/>
                <w:color w:val="auto"/>
              </w:rPr>
            </w:pPr>
            <w:r>
              <w:rPr>
                <w:rFonts w:ascii="Arial" w:cs="Arial" w:eastAsia="Arial" w:hAnsi="Arial"/>
                <w:sz w:val="16"/>
                <w:szCs w:val="16"/>
                <w:color w:val="auto"/>
              </w:rPr>
              <w:t>President and Chief</w:t>
            </w:r>
          </w:p>
        </w:tc>
        <w:tc>
          <w:tcPr>
            <w:tcW w:w="180" w:type="dxa"/>
            <w:vAlign w:val="bottom"/>
            <w:shd w:val="clear" w:color="auto" w:fill="E5E5E5"/>
          </w:tcPr>
          <w:p>
            <w:pPr>
              <w:spacing w:after="0"/>
              <w:rPr>
                <w:sz w:val="11"/>
                <w:szCs w:val="11"/>
                <w:color w:val="auto"/>
              </w:rPr>
            </w:pPr>
          </w:p>
        </w:tc>
        <w:tc>
          <w:tcPr>
            <w:tcW w:w="520" w:type="dxa"/>
            <w:vAlign w:val="bottom"/>
            <w:vMerge w:val="continue"/>
            <w:shd w:val="clear" w:color="auto" w:fill="E5E5E5"/>
          </w:tcPr>
          <w:p>
            <w:pPr>
              <w:spacing w:after="0"/>
              <w:rPr>
                <w:sz w:val="11"/>
                <w:szCs w:val="11"/>
                <w:color w:val="auto"/>
              </w:rPr>
            </w:pPr>
          </w:p>
        </w:tc>
        <w:tc>
          <w:tcPr>
            <w:tcW w:w="820" w:type="dxa"/>
            <w:vAlign w:val="bottom"/>
            <w:vMerge w:val="continue"/>
            <w:shd w:val="clear" w:color="auto" w:fill="E5E5E5"/>
          </w:tcPr>
          <w:p>
            <w:pPr>
              <w:spacing w:after="0"/>
              <w:rPr>
                <w:sz w:val="11"/>
                <w:szCs w:val="11"/>
                <w:color w:val="auto"/>
              </w:rPr>
            </w:pPr>
          </w:p>
        </w:tc>
        <w:tc>
          <w:tcPr>
            <w:tcW w:w="840" w:type="dxa"/>
            <w:vAlign w:val="bottom"/>
            <w:vMerge w:val="continue"/>
            <w:shd w:val="clear" w:color="auto" w:fill="E5E5E5"/>
          </w:tcPr>
          <w:p>
            <w:pPr>
              <w:spacing w:after="0"/>
              <w:rPr>
                <w:sz w:val="11"/>
                <w:szCs w:val="11"/>
                <w:color w:val="auto"/>
              </w:rPr>
            </w:pPr>
          </w:p>
        </w:tc>
        <w:tc>
          <w:tcPr>
            <w:tcW w:w="1180" w:type="dxa"/>
            <w:vAlign w:val="bottom"/>
            <w:vMerge w:val="continue"/>
            <w:shd w:val="clear" w:color="auto" w:fill="E5E5E5"/>
          </w:tcPr>
          <w:p>
            <w:pPr>
              <w:spacing w:after="0"/>
              <w:rPr>
                <w:sz w:val="11"/>
                <w:szCs w:val="11"/>
                <w:color w:val="auto"/>
              </w:rPr>
            </w:pPr>
          </w:p>
        </w:tc>
        <w:tc>
          <w:tcPr>
            <w:tcW w:w="1040" w:type="dxa"/>
            <w:vAlign w:val="bottom"/>
            <w:vMerge w:val="continue"/>
            <w:shd w:val="clear" w:color="auto" w:fill="E5E5E5"/>
          </w:tcPr>
          <w:p>
            <w:pPr>
              <w:spacing w:after="0"/>
              <w:rPr>
                <w:sz w:val="11"/>
                <w:szCs w:val="11"/>
                <w:color w:val="auto"/>
              </w:rPr>
            </w:pPr>
          </w:p>
        </w:tc>
        <w:tc>
          <w:tcPr>
            <w:tcW w:w="1840" w:type="dxa"/>
            <w:vAlign w:val="bottom"/>
            <w:vMerge w:val="continue"/>
            <w:shd w:val="clear" w:color="auto" w:fill="E5E5E5"/>
          </w:tcPr>
          <w:p>
            <w:pPr>
              <w:spacing w:after="0"/>
              <w:rPr>
                <w:sz w:val="11"/>
                <w:szCs w:val="11"/>
                <w:color w:val="auto"/>
              </w:rPr>
            </w:pPr>
          </w:p>
        </w:tc>
        <w:tc>
          <w:tcPr>
            <w:tcW w:w="1840" w:type="dxa"/>
            <w:vAlign w:val="bottom"/>
            <w:vMerge w:val="continue"/>
            <w:shd w:val="clear" w:color="auto" w:fill="E5E5E5"/>
          </w:tcPr>
          <w:p>
            <w:pPr>
              <w:spacing w:after="0"/>
              <w:rPr>
                <w:sz w:val="11"/>
                <w:szCs w:val="11"/>
                <w:color w:val="auto"/>
              </w:rPr>
            </w:pPr>
          </w:p>
        </w:tc>
        <w:tc>
          <w:tcPr>
            <w:tcW w:w="1160" w:type="dxa"/>
            <w:vAlign w:val="bottom"/>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600" w:type="dxa"/>
            <w:vAlign w:val="bottom"/>
            <w:vMerge w:val="continue"/>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520" w:type="dxa"/>
            <w:vAlign w:val="bottom"/>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840" w:type="dxa"/>
            <w:vAlign w:val="bottom"/>
            <w:shd w:val="clear" w:color="auto" w:fill="E5E5E5"/>
          </w:tcPr>
          <w:p>
            <w:pPr>
              <w:spacing w:after="0"/>
              <w:rPr>
                <w:sz w:val="4"/>
                <w:szCs w:val="4"/>
                <w:color w:val="auto"/>
              </w:rPr>
            </w:pPr>
          </w:p>
        </w:tc>
        <w:tc>
          <w:tcPr>
            <w:tcW w:w="1180" w:type="dxa"/>
            <w:vAlign w:val="bottom"/>
            <w:shd w:val="clear" w:color="auto" w:fill="E5E5E5"/>
          </w:tcPr>
          <w:p>
            <w:pPr>
              <w:spacing w:after="0"/>
              <w:rPr>
                <w:sz w:val="4"/>
                <w:szCs w:val="4"/>
                <w:color w:val="auto"/>
              </w:rPr>
            </w:pPr>
          </w:p>
        </w:tc>
        <w:tc>
          <w:tcPr>
            <w:tcW w:w="104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116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Executive Officer</w:t>
            </w:r>
          </w:p>
        </w:tc>
        <w:tc>
          <w:tcPr>
            <w:tcW w:w="180" w:type="dxa"/>
            <w:vAlign w:val="bottom"/>
            <w:shd w:val="clear" w:color="auto" w:fill="E5E5E5"/>
          </w:tcPr>
          <w:p>
            <w:pPr>
              <w:spacing w:after="0"/>
              <w:rPr>
                <w:sz w:val="20"/>
                <w:szCs w:val="20"/>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2018</w:t>
            </w:r>
          </w:p>
        </w:tc>
        <w:tc>
          <w:tcPr>
            <w:tcW w:w="8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643,012</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104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21"/>
              <w:spacing w:after="0"/>
              <w:rPr>
                <w:sz w:val="20"/>
                <w:szCs w:val="20"/>
                <w:color w:val="auto"/>
              </w:rPr>
            </w:pPr>
            <w:r>
              <w:rPr>
                <w:rFonts w:ascii="Arial" w:cs="Arial" w:eastAsia="Arial" w:hAnsi="Arial"/>
                <w:sz w:val="16"/>
                <w:szCs w:val="16"/>
                <w:color w:val="auto"/>
              </w:rPr>
              <w:t>975,000</w:t>
            </w:r>
          </w:p>
        </w:tc>
        <w:tc>
          <w:tcPr>
            <w:tcW w:w="184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rPr>
              <w:t>1,889</w:t>
            </w:r>
          </w:p>
        </w:tc>
        <w:tc>
          <w:tcPr>
            <w:tcW w:w="11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1,619,901</w:t>
            </w:r>
          </w:p>
        </w:tc>
        <w:tc>
          <w:tcPr>
            <w:tcW w:w="0" w:type="dxa"/>
            <w:vAlign w:val="bottom"/>
          </w:tcPr>
          <w:p>
            <w:pPr>
              <w:spacing w:after="0"/>
              <w:rPr>
                <w:sz w:val="1"/>
                <w:szCs w:val="1"/>
                <w:color w:val="auto"/>
              </w:rPr>
            </w:pPr>
          </w:p>
        </w:tc>
      </w:tr>
      <w:tr>
        <w:trPr>
          <w:trHeight w:val="229"/>
        </w:trPr>
        <w:tc>
          <w:tcPr>
            <w:tcW w:w="1600" w:type="dxa"/>
            <w:vAlign w:val="bottom"/>
          </w:tcPr>
          <w:p>
            <w:pPr>
              <w:ind w:left="140"/>
              <w:spacing w:after="0"/>
              <w:rPr>
                <w:sz w:val="20"/>
                <w:szCs w:val="20"/>
                <w:color w:val="auto"/>
              </w:rPr>
            </w:pPr>
            <w:r>
              <w:rPr>
                <w:rFonts w:ascii="Arial" w:cs="Arial" w:eastAsia="Arial" w:hAnsi="Arial"/>
                <w:sz w:val="16"/>
                <w:szCs w:val="16"/>
                <w:b w:val="1"/>
                <w:bCs w:val="1"/>
                <w:color w:val="0071CE"/>
              </w:rPr>
              <w:t>Kenneth</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2020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463,750</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5,391,550</w:t>
            </w:r>
          </w:p>
        </w:tc>
        <w:tc>
          <w:tcPr>
            <w:tcW w:w="1040" w:type="dxa"/>
            <w:vAlign w:val="bottom"/>
          </w:tcPr>
          <w:p>
            <w:pPr>
              <w:ind w:left="4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21"/>
              <w:spacing w:after="0"/>
              <w:rPr>
                <w:sz w:val="20"/>
                <w:szCs w:val="20"/>
                <w:color w:val="auto"/>
              </w:rPr>
            </w:pPr>
            <w:r>
              <w:rPr>
                <w:rFonts w:ascii="Arial" w:cs="Arial" w:eastAsia="Arial" w:hAnsi="Arial"/>
                <w:sz w:val="16"/>
                <w:szCs w:val="16"/>
                <w:color w:val="auto"/>
              </w:rPr>
              <w:t>213,750</w:t>
            </w:r>
          </w:p>
        </w:tc>
        <w:tc>
          <w:tcPr>
            <w:tcW w:w="1840" w:type="dxa"/>
            <w:vAlign w:val="bottom"/>
          </w:tcPr>
          <w:p>
            <w:pPr>
              <w:jc w:val="right"/>
              <w:ind w:right="500"/>
              <w:spacing w:after="0"/>
              <w:rPr>
                <w:sz w:val="20"/>
                <w:szCs w:val="20"/>
                <w:color w:val="auto"/>
              </w:rPr>
            </w:pPr>
            <w:r>
              <w:rPr>
                <w:rFonts w:ascii="Arial" w:cs="Arial" w:eastAsia="Arial" w:hAnsi="Arial"/>
                <w:sz w:val="16"/>
                <w:szCs w:val="16"/>
                <w:color w:val="auto"/>
              </w:rPr>
              <w:t>12,802</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6,081,852</w:t>
            </w:r>
          </w:p>
        </w:tc>
        <w:tc>
          <w:tcPr>
            <w:tcW w:w="0" w:type="dxa"/>
            <w:vAlign w:val="bottom"/>
          </w:tcPr>
          <w:p>
            <w:pPr>
              <w:spacing w:after="0"/>
              <w:rPr>
                <w:sz w:val="1"/>
                <w:szCs w:val="1"/>
                <w:color w:val="auto"/>
              </w:rPr>
            </w:pPr>
          </w:p>
        </w:tc>
      </w:tr>
      <w:tr>
        <w:trPr>
          <w:trHeight w:val="171"/>
        </w:trPr>
        <w:tc>
          <w:tcPr>
            <w:tcW w:w="1600" w:type="dxa"/>
            <w:vAlign w:val="bottom"/>
          </w:tcPr>
          <w:p>
            <w:pPr>
              <w:ind w:left="140"/>
              <w:spacing w:after="0" w:line="171" w:lineRule="exact"/>
              <w:rPr>
                <w:sz w:val="20"/>
                <w:szCs w:val="20"/>
                <w:color w:val="auto"/>
              </w:rPr>
            </w:pPr>
            <w:r>
              <w:rPr>
                <w:rFonts w:ascii="Arial" w:cs="Arial" w:eastAsia="Arial" w:hAnsi="Arial"/>
                <w:sz w:val="16"/>
                <w:szCs w:val="16"/>
                <w:b w:val="1"/>
                <w:bCs w:val="1"/>
                <w:color w:val="0071CE"/>
              </w:rPr>
              <w:t>Myszkowski</w:t>
            </w:r>
          </w:p>
        </w:tc>
        <w:tc>
          <w:tcPr>
            <w:tcW w:w="700" w:type="dxa"/>
            <w:vAlign w:val="bottom"/>
            <w:gridSpan w:val="2"/>
            <w:vMerge w:val="restart"/>
          </w:tcPr>
          <w:p>
            <w:pPr>
              <w:ind w:left="240"/>
              <w:spacing w:after="0"/>
              <w:rPr>
                <w:sz w:val="20"/>
                <w:szCs w:val="20"/>
                <w:color w:val="auto"/>
              </w:rPr>
            </w:pPr>
            <w:r>
              <w:rPr>
                <w:rFonts w:ascii="Arial" w:cs="Arial" w:eastAsia="Arial" w:hAnsi="Arial"/>
                <w:sz w:val="16"/>
                <w:szCs w:val="16"/>
                <w:color w:val="auto"/>
              </w:rPr>
              <w:t>2019</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422,500</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160"/>
              <w:spacing w:after="0"/>
              <w:rPr>
                <w:sz w:val="20"/>
                <w:szCs w:val="20"/>
                <w:color w:val="auto"/>
              </w:rPr>
            </w:pPr>
            <w:r>
              <w:rPr>
                <w:rFonts w:ascii="Arial" w:cs="Arial" w:eastAsia="Arial" w:hAnsi="Arial"/>
                <w:sz w:val="16"/>
                <w:szCs w:val="16"/>
                <w:color w:val="auto"/>
              </w:rPr>
              <w:t>1,055,700</w:t>
            </w:r>
          </w:p>
        </w:tc>
        <w:tc>
          <w:tcPr>
            <w:tcW w:w="10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tcPr>
          <w:p>
            <w:pPr>
              <w:jc w:val="right"/>
              <w:ind w:right="521"/>
              <w:spacing w:after="0"/>
              <w:rPr>
                <w:sz w:val="20"/>
                <w:szCs w:val="20"/>
                <w:color w:val="auto"/>
              </w:rPr>
            </w:pPr>
            <w:r>
              <w:rPr>
                <w:rFonts w:ascii="Arial" w:cs="Arial" w:eastAsia="Arial" w:hAnsi="Arial"/>
                <w:sz w:val="16"/>
                <w:szCs w:val="16"/>
                <w:color w:val="auto"/>
              </w:rPr>
              <w:t>251,550</w:t>
            </w:r>
          </w:p>
        </w:tc>
        <w:tc>
          <w:tcPr>
            <w:tcW w:w="1840" w:type="dxa"/>
            <w:vAlign w:val="bottom"/>
            <w:vMerge w:val="restart"/>
          </w:tcPr>
          <w:p>
            <w:pPr>
              <w:jc w:val="right"/>
              <w:ind w:right="500"/>
              <w:spacing w:after="0"/>
              <w:rPr>
                <w:sz w:val="20"/>
                <w:szCs w:val="20"/>
                <w:color w:val="auto"/>
              </w:rPr>
            </w:pPr>
            <w:r>
              <w:rPr>
                <w:rFonts w:ascii="Arial" w:cs="Arial" w:eastAsia="Arial" w:hAnsi="Arial"/>
                <w:sz w:val="16"/>
                <w:szCs w:val="16"/>
                <w:color w:val="auto"/>
              </w:rPr>
              <w:t>11,799</w:t>
            </w: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1,741,549</w:t>
            </w:r>
          </w:p>
        </w:tc>
        <w:tc>
          <w:tcPr>
            <w:tcW w:w="0" w:type="dxa"/>
            <w:vAlign w:val="bottom"/>
          </w:tcPr>
          <w:p>
            <w:pPr>
              <w:spacing w:after="0"/>
              <w:rPr>
                <w:sz w:val="1"/>
                <w:szCs w:val="1"/>
                <w:color w:val="auto"/>
              </w:rPr>
            </w:pPr>
          </w:p>
        </w:tc>
      </w:tr>
      <w:tr>
        <w:trPr>
          <w:trHeight w:val="138"/>
        </w:trPr>
        <w:tc>
          <w:tcPr>
            <w:tcW w:w="1600" w:type="dxa"/>
            <w:vAlign w:val="bottom"/>
            <w:vMerge w:val="restart"/>
          </w:tcPr>
          <w:p>
            <w:pPr>
              <w:ind w:left="140"/>
              <w:spacing w:after="0"/>
              <w:rPr>
                <w:sz w:val="20"/>
                <w:szCs w:val="20"/>
                <w:color w:val="auto"/>
              </w:rPr>
            </w:pPr>
            <w:r>
              <w:rPr>
                <w:rFonts w:ascii="Arial" w:cs="Arial" w:eastAsia="Arial" w:hAnsi="Arial"/>
                <w:sz w:val="16"/>
                <w:szCs w:val="16"/>
                <w:color w:val="auto"/>
              </w:rPr>
              <w:t>Chief Financial</w:t>
            </w:r>
          </w:p>
        </w:tc>
        <w:tc>
          <w:tcPr>
            <w:tcW w:w="7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600" w:type="dxa"/>
            <w:vAlign w:val="bottom"/>
          </w:tcPr>
          <w:p>
            <w:pPr>
              <w:ind w:left="140"/>
              <w:spacing w:after="0"/>
              <w:rPr>
                <w:sz w:val="20"/>
                <w:szCs w:val="20"/>
                <w:color w:val="auto"/>
              </w:rPr>
            </w:pPr>
            <w:r>
              <w:rPr>
                <w:rFonts w:ascii="Arial" w:cs="Arial" w:eastAsia="Arial" w:hAnsi="Arial"/>
                <w:sz w:val="16"/>
                <w:szCs w:val="16"/>
                <w:color w:val="auto"/>
              </w:rPr>
              <w:t>Officer</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2018</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384,841</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276,000</w:t>
            </w:r>
          </w:p>
        </w:tc>
        <w:tc>
          <w:tcPr>
            <w:tcW w:w="1040" w:type="dxa"/>
            <w:vAlign w:val="bottom"/>
          </w:tcPr>
          <w:p>
            <w:pPr>
              <w:ind w:left="4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21"/>
              <w:spacing w:after="0"/>
              <w:rPr>
                <w:sz w:val="20"/>
                <w:szCs w:val="20"/>
                <w:color w:val="auto"/>
              </w:rPr>
            </w:pPr>
            <w:r>
              <w:rPr>
                <w:rFonts w:ascii="Arial" w:cs="Arial" w:eastAsia="Arial" w:hAnsi="Arial"/>
                <w:sz w:val="16"/>
                <w:szCs w:val="16"/>
                <w:color w:val="auto"/>
              </w:rPr>
              <w:t>180,000</w:t>
            </w:r>
          </w:p>
        </w:tc>
        <w:tc>
          <w:tcPr>
            <w:tcW w:w="1840" w:type="dxa"/>
            <w:vAlign w:val="bottom"/>
          </w:tcPr>
          <w:p>
            <w:pPr>
              <w:jc w:val="right"/>
              <w:ind w:right="500"/>
              <w:spacing w:after="0"/>
              <w:rPr>
                <w:sz w:val="20"/>
                <w:szCs w:val="20"/>
                <w:color w:val="auto"/>
              </w:rPr>
            </w:pPr>
            <w:r>
              <w:rPr>
                <w:rFonts w:ascii="Arial" w:cs="Arial" w:eastAsia="Arial" w:hAnsi="Arial"/>
                <w:sz w:val="16"/>
                <w:szCs w:val="16"/>
                <w:color w:val="auto"/>
              </w:rPr>
              <w:t>12,177</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853,018</w:t>
            </w:r>
          </w:p>
        </w:tc>
        <w:tc>
          <w:tcPr>
            <w:tcW w:w="0" w:type="dxa"/>
            <w:vAlign w:val="bottom"/>
          </w:tcPr>
          <w:p>
            <w:pPr>
              <w:spacing w:after="0"/>
              <w:rPr>
                <w:sz w:val="1"/>
                <w:szCs w:val="1"/>
                <w:color w:val="auto"/>
              </w:rPr>
            </w:pPr>
          </w:p>
        </w:tc>
      </w:tr>
      <w:tr>
        <w:trPr>
          <w:trHeight w:val="251"/>
        </w:trPr>
        <w:tc>
          <w:tcPr>
            <w:tcW w:w="160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Javier San Martin</w:t>
            </w:r>
          </w:p>
        </w:tc>
        <w:tc>
          <w:tcPr>
            <w:tcW w:w="70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2020</w:t>
            </w:r>
          </w:p>
        </w:tc>
        <w:tc>
          <w:tcPr>
            <w:tcW w:w="8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380,769</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100,000</w:t>
            </w:r>
          </w:p>
        </w:tc>
        <w:tc>
          <w:tcPr>
            <w:tcW w:w="11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7,225,500</w:t>
            </w:r>
          </w:p>
        </w:tc>
        <w:tc>
          <w:tcPr>
            <w:tcW w:w="104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21"/>
              <w:spacing w:after="0"/>
              <w:rPr>
                <w:sz w:val="20"/>
                <w:szCs w:val="20"/>
                <w:color w:val="auto"/>
              </w:rPr>
            </w:pPr>
            <w:r>
              <w:rPr>
                <w:rFonts w:ascii="Arial" w:cs="Arial" w:eastAsia="Arial" w:hAnsi="Arial"/>
                <w:sz w:val="16"/>
                <w:szCs w:val="16"/>
                <w:color w:val="auto"/>
              </w:rPr>
              <w:t>180,000</w:t>
            </w:r>
          </w:p>
        </w:tc>
        <w:tc>
          <w:tcPr>
            <w:tcW w:w="184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rPr>
              <w:t>12,802</w:t>
            </w:r>
          </w:p>
        </w:tc>
        <w:tc>
          <w:tcPr>
            <w:tcW w:w="11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7,899,071</w:t>
            </w:r>
          </w:p>
        </w:tc>
        <w:tc>
          <w:tcPr>
            <w:tcW w:w="0" w:type="dxa"/>
            <w:vAlign w:val="bottom"/>
          </w:tcPr>
          <w:p>
            <w:pPr>
              <w:spacing w:after="0"/>
              <w:rPr>
                <w:sz w:val="1"/>
                <w:szCs w:val="1"/>
                <w:color w:val="auto"/>
              </w:rPr>
            </w:pPr>
          </w:p>
        </w:tc>
      </w:tr>
      <w:tr>
        <w:trPr>
          <w:trHeight w:val="171"/>
        </w:trPr>
        <w:tc>
          <w:tcPr>
            <w:tcW w:w="1600" w:type="dxa"/>
            <w:vAlign w:val="bottom"/>
            <w:shd w:val="clear" w:color="auto" w:fill="E5E5E5"/>
          </w:tcPr>
          <w:p>
            <w:pPr>
              <w:ind w:left="140"/>
              <w:spacing w:after="0" w:line="171" w:lineRule="exact"/>
              <w:rPr>
                <w:sz w:val="20"/>
                <w:szCs w:val="20"/>
                <w:color w:val="auto"/>
              </w:rPr>
            </w:pPr>
            <w:r>
              <w:rPr>
                <w:rFonts w:ascii="Arial" w:cs="Arial" w:eastAsia="Arial" w:hAnsi="Arial"/>
                <w:sz w:val="16"/>
                <w:szCs w:val="16"/>
                <w:b w:val="1"/>
                <w:bCs w:val="1"/>
                <w:color w:val="0071CE"/>
              </w:rPr>
              <w:t>(7)</w:t>
            </w:r>
          </w:p>
        </w:tc>
        <w:tc>
          <w:tcPr>
            <w:tcW w:w="180" w:type="dxa"/>
            <w:vAlign w:val="bottom"/>
            <w:shd w:val="clear" w:color="auto" w:fill="E5E5E5"/>
          </w:tcPr>
          <w:p>
            <w:pPr>
              <w:spacing w:after="0"/>
              <w:rPr>
                <w:sz w:val="14"/>
                <w:szCs w:val="14"/>
                <w:color w:val="auto"/>
              </w:rPr>
            </w:pPr>
          </w:p>
        </w:tc>
        <w:tc>
          <w:tcPr>
            <w:tcW w:w="5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2019</w:t>
            </w:r>
          </w:p>
        </w:tc>
        <w:tc>
          <w:tcPr>
            <w:tcW w:w="820" w:type="dxa"/>
            <w:vAlign w:val="bottom"/>
            <w:vMerge w:val="restart"/>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E5E5E5"/>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E5E5E5"/>
          </w:tcPr>
          <w:p>
            <w:pPr>
              <w:jc w:val="right"/>
              <w:ind w:right="50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8"/>
        </w:trPr>
        <w:tc>
          <w:tcPr>
            <w:tcW w:w="1600" w:type="dxa"/>
            <w:vAlign w:val="bottom"/>
            <w:vMerge w:val="restart"/>
            <w:shd w:val="clear" w:color="auto" w:fill="E5E5E5"/>
          </w:tcPr>
          <w:p>
            <w:pPr>
              <w:ind w:left="140"/>
              <w:spacing w:after="0"/>
              <w:rPr>
                <w:sz w:val="20"/>
                <w:szCs w:val="20"/>
                <w:color w:val="auto"/>
              </w:rPr>
            </w:pPr>
            <w:r>
              <w:rPr>
                <w:rFonts w:ascii="Arial" w:cs="Arial" w:eastAsia="Arial" w:hAnsi="Arial"/>
                <w:sz w:val="16"/>
                <w:szCs w:val="16"/>
                <w:color w:val="auto"/>
              </w:rPr>
              <w:t>Chief Medical</w:t>
            </w:r>
          </w:p>
        </w:tc>
        <w:tc>
          <w:tcPr>
            <w:tcW w:w="180" w:type="dxa"/>
            <w:vAlign w:val="bottom"/>
            <w:shd w:val="clear" w:color="auto" w:fill="E5E5E5"/>
          </w:tcPr>
          <w:p>
            <w:pPr>
              <w:spacing w:after="0"/>
              <w:rPr>
                <w:sz w:val="11"/>
                <w:szCs w:val="11"/>
                <w:color w:val="auto"/>
              </w:rPr>
            </w:pPr>
          </w:p>
        </w:tc>
        <w:tc>
          <w:tcPr>
            <w:tcW w:w="520" w:type="dxa"/>
            <w:vAlign w:val="bottom"/>
            <w:vMerge w:val="continue"/>
            <w:shd w:val="clear" w:color="auto" w:fill="E5E5E5"/>
          </w:tcPr>
          <w:p>
            <w:pPr>
              <w:spacing w:after="0"/>
              <w:rPr>
                <w:sz w:val="11"/>
                <w:szCs w:val="11"/>
                <w:color w:val="auto"/>
              </w:rPr>
            </w:pPr>
          </w:p>
        </w:tc>
        <w:tc>
          <w:tcPr>
            <w:tcW w:w="820" w:type="dxa"/>
            <w:vAlign w:val="bottom"/>
            <w:vMerge w:val="continue"/>
            <w:shd w:val="clear" w:color="auto" w:fill="E5E5E5"/>
          </w:tcPr>
          <w:p>
            <w:pPr>
              <w:spacing w:after="0"/>
              <w:rPr>
                <w:sz w:val="11"/>
                <w:szCs w:val="11"/>
                <w:color w:val="auto"/>
              </w:rPr>
            </w:pPr>
          </w:p>
        </w:tc>
        <w:tc>
          <w:tcPr>
            <w:tcW w:w="840" w:type="dxa"/>
            <w:vAlign w:val="bottom"/>
            <w:vMerge w:val="continue"/>
            <w:shd w:val="clear" w:color="auto" w:fill="E5E5E5"/>
          </w:tcPr>
          <w:p>
            <w:pPr>
              <w:spacing w:after="0"/>
              <w:rPr>
                <w:sz w:val="11"/>
                <w:szCs w:val="11"/>
                <w:color w:val="auto"/>
              </w:rPr>
            </w:pPr>
          </w:p>
        </w:tc>
        <w:tc>
          <w:tcPr>
            <w:tcW w:w="1180" w:type="dxa"/>
            <w:vAlign w:val="bottom"/>
            <w:vMerge w:val="continue"/>
            <w:shd w:val="clear" w:color="auto" w:fill="E5E5E5"/>
          </w:tcPr>
          <w:p>
            <w:pPr>
              <w:spacing w:after="0"/>
              <w:rPr>
                <w:sz w:val="11"/>
                <w:szCs w:val="11"/>
                <w:color w:val="auto"/>
              </w:rPr>
            </w:pPr>
          </w:p>
        </w:tc>
        <w:tc>
          <w:tcPr>
            <w:tcW w:w="1040" w:type="dxa"/>
            <w:vAlign w:val="bottom"/>
            <w:vMerge w:val="continue"/>
            <w:shd w:val="clear" w:color="auto" w:fill="E5E5E5"/>
          </w:tcPr>
          <w:p>
            <w:pPr>
              <w:spacing w:after="0"/>
              <w:rPr>
                <w:sz w:val="11"/>
                <w:szCs w:val="11"/>
                <w:color w:val="auto"/>
              </w:rPr>
            </w:pPr>
          </w:p>
        </w:tc>
        <w:tc>
          <w:tcPr>
            <w:tcW w:w="1840" w:type="dxa"/>
            <w:vAlign w:val="bottom"/>
            <w:vMerge w:val="continue"/>
            <w:shd w:val="clear" w:color="auto" w:fill="E5E5E5"/>
          </w:tcPr>
          <w:p>
            <w:pPr>
              <w:spacing w:after="0"/>
              <w:rPr>
                <w:sz w:val="11"/>
                <w:szCs w:val="11"/>
                <w:color w:val="auto"/>
              </w:rPr>
            </w:pPr>
          </w:p>
        </w:tc>
        <w:tc>
          <w:tcPr>
            <w:tcW w:w="1840" w:type="dxa"/>
            <w:vAlign w:val="bottom"/>
            <w:vMerge w:val="continue"/>
            <w:shd w:val="clear" w:color="auto" w:fill="E5E5E5"/>
          </w:tcPr>
          <w:p>
            <w:pPr>
              <w:spacing w:after="0"/>
              <w:rPr>
                <w:sz w:val="11"/>
                <w:szCs w:val="11"/>
                <w:color w:val="auto"/>
              </w:rPr>
            </w:pPr>
          </w:p>
        </w:tc>
        <w:tc>
          <w:tcPr>
            <w:tcW w:w="1160" w:type="dxa"/>
            <w:vAlign w:val="bottom"/>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600" w:type="dxa"/>
            <w:vAlign w:val="bottom"/>
            <w:vMerge w:val="continue"/>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520" w:type="dxa"/>
            <w:vAlign w:val="bottom"/>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840" w:type="dxa"/>
            <w:vAlign w:val="bottom"/>
            <w:shd w:val="clear" w:color="auto" w:fill="E5E5E5"/>
          </w:tcPr>
          <w:p>
            <w:pPr>
              <w:spacing w:after="0"/>
              <w:rPr>
                <w:sz w:val="4"/>
                <w:szCs w:val="4"/>
                <w:color w:val="auto"/>
              </w:rPr>
            </w:pPr>
          </w:p>
        </w:tc>
        <w:tc>
          <w:tcPr>
            <w:tcW w:w="1180" w:type="dxa"/>
            <w:vAlign w:val="bottom"/>
            <w:shd w:val="clear" w:color="auto" w:fill="E5E5E5"/>
          </w:tcPr>
          <w:p>
            <w:pPr>
              <w:spacing w:after="0"/>
              <w:rPr>
                <w:sz w:val="4"/>
                <w:szCs w:val="4"/>
                <w:color w:val="auto"/>
              </w:rPr>
            </w:pPr>
          </w:p>
        </w:tc>
        <w:tc>
          <w:tcPr>
            <w:tcW w:w="104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116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Officer</w:t>
            </w:r>
          </w:p>
        </w:tc>
        <w:tc>
          <w:tcPr>
            <w:tcW w:w="180" w:type="dxa"/>
            <w:vAlign w:val="bottom"/>
            <w:shd w:val="clear" w:color="auto" w:fill="E5E5E5"/>
          </w:tcPr>
          <w:p>
            <w:pPr>
              <w:spacing w:after="0"/>
              <w:rPr>
                <w:sz w:val="20"/>
                <w:szCs w:val="20"/>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2018</w:t>
            </w:r>
          </w:p>
        </w:tc>
        <w:tc>
          <w:tcPr>
            <w:tcW w:w="8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600" w:type="dxa"/>
            <w:vAlign w:val="bottom"/>
          </w:tcPr>
          <w:p>
            <w:pPr>
              <w:ind w:left="140"/>
              <w:spacing w:after="0"/>
              <w:rPr>
                <w:sz w:val="20"/>
                <w:szCs w:val="20"/>
                <w:color w:val="auto"/>
              </w:rPr>
            </w:pPr>
            <w:r>
              <w:rPr>
                <w:rFonts w:ascii="Arial" w:cs="Arial" w:eastAsia="Arial" w:hAnsi="Arial"/>
                <w:sz w:val="16"/>
                <w:szCs w:val="16"/>
                <w:b w:val="1"/>
                <w:bCs w:val="1"/>
                <w:color w:val="0071CE"/>
              </w:rPr>
              <w:t>James Hassard (8)</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2020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302,404</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7,430,000</w:t>
            </w:r>
          </w:p>
        </w:tc>
        <w:tc>
          <w:tcPr>
            <w:tcW w:w="1040" w:type="dxa"/>
            <w:vAlign w:val="bottom"/>
          </w:tcPr>
          <w:p>
            <w:pPr>
              <w:ind w:left="4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21"/>
              <w:spacing w:after="0"/>
              <w:rPr>
                <w:sz w:val="20"/>
                <w:szCs w:val="20"/>
                <w:color w:val="auto"/>
              </w:rPr>
            </w:pPr>
            <w:r>
              <w:rPr>
                <w:rFonts w:ascii="Arial" w:cs="Arial" w:eastAsia="Arial" w:hAnsi="Arial"/>
                <w:sz w:val="16"/>
                <w:szCs w:val="16"/>
                <w:color w:val="auto"/>
              </w:rPr>
              <w:t>170,000</w:t>
            </w:r>
          </w:p>
        </w:tc>
        <w:tc>
          <w:tcPr>
            <w:tcW w:w="1840" w:type="dxa"/>
            <w:vAlign w:val="bottom"/>
          </w:tcPr>
          <w:p>
            <w:pPr>
              <w:jc w:val="right"/>
              <w:ind w:right="500"/>
              <w:spacing w:after="0"/>
              <w:rPr>
                <w:sz w:val="20"/>
                <w:szCs w:val="20"/>
                <w:color w:val="auto"/>
              </w:rPr>
            </w:pPr>
            <w:r>
              <w:rPr>
                <w:rFonts w:ascii="Arial" w:cs="Arial" w:eastAsia="Arial" w:hAnsi="Arial"/>
                <w:sz w:val="16"/>
                <w:szCs w:val="16"/>
                <w:color w:val="auto"/>
              </w:rPr>
              <w:t>15,892</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7,918,296</w:t>
            </w:r>
          </w:p>
        </w:tc>
        <w:tc>
          <w:tcPr>
            <w:tcW w:w="0" w:type="dxa"/>
            <w:vAlign w:val="bottom"/>
          </w:tcPr>
          <w:p>
            <w:pPr>
              <w:spacing w:after="0"/>
              <w:rPr>
                <w:sz w:val="1"/>
                <w:szCs w:val="1"/>
                <w:color w:val="auto"/>
              </w:rPr>
            </w:pPr>
          </w:p>
        </w:tc>
      </w:tr>
      <w:tr>
        <w:trPr>
          <w:trHeight w:val="189"/>
        </w:trPr>
        <w:tc>
          <w:tcPr>
            <w:tcW w:w="1600" w:type="dxa"/>
            <w:vAlign w:val="bottom"/>
          </w:tcPr>
          <w:p>
            <w:pPr>
              <w:ind w:left="140"/>
              <w:spacing w:after="0"/>
              <w:rPr>
                <w:sz w:val="20"/>
                <w:szCs w:val="20"/>
                <w:color w:val="auto"/>
              </w:rPr>
            </w:pPr>
            <w:r>
              <w:rPr>
                <w:rFonts w:ascii="Arial" w:cs="Arial" w:eastAsia="Arial" w:hAnsi="Arial"/>
                <w:sz w:val="16"/>
                <w:szCs w:val="16"/>
                <w:color w:val="auto"/>
              </w:rPr>
              <w:t>Chief Commercial</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2019</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ind w:left="4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1600" w:type="dxa"/>
            <w:vAlign w:val="bottom"/>
          </w:tcPr>
          <w:p>
            <w:pPr>
              <w:ind w:left="140"/>
              <w:spacing w:after="0"/>
              <w:rPr>
                <w:sz w:val="20"/>
                <w:szCs w:val="20"/>
                <w:color w:val="auto"/>
              </w:rPr>
            </w:pPr>
            <w:r>
              <w:rPr>
                <w:rFonts w:ascii="Arial" w:cs="Arial" w:eastAsia="Arial" w:hAnsi="Arial"/>
                <w:sz w:val="16"/>
                <w:szCs w:val="16"/>
                <w:color w:val="auto"/>
              </w:rPr>
              <w:t>Officer</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2018</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ind w:left="4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60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Curt Bradshaw (9)</w:t>
            </w:r>
          </w:p>
        </w:tc>
        <w:tc>
          <w:tcPr>
            <w:tcW w:w="70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2020</w:t>
            </w:r>
          </w:p>
        </w:tc>
        <w:tc>
          <w:tcPr>
            <w:tcW w:w="8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338,462</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6,021,250</w:t>
            </w:r>
          </w:p>
        </w:tc>
        <w:tc>
          <w:tcPr>
            <w:tcW w:w="104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rPr>
              <w:t>13,494</w:t>
            </w:r>
          </w:p>
        </w:tc>
        <w:tc>
          <w:tcPr>
            <w:tcW w:w="11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6,373,206</w:t>
            </w:r>
          </w:p>
        </w:tc>
        <w:tc>
          <w:tcPr>
            <w:tcW w:w="0" w:type="dxa"/>
            <w:vAlign w:val="bottom"/>
          </w:tcPr>
          <w:p>
            <w:pPr>
              <w:spacing w:after="0"/>
              <w:rPr>
                <w:sz w:val="1"/>
                <w:szCs w:val="1"/>
                <w:color w:val="auto"/>
              </w:rPr>
            </w:pPr>
          </w:p>
        </w:tc>
      </w:tr>
      <w:tr>
        <w:trPr>
          <w:trHeight w:val="171"/>
        </w:trPr>
        <w:tc>
          <w:tcPr>
            <w:tcW w:w="1600" w:type="dxa"/>
            <w:vAlign w:val="bottom"/>
            <w:shd w:val="clear" w:color="auto" w:fill="E5E5E5"/>
          </w:tcPr>
          <w:p>
            <w:pPr>
              <w:ind w:left="140"/>
              <w:spacing w:after="0" w:line="171" w:lineRule="exact"/>
              <w:rPr>
                <w:sz w:val="20"/>
                <w:szCs w:val="20"/>
                <w:color w:val="auto"/>
              </w:rPr>
            </w:pPr>
            <w:r>
              <w:rPr>
                <w:rFonts w:ascii="Arial" w:cs="Arial" w:eastAsia="Arial" w:hAnsi="Arial"/>
                <w:sz w:val="16"/>
                <w:szCs w:val="16"/>
                <w:color w:val="auto"/>
              </w:rPr>
              <w:t>Former Chief</w:t>
            </w:r>
          </w:p>
        </w:tc>
        <w:tc>
          <w:tcPr>
            <w:tcW w:w="180" w:type="dxa"/>
            <w:vAlign w:val="bottom"/>
            <w:shd w:val="clear" w:color="auto" w:fill="E5E5E5"/>
          </w:tcPr>
          <w:p>
            <w:pPr>
              <w:spacing w:after="0"/>
              <w:rPr>
                <w:sz w:val="14"/>
                <w:szCs w:val="14"/>
                <w:color w:val="auto"/>
              </w:rPr>
            </w:pPr>
          </w:p>
        </w:tc>
        <w:tc>
          <w:tcPr>
            <w:tcW w:w="52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2019</w:t>
            </w:r>
          </w:p>
        </w:tc>
        <w:tc>
          <w:tcPr>
            <w:tcW w:w="820" w:type="dxa"/>
            <w:vAlign w:val="bottom"/>
            <w:vMerge w:val="restart"/>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E5E5E5"/>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E5E5E5"/>
          </w:tcPr>
          <w:p>
            <w:pPr>
              <w:jc w:val="right"/>
              <w:ind w:right="50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8"/>
        </w:trPr>
        <w:tc>
          <w:tcPr>
            <w:tcW w:w="1600" w:type="dxa"/>
            <w:vAlign w:val="bottom"/>
            <w:vMerge w:val="restart"/>
            <w:shd w:val="clear" w:color="auto" w:fill="E5E5E5"/>
          </w:tcPr>
          <w:p>
            <w:pPr>
              <w:ind w:left="140"/>
              <w:spacing w:after="0"/>
              <w:rPr>
                <w:sz w:val="20"/>
                <w:szCs w:val="20"/>
                <w:color w:val="auto"/>
              </w:rPr>
            </w:pPr>
            <w:r>
              <w:rPr>
                <w:rFonts w:ascii="Arial" w:cs="Arial" w:eastAsia="Arial" w:hAnsi="Arial"/>
                <w:sz w:val="16"/>
                <w:szCs w:val="16"/>
                <w:color w:val="auto"/>
              </w:rPr>
              <w:t>Scientific</w:t>
            </w:r>
          </w:p>
        </w:tc>
        <w:tc>
          <w:tcPr>
            <w:tcW w:w="180" w:type="dxa"/>
            <w:vAlign w:val="bottom"/>
            <w:shd w:val="clear" w:color="auto" w:fill="E5E5E5"/>
          </w:tcPr>
          <w:p>
            <w:pPr>
              <w:spacing w:after="0"/>
              <w:rPr>
                <w:sz w:val="11"/>
                <w:szCs w:val="11"/>
                <w:color w:val="auto"/>
              </w:rPr>
            </w:pPr>
          </w:p>
        </w:tc>
        <w:tc>
          <w:tcPr>
            <w:tcW w:w="520" w:type="dxa"/>
            <w:vAlign w:val="bottom"/>
            <w:vMerge w:val="continue"/>
            <w:shd w:val="clear" w:color="auto" w:fill="E5E5E5"/>
          </w:tcPr>
          <w:p>
            <w:pPr>
              <w:spacing w:after="0"/>
              <w:rPr>
                <w:sz w:val="11"/>
                <w:szCs w:val="11"/>
                <w:color w:val="auto"/>
              </w:rPr>
            </w:pPr>
          </w:p>
        </w:tc>
        <w:tc>
          <w:tcPr>
            <w:tcW w:w="820" w:type="dxa"/>
            <w:vAlign w:val="bottom"/>
            <w:vMerge w:val="continue"/>
            <w:shd w:val="clear" w:color="auto" w:fill="E5E5E5"/>
          </w:tcPr>
          <w:p>
            <w:pPr>
              <w:spacing w:after="0"/>
              <w:rPr>
                <w:sz w:val="11"/>
                <w:szCs w:val="11"/>
                <w:color w:val="auto"/>
              </w:rPr>
            </w:pPr>
          </w:p>
        </w:tc>
        <w:tc>
          <w:tcPr>
            <w:tcW w:w="840" w:type="dxa"/>
            <w:vAlign w:val="bottom"/>
            <w:vMerge w:val="continue"/>
            <w:shd w:val="clear" w:color="auto" w:fill="E5E5E5"/>
          </w:tcPr>
          <w:p>
            <w:pPr>
              <w:spacing w:after="0"/>
              <w:rPr>
                <w:sz w:val="11"/>
                <w:szCs w:val="11"/>
                <w:color w:val="auto"/>
              </w:rPr>
            </w:pPr>
          </w:p>
        </w:tc>
        <w:tc>
          <w:tcPr>
            <w:tcW w:w="1180" w:type="dxa"/>
            <w:vAlign w:val="bottom"/>
            <w:vMerge w:val="continue"/>
            <w:shd w:val="clear" w:color="auto" w:fill="E5E5E5"/>
          </w:tcPr>
          <w:p>
            <w:pPr>
              <w:spacing w:after="0"/>
              <w:rPr>
                <w:sz w:val="11"/>
                <w:szCs w:val="11"/>
                <w:color w:val="auto"/>
              </w:rPr>
            </w:pPr>
          </w:p>
        </w:tc>
        <w:tc>
          <w:tcPr>
            <w:tcW w:w="1040" w:type="dxa"/>
            <w:vAlign w:val="bottom"/>
            <w:vMerge w:val="continue"/>
            <w:shd w:val="clear" w:color="auto" w:fill="E5E5E5"/>
          </w:tcPr>
          <w:p>
            <w:pPr>
              <w:spacing w:after="0"/>
              <w:rPr>
                <w:sz w:val="11"/>
                <w:szCs w:val="11"/>
                <w:color w:val="auto"/>
              </w:rPr>
            </w:pPr>
          </w:p>
        </w:tc>
        <w:tc>
          <w:tcPr>
            <w:tcW w:w="1840" w:type="dxa"/>
            <w:vAlign w:val="bottom"/>
            <w:vMerge w:val="continue"/>
            <w:shd w:val="clear" w:color="auto" w:fill="E5E5E5"/>
          </w:tcPr>
          <w:p>
            <w:pPr>
              <w:spacing w:after="0"/>
              <w:rPr>
                <w:sz w:val="11"/>
                <w:szCs w:val="11"/>
                <w:color w:val="auto"/>
              </w:rPr>
            </w:pPr>
          </w:p>
        </w:tc>
        <w:tc>
          <w:tcPr>
            <w:tcW w:w="1840" w:type="dxa"/>
            <w:vAlign w:val="bottom"/>
            <w:vMerge w:val="continue"/>
            <w:shd w:val="clear" w:color="auto" w:fill="E5E5E5"/>
          </w:tcPr>
          <w:p>
            <w:pPr>
              <w:spacing w:after="0"/>
              <w:rPr>
                <w:sz w:val="11"/>
                <w:szCs w:val="11"/>
                <w:color w:val="auto"/>
              </w:rPr>
            </w:pPr>
          </w:p>
        </w:tc>
        <w:tc>
          <w:tcPr>
            <w:tcW w:w="1160" w:type="dxa"/>
            <w:vAlign w:val="bottom"/>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600" w:type="dxa"/>
            <w:vAlign w:val="bottom"/>
            <w:vMerge w:val="continue"/>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520" w:type="dxa"/>
            <w:vAlign w:val="bottom"/>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840" w:type="dxa"/>
            <w:vAlign w:val="bottom"/>
            <w:shd w:val="clear" w:color="auto" w:fill="E5E5E5"/>
          </w:tcPr>
          <w:p>
            <w:pPr>
              <w:spacing w:after="0"/>
              <w:rPr>
                <w:sz w:val="4"/>
                <w:szCs w:val="4"/>
                <w:color w:val="auto"/>
              </w:rPr>
            </w:pPr>
          </w:p>
        </w:tc>
        <w:tc>
          <w:tcPr>
            <w:tcW w:w="1180" w:type="dxa"/>
            <w:vAlign w:val="bottom"/>
            <w:shd w:val="clear" w:color="auto" w:fill="E5E5E5"/>
          </w:tcPr>
          <w:p>
            <w:pPr>
              <w:spacing w:after="0"/>
              <w:rPr>
                <w:sz w:val="4"/>
                <w:szCs w:val="4"/>
                <w:color w:val="auto"/>
              </w:rPr>
            </w:pPr>
          </w:p>
        </w:tc>
        <w:tc>
          <w:tcPr>
            <w:tcW w:w="104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1840" w:type="dxa"/>
            <w:vAlign w:val="bottom"/>
            <w:shd w:val="clear" w:color="auto" w:fill="E5E5E5"/>
          </w:tcPr>
          <w:p>
            <w:pPr>
              <w:spacing w:after="0"/>
              <w:rPr>
                <w:sz w:val="4"/>
                <w:szCs w:val="4"/>
                <w:color w:val="auto"/>
              </w:rPr>
            </w:pPr>
          </w:p>
        </w:tc>
        <w:tc>
          <w:tcPr>
            <w:tcW w:w="116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Officer</w:t>
            </w:r>
          </w:p>
        </w:tc>
        <w:tc>
          <w:tcPr>
            <w:tcW w:w="180" w:type="dxa"/>
            <w:vAlign w:val="bottom"/>
            <w:shd w:val="clear" w:color="auto" w:fill="E5E5E5"/>
          </w:tcPr>
          <w:p>
            <w:pPr>
              <w:spacing w:after="0"/>
              <w:rPr>
                <w:sz w:val="20"/>
                <w:szCs w:val="20"/>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2018</w:t>
            </w:r>
          </w:p>
        </w:tc>
        <w:tc>
          <w:tcPr>
            <w:tcW w:w="8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jc w:val="right"/>
              <w:ind w:right="5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600" w:type="dxa"/>
            <w:vAlign w:val="bottom"/>
          </w:tcPr>
          <w:p>
            <w:pPr>
              <w:ind w:left="140"/>
              <w:spacing w:after="0"/>
              <w:rPr>
                <w:sz w:val="20"/>
                <w:szCs w:val="20"/>
                <w:color w:val="auto"/>
              </w:rPr>
            </w:pPr>
            <w:r>
              <w:rPr>
                <w:rFonts w:ascii="Arial" w:cs="Arial" w:eastAsia="Arial" w:hAnsi="Arial"/>
                <w:sz w:val="16"/>
                <w:szCs w:val="16"/>
                <w:b w:val="1"/>
                <w:bCs w:val="1"/>
                <w:color w:val="0071CE"/>
              </w:rPr>
              <w:t>Bruce D. Given</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2020</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409,615</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0"/>
              <w:spacing w:after="0"/>
              <w:rPr>
                <w:sz w:val="20"/>
                <w:szCs w:val="20"/>
                <w:color w:val="auto"/>
              </w:rPr>
            </w:pPr>
            <w:r>
              <w:rPr>
                <w:rFonts w:ascii="Arial" w:cs="Arial" w:eastAsia="Arial" w:hAnsi="Arial"/>
                <w:sz w:val="16"/>
                <w:szCs w:val="16"/>
                <w:color w:val="auto"/>
              </w:rPr>
              <w:t>15,857,500</w:t>
            </w:r>
          </w:p>
        </w:tc>
        <w:tc>
          <w:tcPr>
            <w:tcW w:w="1040" w:type="dxa"/>
            <w:vAlign w:val="bottom"/>
          </w:tcPr>
          <w:p>
            <w:pPr>
              <w:ind w:left="4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500"/>
              <w:spacing w:after="0"/>
              <w:rPr>
                <w:sz w:val="20"/>
                <w:szCs w:val="20"/>
                <w:color w:val="auto"/>
              </w:rPr>
            </w:pPr>
            <w:r>
              <w:rPr>
                <w:rFonts w:ascii="Arial" w:cs="Arial" w:eastAsia="Arial" w:hAnsi="Arial"/>
                <w:sz w:val="16"/>
                <w:szCs w:val="16"/>
                <w:color w:val="auto"/>
              </w:rPr>
              <w:t>76,693</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16,343,808</w:t>
            </w:r>
          </w:p>
        </w:tc>
        <w:tc>
          <w:tcPr>
            <w:tcW w:w="0" w:type="dxa"/>
            <w:vAlign w:val="bottom"/>
          </w:tcPr>
          <w:p>
            <w:pPr>
              <w:spacing w:after="0"/>
              <w:rPr>
                <w:sz w:val="1"/>
                <w:szCs w:val="1"/>
                <w:color w:val="auto"/>
              </w:rPr>
            </w:pPr>
          </w:p>
        </w:tc>
      </w:tr>
      <w:tr>
        <w:trPr>
          <w:trHeight w:val="171"/>
        </w:trPr>
        <w:tc>
          <w:tcPr>
            <w:tcW w:w="1600" w:type="dxa"/>
            <w:vAlign w:val="bottom"/>
          </w:tcPr>
          <w:p>
            <w:pPr>
              <w:ind w:left="140"/>
              <w:spacing w:after="0" w:line="171" w:lineRule="exact"/>
              <w:rPr>
                <w:sz w:val="20"/>
                <w:szCs w:val="20"/>
                <w:color w:val="auto"/>
              </w:rPr>
            </w:pPr>
            <w:r>
              <w:rPr>
                <w:rFonts w:ascii="Arial" w:cs="Arial" w:eastAsia="Arial" w:hAnsi="Arial"/>
                <w:sz w:val="16"/>
                <w:szCs w:val="16"/>
                <w:b w:val="1"/>
                <w:bCs w:val="1"/>
                <w:color w:val="0071CE"/>
              </w:rPr>
              <w:t>(10)</w:t>
            </w:r>
          </w:p>
        </w:tc>
        <w:tc>
          <w:tcPr>
            <w:tcW w:w="700" w:type="dxa"/>
            <w:vAlign w:val="bottom"/>
            <w:gridSpan w:val="2"/>
            <w:vMerge w:val="restart"/>
          </w:tcPr>
          <w:p>
            <w:pPr>
              <w:ind w:left="240"/>
              <w:spacing w:after="0"/>
              <w:rPr>
                <w:sz w:val="20"/>
                <w:szCs w:val="20"/>
                <w:color w:val="auto"/>
              </w:rPr>
            </w:pPr>
            <w:r>
              <w:rPr>
                <w:rFonts w:ascii="Arial" w:cs="Arial" w:eastAsia="Arial" w:hAnsi="Arial"/>
                <w:sz w:val="16"/>
                <w:szCs w:val="16"/>
                <w:color w:val="auto"/>
              </w:rPr>
              <w:t>2019</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488,750</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160"/>
              <w:spacing w:after="0"/>
              <w:rPr>
                <w:sz w:val="20"/>
                <w:szCs w:val="20"/>
                <w:color w:val="auto"/>
              </w:rPr>
            </w:pPr>
            <w:r>
              <w:rPr>
                <w:rFonts w:ascii="Arial" w:cs="Arial" w:eastAsia="Arial" w:hAnsi="Arial"/>
                <w:sz w:val="16"/>
                <w:szCs w:val="16"/>
                <w:color w:val="auto"/>
              </w:rPr>
              <w:t>2,608,200</w:t>
            </w:r>
          </w:p>
        </w:tc>
        <w:tc>
          <w:tcPr>
            <w:tcW w:w="10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tcPr>
          <w:p>
            <w:pPr>
              <w:jc w:val="right"/>
              <w:ind w:right="521"/>
              <w:spacing w:after="0"/>
              <w:rPr>
                <w:sz w:val="20"/>
                <w:szCs w:val="20"/>
                <w:color w:val="auto"/>
              </w:rPr>
            </w:pPr>
            <w:r>
              <w:rPr>
                <w:rFonts w:ascii="Arial" w:cs="Arial" w:eastAsia="Arial" w:hAnsi="Arial"/>
                <w:sz w:val="16"/>
                <w:szCs w:val="16"/>
                <w:color w:val="auto"/>
              </w:rPr>
              <w:t>850,000</w:t>
            </w:r>
          </w:p>
        </w:tc>
        <w:tc>
          <w:tcPr>
            <w:tcW w:w="1840" w:type="dxa"/>
            <w:vAlign w:val="bottom"/>
            <w:vMerge w:val="restart"/>
          </w:tcPr>
          <w:p>
            <w:pPr>
              <w:jc w:val="right"/>
              <w:ind w:right="500"/>
              <w:spacing w:after="0"/>
              <w:rPr>
                <w:sz w:val="20"/>
                <w:szCs w:val="20"/>
                <w:color w:val="auto"/>
              </w:rPr>
            </w:pPr>
            <w:r>
              <w:rPr>
                <w:rFonts w:ascii="Arial" w:cs="Arial" w:eastAsia="Arial" w:hAnsi="Arial"/>
                <w:sz w:val="16"/>
                <w:szCs w:val="16"/>
                <w:color w:val="auto"/>
              </w:rPr>
              <w:t>11,799</w:t>
            </w: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3,958,759</w:t>
            </w:r>
          </w:p>
        </w:tc>
        <w:tc>
          <w:tcPr>
            <w:tcW w:w="0" w:type="dxa"/>
            <w:vAlign w:val="bottom"/>
          </w:tcPr>
          <w:p>
            <w:pPr>
              <w:spacing w:after="0"/>
              <w:rPr>
                <w:sz w:val="1"/>
                <w:szCs w:val="1"/>
                <w:color w:val="auto"/>
              </w:rPr>
            </w:pPr>
          </w:p>
        </w:tc>
      </w:tr>
      <w:tr>
        <w:trPr>
          <w:trHeight w:val="138"/>
        </w:trPr>
        <w:tc>
          <w:tcPr>
            <w:tcW w:w="1600" w:type="dxa"/>
            <w:vAlign w:val="bottom"/>
            <w:vMerge w:val="restart"/>
          </w:tcPr>
          <w:p>
            <w:pPr>
              <w:ind w:left="140"/>
              <w:spacing w:after="0"/>
              <w:rPr>
                <w:sz w:val="20"/>
                <w:szCs w:val="20"/>
                <w:color w:val="auto"/>
              </w:rPr>
            </w:pPr>
            <w:r>
              <w:rPr>
                <w:rFonts w:ascii="Arial" w:cs="Arial" w:eastAsia="Arial" w:hAnsi="Arial"/>
                <w:sz w:val="16"/>
                <w:szCs w:val="16"/>
                <w:color w:val="auto"/>
              </w:rPr>
              <w:t>Former Chief</w:t>
            </w:r>
          </w:p>
        </w:tc>
        <w:tc>
          <w:tcPr>
            <w:tcW w:w="7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600" w:type="dxa"/>
            <w:vAlign w:val="bottom"/>
            <w:tcBorders>
              <w:bottom w:val="single" w:sz="8" w:color="0071CE"/>
            </w:tcBorders>
          </w:tcPr>
          <w:p>
            <w:pPr>
              <w:ind w:left="140"/>
              <w:spacing w:after="0"/>
              <w:rPr>
                <w:sz w:val="20"/>
                <w:szCs w:val="20"/>
                <w:color w:val="auto"/>
              </w:rPr>
            </w:pPr>
            <w:r>
              <w:rPr>
                <w:rFonts w:ascii="Arial" w:cs="Arial" w:eastAsia="Arial" w:hAnsi="Arial"/>
                <w:sz w:val="16"/>
                <w:szCs w:val="16"/>
                <w:color w:val="auto"/>
              </w:rPr>
              <w:t>Operating Officer</w:t>
            </w:r>
          </w:p>
        </w:tc>
        <w:tc>
          <w:tcPr>
            <w:tcW w:w="700" w:type="dxa"/>
            <w:vAlign w:val="bottom"/>
            <w:tcBorders>
              <w:bottom w:val="single" w:sz="8" w:color="0071CE"/>
            </w:tcBorders>
            <w:gridSpan w:val="2"/>
          </w:tcPr>
          <w:p>
            <w:pPr>
              <w:ind w:left="240"/>
              <w:spacing w:after="0"/>
              <w:rPr>
                <w:sz w:val="20"/>
                <w:szCs w:val="20"/>
                <w:color w:val="auto"/>
              </w:rPr>
            </w:pPr>
            <w:r>
              <w:rPr>
                <w:rFonts w:ascii="Arial" w:cs="Arial" w:eastAsia="Arial" w:hAnsi="Arial"/>
                <w:sz w:val="16"/>
                <w:szCs w:val="16"/>
                <w:color w:val="auto"/>
              </w:rPr>
              <w:t>2018</w:t>
            </w:r>
          </w:p>
        </w:tc>
        <w:tc>
          <w:tcPr>
            <w:tcW w:w="820" w:type="dxa"/>
            <w:vAlign w:val="bottom"/>
            <w:tcBorders>
              <w:bottom w:val="single" w:sz="8" w:color="0071CE"/>
            </w:tcBorders>
          </w:tcPr>
          <w:p>
            <w:pPr>
              <w:jc w:val="right"/>
              <w:ind w:right="40"/>
              <w:spacing w:after="0"/>
              <w:rPr>
                <w:sz w:val="20"/>
                <w:szCs w:val="20"/>
                <w:color w:val="auto"/>
              </w:rPr>
            </w:pPr>
            <w:r>
              <w:rPr>
                <w:rFonts w:ascii="Arial" w:cs="Arial" w:eastAsia="Arial" w:hAnsi="Arial"/>
                <w:sz w:val="16"/>
                <w:szCs w:val="16"/>
                <w:color w:val="auto"/>
              </w:rPr>
              <w:t>450,362</w:t>
            </w:r>
          </w:p>
        </w:tc>
        <w:tc>
          <w:tcPr>
            <w:tcW w:w="840" w:type="dxa"/>
            <w:vAlign w:val="bottom"/>
            <w:tcBorders>
              <w:bottom w:val="single" w:sz="8" w:color="0071CE"/>
            </w:tcBorders>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71CE"/>
            </w:tcBorders>
          </w:tcPr>
          <w:p>
            <w:pPr>
              <w:jc w:val="right"/>
              <w:ind w:right="160"/>
              <w:spacing w:after="0"/>
              <w:rPr>
                <w:sz w:val="20"/>
                <w:szCs w:val="20"/>
                <w:color w:val="auto"/>
              </w:rPr>
            </w:pPr>
            <w:r>
              <w:rPr>
                <w:rFonts w:ascii="Arial" w:cs="Arial" w:eastAsia="Arial" w:hAnsi="Arial"/>
                <w:sz w:val="16"/>
                <w:szCs w:val="16"/>
                <w:color w:val="auto"/>
              </w:rPr>
              <w:t>644,000</w:t>
            </w:r>
          </w:p>
        </w:tc>
        <w:tc>
          <w:tcPr>
            <w:tcW w:w="1040" w:type="dxa"/>
            <w:vAlign w:val="bottom"/>
            <w:tcBorders>
              <w:bottom w:val="single" w:sz="8" w:color="0071CE"/>
            </w:tcBorders>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0071CE"/>
            </w:tcBorders>
          </w:tcPr>
          <w:p>
            <w:pPr>
              <w:jc w:val="right"/>
              <w:ind w:right="521"/>
              <w:spacing w:after="0"/>
              <w:rPr>
                <w:sz w:val="20"/>
                <w:szCs w:val="20"/>
                <w:color w:val="auto"/>
              </w:rPr>
            </w:pPr>
            <w:r>
              <w:rPr>
                <w:rFonts w:ascii="Arial" w:cs="Arial" w:eastAsia="Arial" w:hAnsi="Arial"/>
                <w:sz w:val="16"/>
                <w:szCs w:val="16"/>
                <w:color w:val="auto"/>
              </w:rPr>
              <w:t>445,900</w:t>
            </w:r>
          </w:p>
        </w:tc>
        <w:tc>
          <w:tcPr>
            <w:tcW w:w="1840" w:type="dxa"/>
            <w:vAlign w:val="bottom"/>
            <w:tcBorders>
              <w:bottom w:val="single" w:sz="8" w:color="0071CE"/>
            </w:tcBorders>
          </w:tcPr>
          <w:p>
            <w:pPr>
              <w:jc w:val="right"/>
              <w:ind w:right="500"/>
              <w:spacing w:after="0"/>
              <w:rPr>
                <w:sz w:val="20"/>
                <w:szCs w:val="20"/>
                <w:color w:val="auto"/>
              </w:rPr>
            </w:pPr>
            <w:r>
              <w:rPr>
                <w:rFonts w:ascii="Arial" w:cs="Arial" w:eastAsia="Arial" w:hAnsi="Arial"/>
                <w:sz w:val="16"/>
                <w:szCs w:val="16"/>
                <w:color w:val="auto"/>
              </w:rPr>
              <w:t>11,799</w:t>
            </w:r>
          </w:p>
        </w:tc>
        <w:tc>
          <w:tcPr>
            <w:tcW w:w="1160" w:type="dxa"/>
            <w:vAlign w:val="bottom"/>
            <w:tcBorders>
              <w:bottom w:val="single" w:sz="8" w:color="0071CE"/>
            </w:tcBorders>
          </w:tcPr>
          <w:p>
            <w:pPr>
              <w:jc w:val="right"/>
              <w:ind w:right="39"/>
              <w:spacing w:after="0"/>
              <w:rPr>
                <w:sz w:val="20"/>
                <w:szCs w:val="20"/>
                <w:color w:val="auto"/>
              </w:rPr>
            </w:pPr>
            <w:r>
              <w:rPr>
                <w:rFonts w:ascii="Arial" w:cs="Arial" w:eastAsia="Arial" w:hAnsi="Arial"/>
                <w:sz w:val="16"/>
                <w:szCs w:val="16"/>
                <w:color w:val="auto"/>
              </w:rPr>
              <w:t>1,552,061</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40" w:right="180" w:hanging="424"/>
        <w:spacing w:after="0" w:line="266"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columns represent the total grant date fair value, computed in accordance with ASC 718, of stock options and restricted stock units granted during fiscal year 2020, 2019 and 2018. The assumptions used to calculate the value of the stock underlying the option and restricted stock unit awards are set forth in Note 9 of the Notes to the Consolidated Financial Statements included with the Company’s Annual Report on Form 10-K.</w:t>
      </w:r>
    </w:p>
    <w:p>
      <w:pPr>
        <w:spacing w:after="0" w:line="31" w:lineRule="exact"/>
        <w:rPr>
          <w:rFonts w:ascii="Arial" w:cs="Arial" w:eastAsia="Arial" w:hAnsi="Arial"/>
          <w:sz w:val="14"/>
          <w:szCs w:val="14"/>
          <w:color w:val="auto"/>
        </w:rPr>
      </w:pPr>
    </w:p>
    <w:p>
      <w:pPr>
        <w:ind w:left="540" w:right="100" w:hanging="424"/>
        <w:spacing w:after="0" w:line="291"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 2020, 2019 and 2018 and paid in fiscal year 2021, 2020 and 2019, respectively. The Annual Bonuses are described in more detail in the “Bonus Incentive” section.</w:t>
      </w:r>
    </w:p>
    <w:p>
      <w:pPr>
        <w:spacing w:after="0" w:line="14" w:lineRule="exact"/>
        <w:rPr>
          <w:rFonts w:ascii="Arial" w:cs="Arial" w:eastAsia="Arial" w:hAnsi="Arial"/>
          <w:sz w:val="14"/>
          <w:szCs w:val="14"/>
          <w:color w:val="auto"/>
        </w:rPr>
      </w:pPr>
    </w:p>
    <w:p>
      <w:pPr>
        <w:ind w:left="540" w:hanging="424"/>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premiums for the benefit of each executive officer.</w:t>
      </w:r>
    </w:p>
    <w:p>
      <w:pPr>
        <w:spacing w:after="0" w:line="82" w:lineRule="exact"/>
        <w:rPr>
          <w:rFonts w:ascii="Arial" w:cs="Arial" w:eastAsia="Arial" w:hAnsi="Arial"/>
          <w:sz w:val="14"/>
          <w:szCs w:val="14"/>
          <w:color w:val="auto"/>
        </w:rPr>
      </w:pPr>
    </w:p>
    <w:p>
      <w:pPr>
        <w:ind w:left="540" w:right="40" w:hanging="424"/>
        <w:spacing w:after="0" w:line="24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2020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$12,686,000 based on this evaluation. If we had determined that as of the date of the grant it was probable that 100% of the performance conditions would be achieved, we would have assigned a grant date fair value of $57,087,000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spacing w:after="0" w:line="45" w:lineRule="exact"/>
        <w:rPr>
          <w:rFonts w:ascii="Arial" w:cs="Arial" w:eastAsia="Arial" w:hAnsi="Arial"/>
          <w:sz w:val="14"/>
          <w:szCs w:val="14"/>
          <w:color w:val="auto"/>
        </w:rPr>
      </w:pPr>
    </w:p>
    <w:p>
      <w:pPr>
        <w:ind w:left="540" w:right="420" w:hanging="424"/>
        <w:spacing w:after="0" w:line="291"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2019 restricted stock unit award that is subject to vesting upon the achievement of specific performance conditions, as described above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60325</wp:posOffset>
            </wp:positionV>
            <wp:extent cx="98615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52" w:lineRule="exact"/>
        <w:rPr>
          <w:sz w:val="20"/>
          <w:szCs w:val="20"/>
          <w:color w:val="auto"/>
        </w:rPr>
      </w:pPr>
    </w:p>
    <w:p>
      <w:pPr>
        <w:ind w:left="540" w:right="120"/>
        <w:spacing w:after="0" w:line="251" w:lineRule="auto"/>
        <w:rPr>
          <w:sz w:val="20"/>
          <w:szCs w:val="20"/>
          <w:color w:val="auto"/>
        </w:rPr>
      </w:pPr>
      <w:r>
        <w:rPr>
          <w:rFonts w:ascii="Arial" w:cs="Arial" w:eastAsia="Arial" w:hAnsi="Arial"/>
          <w:sz w:val="14"/>
          <w:szCs w:val="14"/>
          <w:color w:val="auto"/>
        </w:rPr>
        <w:t>Compensation Discussion and Analysis. We determined the performance conditions that were probable and not probable of being achieved as of the grant date, as defined under applicable accounting guidance, and assigned a grant date fair value of $0 based on this evaluation. If we had determined that as of the date of the grant it was probable that 100% of the performance conditions would be achieved, we would have assigned a grant date fair value of $7,452,000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spacing w:after="0" w:line="211" w:lineRule="exact"/>
        <w:rPr>
          <w:sz w:val="20"/>
          <w:szCs w:val="20"/>
          <w:color w:val="auto"/>
        </w:rPr>
      </w:pPr>
    </w:p>
    <w:p>
      <w:pPr>
        <w:ind w:left="540" w:hanging="424"/>
        <w:spacing w:after="0" w:line="24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2018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$0 based on this evaluation. If we had determined that as of the date of the grant it was probable that 100% of the performance conditions would be achieved, we would have assigned a grant date fair value of $1,840,000 for the restricted stock units.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spacing w:after="0" w:line="45" w:lineRule="exact"/>
        <w:rPr>
          <w:rFonts w:ascii="Arial" w:cs="Arial" w:eastAsia="Arial" w:hAnsi="Arial"/>
          <w:sz w:val="14"/>
          <w:szCs w:val="14"/>
          <w:color w:val="auto"/>
        </w:rPr>
      </w:pPr>
    </w:p>
    <w:p>
      <w:pPr>
        <w:ind w:left="540" w:hanging="424"/>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San Martin’s employment with the Company began in November 2019. Dr. San Martin received a $100,000 sign on bonus.</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Hassard’s employment with the Company began in January 2020.</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Bradshaw’s employment with the Company began in November 2019 and was terminated in November 2020.</w:t>
      </w:r>
    </w:p>
    <w:p>
      <w:pPr>
        <w:spacing w:after="0" w:line="82" w:lineRule="exact"/>
        <w:rPr>
          <w:rFonts w:ascii="Arial" w:cs="Arial" w:eastAsia="Arial" w:hAnsi="Arial"/>
          <w:sz w:val="14"/>
          <w:szCs w:val="14"/>
          <w:color w:val="auto"/>
        </w:rPr>
      </w:pPr>
    </w:p>
    <w:p>
      <w:pPr>
        <w:ind w:left="540" w:right="120" w:hanging="424"/>
        <w:spacing w:after="0" w:line="291"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Given’s employment with the Company terminated in May 2020 upon his retirement. Dr. Given continues to serve as a consultant to the Company. The “All Other Compensation” value includes payments made to Dr. Given for his consulting services of $66,667.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60325</wp:posOffset>
            </wp:positionV>
            <wp:extent cx="9861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Grants of Plan 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cash bonus and equity grants made to the NEOs in fiscal 2020:</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2120" w:type="dxa"/>
            <w:vAlign w:val="bottom"/>
            <w:shd w:val="clear" w:color="auto" w:fill="0071CE"/>
          </w:tcPr>
          <w:p>
            <w:pPr>
              <w:spacing w:after="0"/>
              <w:rPr>
                <w:sz w:val="22"/>
                <w:szCs w:val="22"/>
                <w:color w:val="auto"/>
              </w:rPr>
            </w:pPr>
          </w:p>
        </w:tc>
        <w:tc>
          <w:tcPr>
            <w:tcW w:w="1260" w:type="dxa"/>
            <w:vAlign w:val="bottom"/>
            <w:shd w:val="clear" w:color="auto" w:fill="0071CE"/>
          </w:tcPr>
          <w:p>
            <w:pPr>
              <w:spacing w:after="0"/>
              <w:rPr>
                <w:sz w:val="22"/>
                <w:szCs w:val="22"/>
                <w:color w:val="auto"/>
              </w:rPr>
            </w:pPr>
          </w:p>
        </w:tc>
        <w:tc>
          <w:tcPr>
            <w:tcW w:w="320" w:type="dxa"/>
            <w:vAlign w:val="bottom"/>
            <w:shd w:val="clear" w:color="auto" w:fill="0071CE"/>
          </w:tcPr>
          <w:p>
            <w:pPr>
              <w:spacing w:after="0"/>
              <w:rPr>
                <w:sz w:val="22"/>
                <w:szCs w:val="22"/>
                <w:color w:val="auto"/>
              </w:rPr>
            </w:pPr>
          </w:p>
        </w:tc>
        <w:tc>
          <w:tcPr>
            <w:tcW w:w="2460" w:type="dxa"/>
            <w:vAlign w:val="bottom"/>
            <w:shd w:val="clear" w:color="auto" w:fill="0071CE"/>
          </w:tcPr>
          <w:p>
            <w:pPr>
              <w:spacing w:after="0"/>
              <w:rPr>
                <w:sz w:val="22"/>
                <w:szCs w:val="22"/>
                <w:color w:val="auto"/>
              </w:rPr>
            </w:pPr>
          </w:p>
        </w:tc>
        <w:tc>
          <w:tcPr>
            <w:tcW w:w="320" w:type="dxa"/>
            <w:vAlign w:val="bottom"/>
            <w:shd w:val="clear" w:color="auto" w:fill="0071CE"/>
          </w:tcPr>
          <w:p>
            <w:pPr>
              <w:spacing w:after="0"/>
              <w:rPr>
                <w:sz w:val="22"/>
                <w:szCs w:val="22"/>
                <w:color w:val="auto"/>
              </w:rPr>
            </w:pPr>
          </w:p>
        </w:tc>
        <w:tc>
          <w:tcPr>
            <w:tcW w:w="16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Estimated</w:t>
            </w:r>
          </w:p>
        </w:tc>
        <w:tc>
          <w:tcPr>
            <w:tcW w:w="340" w:type="dxa"/>
            <w:vAlign w:val="bottom"/>
            <w:shd w:val="clear" w:color="auto" w:fill="0071CE"/>
          </w:tcPr>
          <w:p>
            <w:pPr>
              <w:spacing w:after="0"/>
              <w:rPr>
                <w:sz w:val="22"/>
                <w:szCs w:val="22"/>
                <w:color w:val="auto"/>
              </w:rPr>
            </w:pPr>
          </w:p>
        </w:tc>
        <w:tc>
          <w:tcPr>
            <w:tcW w:w="1340" w:type="dxa"/>
            <w:vAlign w:val="bottom"/>
            <w:shd w:val="clear" w:color="auto" w:fill="0071CE"/>
          </w:tcPr>
          <w:p>
            <w:pPr>
              <w:spacing w:after="0"/>
              <w:rPr>
                <w:sz w:val="22"/>
                <w:szCs w:val="22"/>
                <w:color w:val="auto"/>
              </w:rPr>
            </w:pPr>
          </w:p>
        </w:tc>
        <w:tc>
          <w:tcPr>
            <w:tcW w:w="280" w:type="dxa"/>
            <w:vAlign w:val="bottom"/>
            <w:shd w:val="clear" w:color="auto" w:fill="0071CE"/>
          </w:tcPr>
          <w:p>
            <w:pPr>
              <w:spacing w:after="0"/>
              <w:rPr>
                <w:sz w:val="22"/>
                <w:szCs w:val="22"/>
                <w:color w:val="auto"/>
              </w:rPr>
            </w:pPr>
          </w:p>
        </w:tc>
        <w:tc>
          <w:tcPr>
            <w:tcW w:w="920" w:type="dxa"/>
            <w:vAlign w:val="bottom"/>
            <w:shd w:val="clear" w:color="auto" w:fill="0071CE"/>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0071CE"/>
          </w:tcPr>
          <w:p>
            <w:pPr>
              <w:spacing w:after="0"/>
              <w:rPr>
                <w:sz w:val="14"/>
                <w:szCs w:val="14"/>
                <w:color w:val="auto"/>
              </w:rPr>
            </w:pPr>
          </w:p>
        </w:tc>
        <w:tc>
          <w:tcPr>
            <w:tcW w:w="1260" w:type="dxa"/>
            <w:vAlign w:val="bottom"/>
            <w:shd w:val="clear" w:color="auto" w:fill="0071CE"/>
          </w:tcPr>
          <w:p>
            <w:pPr>
              <w:spacing w:after="0"/>
              <w:rPr>
                <w:sz w:val="14"/>
                <w:szCs w:val="14"/>
                <w:color w:val="auto"/>
              </w:rPr>
            </w:pPr>
          </w:p>
        </w:tc>
        <w:tc>
          <w:tcPr>
            <w:tcW w:w="320" w:type="dxa"/>
            <w:vAlign w:val="bottom"/>
            <w:shd w:val="clear" w:color="auto" w:fill="0071CE"/>
          </w:tcPr>
          <w:p>
            <w:pPr>
              <w:spacing w:after="0"/>
              <w:rPr>
                <w:sz w:val="14"/>
                <w:szCs w:val="14"/>
                <w:color w:val="auto"/>
              </w:rPr>
            </w:pPr>
          </w:p>
        </w:tc>
        <w:tc>
          <w:tcPr>
            <w:tcW w:w="2460" w:type="dxa"/>
            <w:vAlign w:val="bottom"/>
            <w:shd w:val="clear" w:color="auto" w:fill="0071CE"/>
          </w:tcPr>
          <w:p>
            <w:pPr>
              <w:spacing w:after="0"/>
              <w:rPr>
                <w:sz w:val="14"/>
                <w:szCs w:val="14"/>
                <w:color w:val="auto"/>
              </w:rPr>
            </w:pPr>
          </w:p>
        </w:tc>
        <w:tc>
          <w:tcPr>
            <w:tcW w:w="320" w:type="dxa"/>
            <w:vAlign w:val="bottom"/>
            <w:shd w:val="clear" w:color="auto" w:fill="0071CE"/>
          </w:tcPr>
          <w:p>
            <w:pPr>
              <w:spacing w:after="0"/>
              <w:rPr>
                <w:sz w:val="14"/>
                <w:szCs w:val="14"/>
                <w:color w:val="auto"/>
              </w:rPr>
            </w:pPr>
          </w:p>
        </w:tc>
        <w:tc>
          <w:tcPr>
            <w:tcW w:w="16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Future Payouts</w:t>
            </w:r>
          </w:p>
        </w:tc>
        <w:tc>
          <w:tcPr>
            <w:tcW w:w="340" w:type="dxa"/>
            <w:vAlign w:val="bottom"/>
            <w:shd w:val="clear" w:color="auto" w:fill="0071CE"/>
          </w:tcPr>
          <w:p>
            <w:pPr>
              <w:spacing w:after="0"/>
              <w:rPr>
                <w:sz w:val="14"/>
                <w:szCs w:val="14"/>
                <w:color w:val="auto"/>
              </w:rPr>
            </w:pPr>
          </w:p>
        </w:tc>
        <w:tc>
          <w:tcPr>
            <w:tcW w:w="1340" w:type="dxa"/>
            <w:vAlign w:val="bottom"/>
            <w:vMerge w:val="restart"/>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All Other Stock</w:t>
            </w:r>
          </w:p>
        </w:tc>
        <w:tc>
          <w:tcPr>
            <w:tcW w:w="280" w:type="dxa"/>
            <w:vAlign w:val="bottom"/>
            <w:shd w:val="clear" w:color="auto" w:fill="0071CE"/>
          </w:tcPr>
          <w:p>
            <w:pPr>
              <w:spacing w:after="0"/>
              <w:rPr>
                <w:sz w:val="14"/>
                <w:szCs w:val="14"/>
                <w:color w:val="auto"/>
              </w:rPr>
            </w:pPr>
          </w:p>
        </w:tc>
        <w:tc>
          <w:tcPr>
            <w:tcW w:w="9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20" w:type="dxa"/>
            <w:vAlign w:val="bottom"/>
            <w:shd w:val="clear" w:color="auto" w:fill="0071CE"/>
          </w:tcPr>
          <w:p>
            <w:pPr>
              <w:spacing w:after="0"/>
              <w:rPr>
                <w:sz w:val="5"/>
                <w:szCs w:val="5"/>
                <w:color w:val="auto"/>
              </w:rPr>
            </w:pPr>
          </w:p>
        </w:tc>
        <w:tc>
          <w:tcPr>
            <w:tcW w:w="1260" w:type="dxa"/>
            <w:vAlign w:val="bottom"/>
            <w:shd w:val="clear" w:color="auto" w:fill="0071CE"/>
          </w:tcPr>
          <w:p>
            <w:pPr>
              <w:spacing w:after="0"/>
              <w:rPr>
                <w:sz w:val="5"/>
                <w:szCs w:val="5"/>
                <w:color w:val="auto"/>
              </w:rPr>
            </w:pPr>
          </w:p>
        </w:tc>
        <w:tc>
          <w:tcPr>
            <w:tcW w:w="320" w:type="dxa"/>
            <w:vAlign w:val="bottom"/>
            <w:shd w:val="clear" w:color="auto" w:fill="0071CE"/>
          </w:tcPr>
          <w:p>
            <w:pPr>
              <w:spacing w:after="0"/>
              <w:rPr>
                <w:sz w:val="5"/>
                <w:szCs w:val="5"/>
                <w:color w:val="auto"/>
              </w:rPr>
            </w:pPr>
          </w:p>
        </w:tc>
        <w:tc>
          <w:tcPr>
            <w:tcW w:w="24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320" w:type="dxa"/>
            <w:vAlign w:val="bottom"/>
            <w:shd w:val="clear" w:color="auto" w:fill="0071CE"/>
          </w:tcPr>
          <w:p>
            <w:pPr>
              <w:spacing w:after="0"/>
              <w:rPr>
                <w:sz w:val="5"/>
                <w:szCs w:val="5"/>
                <w:color w:val="auto"/>
              </w:rPr>
            </w:pPr>
          </w:p>
        </w:tc>
        <w:tc>
          <w:tcPr>
            <w:tcW w:w="16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Under Equity</w:t>
            </w:r>
          </w:p>
        </w:tc>
        <w:tc>
          <w:tcPr>
            <w:tcW w:w="340" w:type="dxa"/>
            <w:vAlign w:val="bottom"/>
            <w:shd w:val="clear" w:color="auto" w:fill="0071CE"/>
          </w:tcPr>
          <w:p>
            <w:pPr>
              <w:spacing w:after="0"/>
              <w:rPr>
                <w:sz w:val="5"/>
                <w:szCs w:val="5"/>
                <w:color w:val="auto"/>
              </w:rPr>
            </w:pPr>
          </w:p>
        </w:tc>
        <w:tc>
          <w:tcPr>
            <w:tcW w:w="1340" w:type="dxa"/>
            <w:vAlign w:val="bottom"/>
            <w:vMerge w:val="continue"/>
            <w:shd w:val="clear" w:color="auto" w:fill="0071CE"/>
          </w:tcPr>
          <w:p>
            <w:pPr>
              <w:spacing w:after="0"/>
              <w:rPr>
                <w:sz w:val="5"/>
                <w:szCs w:val="5"/>
                <w:color w:val="auto"/>
              </w:rPr>
            </w:pPr>
          </w:p>
        </w:tc>
        <w:tc>
          <w:tcPr>
            <w:tcW w:w="280" w:type="dxa"/>
            <w:vAlign w:val="bottom"/>
            <w:shd w:val="clear" w:color="auto" w:fill="0071CE"/>
          </w:tcPr>
          <w:p>
            <w:pPr>
              <w:spacing w:after="0"/>
              <w:rPr>
                <w:sz w:val="5"/>
                <w:szCs w:val="5"/>
                <w:color w:val="auto"/>
              </w:rPr>
            </w:pPr>
          </w:p>
        </w:tc>
        <w:tc>
          <w:tcPr>
            <w:tcW w:w="92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0071CE"/>
          </w:tcPr>
          <w:p>
            <w:pPr>
              <w:spacing w:after="0"/>
              <w:rPr>
                <w:sz w:val="8"/>
                <w:szCs w:val="8"/>
                <w:color w:val="auto"/>
              </w:rPr>
            </w:pPr>
          </w:p>
        </w:tc>
        <w:tc>
          <w:tcPr>
            <w:tcW w:w="1260" w:type="dxa"/>
            <w:vAlign w:val="bottom"/>
            <w:shd w:val="clear" w:color="auto" w:fill="0071CE"/>
          </w:tcPr>
          <w:p>
            <w:pPr>
              <w:spacing w:after="0"/>
              <w:rPr>
                <w:sz w:val="8"/>
                <w:szCs w:val="8"/>
                <w:color w:val="auto"/>
              </w:rPr>
            </w:pPr>
          </w:p>
        </w:tc>
        <w:tc>
          <w:tcPr>
            <w:tcW w:w="320" w:type="dxa"/>
            <w:vAlign w:val="bottom"/>
            <w:shd w:val="clear" w:color="auto" w:fill="0071CE"/>
          </w:tcPr>
          <w:p>
            <w:pPr>
              <w:spacing w:after="0"/>
              <w:rPr>
                <w:sz w:val="8"/>
                <w:szCs w:val="8"/>
                <w:color w:val="auto"/>
              </w:rPr>
            </w:pPr>
          </w:p>
        </w:tc>
        <w:tc>
          <w:tcPr>
            <w:tcW w:w="2460" w:type="dxa"/>
            <w:vAlign w:val="bottom"/>
            <w:vMerge w:val="continue"/>
            <w:shd w:val="clear" w:color="auto" w:fill="0071CE"/>
          </w:tcPr>
          <w:p>
            <w:pPr>
              <w:spacing w:after="0"/>
              <w:rPr>
                <w:sz w:val="8"/>
                <w:szCs w:val="8"/>
                <w:color w:val="auto"/>
              </w:rPr>
            </w:pPr>
          </w:p>
        </w:tc>
        <w:tc>
          <w:tcPr>
            <w:tcW w:w="320" w:type="dxa"/>
            <w:vAlign w:val="bottom"/>
            <w:shd w:val="clear" w:color="auto" w:fill="0071CE"/>
          </w:tcPr>
          <w:p>
            <w:pPr>
              <w:spacing w:after="0"/>
              <w:rPr>
                <w:sz w:val="8"/>
                <w:szCs w:val="8"/>
                <w:color w:val="auto"/>
              </w:rPr>
            </w:pPr>
          </w:p>
        </w:tc>
        <w:tc>
          <w:tcPr>
            <w:tcW w:w="1660" w:type="dxa"/>
            <w:vAlign w:val="bottom"/>
            <w:vMerge w:val="continue"/>
            <w:shd w:val="clear" w:color="auto" w:fill="0071CE"/>
          </w:tcPr>
          <w:p>
            <w:pPr>
              <w:spacing w:after="0"/>
              <w:rPr>
                <w:sz w:val="8"/>
                <w:szCs w:val="8"/>
                <w:color w:val="auto"/>
              </w:rPr>
            </w:pPr>
          </w:p>
        </w:tc>
        <w:tc>
          <w:tcPr>
            <w:tcW w:w="340" w:type="dxa"/>
            <w:vAlign w:val="bottom"/>
            <w:shd w:val="clear" w:color="auto" w:fill="0071CE"/>
          </w:tcPr>
          <w:p>
            <w:pPr>
              <w:spacing w:after="0"/>
              <w:rPr>
                <w:sz w:val="8"/>
                <w:szCs w:val="8"/>
                <w:color w:val="auto"/>
              </w:rPr>
            </w:pPr>
          </w:p>
        </w:tc>
        <w:tc>
          <w:tcPr>
            <w:tcW w:w="1340" w:type="dxa"/>
            <w:vAlign w:val="bottom"/>
            <w:vMerge w:val="restart"/>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rPr>
              <w:t>Awards: Number</w:t>
            </w:r>
          </w:p>
        </w:tc>
        <w:tc>
          <w:tcPr>
            <w:tcW w:w="280" w:type="dxa"/>
            <w:vAlign w:val="bottom"/>
            <w:shd w:val="clear" w:color="auto" w:fill="0071CE"/>
          </w:tcPr>
          <w:p>
            <w:pPr>
              <w:spacing w:after="0"/>
              <w:rPr>
                <w:sz w:val="8"/>
                <w:szCs w:val="8"/>
                <w:color w:val="auto"/>
              </w:rPr>
            </w:pPr>
          </w:p>
        </w:tc>
        <w:tc>
          <w:tcPr>
            <w:tcW w:w="920" w:type="dxa"/>
            <w:vAlign w:val="bottom"/>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20" w:type="dxa"/>
            <w:vAlign w:val="bottom"/>
            <w:shd w:val="clear" w:color="auto" w:fill="0071CE"/>
          </w:tcPr>
          <w:p>
            <w:pPr>
              <w:spacing w:after="0"/>
              <w:rPr>
                <w:sz w:val="5"/>
                <w:szCs w:val="5"/>
                <w:color w:val="auto"/>
              </w:rPr>
            </w:pPr>
          </w:p>
        </w:tc>
        <w:tc>
          <w:tcPr>
            <w:tcW w:w="1260" w:type="dxa"/>
            <w:vAlign w:val="bottom"/>
            <w:shd w:val="clear" w:color="auto" w:fill="0071CE"/>
          </w:tcPr>
          <w:p>
            <w:pPr>
              <w:spacing w:after="0"/>
              <w:rPr>
                <w:sz w:val="5"/>
                <w:szCs w:val="5"/>
                <w:color w:val="auto"/>
              </w:rPr>
            </w:pPr>
          </w:p>
        </w:tc>
        <w:tc>
          <w:tcPr>
            <w:tcW w:w="320" w:type="dxa"/>
            <w:vAlign w:val="bottom"/>
            <w:shd w:val="clear" w:color="auto" w:fill="0071CE"/>
          </w:tcPr>
          <w:p>
            <w:pPr>
              <w:spacing w:after="0"/>
              <w:rPr>
                <w:sz w:val="5"/>
                <w:szCs w:val="5"/>
                <w:color w:val="auto"/>
              </w:rPr>
            </w:pPr>
          </w:p>
        </w:tc>
        <w:tc>
          <w:tcPr>
            <w:tcW w:w="24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Under Non-Equity</w:t>
            </w:r>
          </w:p>
        </w:tc>
        <w:tc>
          <w:tcPr>
            <w:tcW w:w="320" w:type="dxa"/>
            <w:vAlign w:val="bottom"/>
            <w:shd w:val="clear" w:color="auto" w:fill="0071CE"/>
          </w:tcPr>
          <w:p>
            <w:pPr>
              <w:spacing w:after="0"/>
              <w:rPr>
                <w:sz w:val="5"/>
                <w:szCs w:val="5"/>
                <w:color w:val="auto"/>
              </w:rPr>
            </w:pPr>
          </w:p>
        </w:tc>
        <w:tc>
          <w:tcPr>
            <w:tcW w:w="16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Plan</w:t>
            </w:r>
          </w:p>
        </w:tc>
        <w:tc>
          <w:tcPr>
            <w:tcW w:w="340" w:type="dxa"/>
            <w:vAlign w:val="bottom"/>
            <w:shd w:val="clear" w:color="auto" w:fill="0071CE"/>
          </w:tcPr>
          <w:p>
            <w:pPr>
              <w:spacing w:after="0"/>
              <w:rPr>
                <w:sz w:val="5"/>
                <w:szCs w:val="5"/>
                <w:color w:val="auto"/>
              </w:rPr>
            </w:pPr>
          </w:p>
        </w:tc>
        <w:tc>
          <w:tcPr>
            <w:tcW w:w="1340" w:type="dxa"/>
            <w:vAlign w:val="bottom"/>
            <w:vMerge w:val="continue"/>
            <w:shd w:val="clear" w:color="auto" w:fill="0071CE"/>
          </w:tcPr>
          <w:p>
            <w:pPr>
              <w:spacing w:after="0"/>
              <w:rPr>
                <w:sz w:val="5"/>
                <w:szCs w:val="5"/>
                <w:color w:val="auto"/>
              </w:rPr>
            </w:pPr>
          </w:p>
        </w:tc>
        <w:tc>
          <w:tcPr>
            <w:tcW w:w="280" w:type="dxa"/>
            <w:vAlign w:val="bottom"/>
            <w:shd w:val="clear" w:color="auto" w:fill="0071CE"/>
          </w:tcPr>
          <w:p>
            <w:pPr>
              <w:spacing w:after="0"/>
              <w:rPr>
                <w:sz w:val="5"/>
                <w:szCs w:val="5"/>
                <w:color w:val="auto"/>
              </w:rPr>
            </w:pPr>
          </w:p>
        </w:tc>
        <w:tc>
          <w:tcPr>
            <w:tcW w:w="920" w:type="dxa"/>
            <w:vAlign w:val="bottom"/>
            <w:vMerge w:val="restart"/>
            <w:shd w:val="clear" w:color="auto" w:fill="0071CE"/>
          </w:tcPr>
          <w:p>
            <w:pPr>
              <w:jc w:val="center"/>
              <w:ind w:right="80"/>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95"/>
        </w:trPr>
        <w:tc>
          <w:tcPr>
            <w:tcW w:w="2120" w:type="dxa"/>
            <w:vAlign w:val="bottom"/>
            <w:shd w:val="clear" w:color="auto" w:fill="0071CE"/>
          </w:tcPr>
          <w:p>
            <w:pPr>
              <w:spacing w:after="0"/>
              <w:rPr>
                <w:sz w:val="8"/>
                <w:szCs w:val="8"/>
                <w:color w:val="auto"/>
              </w:rPr>
            </w:pPr>
          </w:p>
        </w:tc>
        <w:tc>
          <w:tcPr>
            <w:tcW w:w="1260" w:type="dxa"/>
            <w:vAlign w:val="bottom"/>
            <w:shd w:val="clear" w:color="auto" w:fill="0071CE"/>
          </w:tcPr>
          <w:p>
            <w:pPr>
              <w:spacing w:after="0"/>
              <w:rPr>
                <w:sz w:val="8"/>
                <w:szCs w:val="8"/>
                <w:color w:val="auto"/>
              </w:rPr>
            </w:pPr>
          </w:p>
        </w:tc>
        <w:tc>
          <w:tcPr>
            <w:tcW w:w="320" w:type="dxa"/>
            <w:vAlign w:val="bottom"/>
            <w:shd w:val="clear" w:color="auto" w:fill="0071CE"/>
          </w:tcPr>
          <w:p>
            <w:pPr>
              <w:spacing w:after="0"/>
              <w:rPr>
                <w:sz w:val="8"/>
                <w:szCs w:val="8"/>
                <w:color w:val="auto"/>
              </w:rPr>
            </w:pPr>
          </w:p>
        </w:tc>
        <w:tc>
          <w:tcPr>
            <w:tcW w:w="2460" w:type="dxa"/>
            <w:vAlign w:val="bottom"/>
            <w:vMerge w:val="continue"/>
            <w:shd w:val="clear" w:color="auto" w:fill="0071CE"/>
          </w:tcPr>
          <w:p>
            <w:pPr>
              <w:spacing w:after="0"/>
              <w:rPr>
                <w:sz w:val="8"/>
                <w:szCs w:val="8"/>
                <w:color w:val="auto"/>
              </w:rPr>
            </w:pPr>
          </w:p>
        </w:tc>
        <w:tc>
          <w:tcPr>
            <w:tcW w:w="320" w:type="dxa"/>
            <w:vAlign w:val="bottom"/>
            <w:shd w:val="clear" w:color="auto" w:fill="0071CE"/>
          </w:tcPr>
          <w:p>
            <w:pPr>
              <w:spacing w:after="0"/>
              <w:rPr>
                <w:sz w:val="8"/>
                <w:szCs w:val="8"/>
                <w:color w:val="auto"/>
              </w:rPr>
            </w:pPr>
          </w:p>
        </w:tc>
        <w:tc>
          <w:tcPr>
            <w:tcW w:w="1660" w:type="dxa"/>
            <w:vAlign w:val="bottom"/>
            <w:vMerge w:val="continue"/>
            <w:shd w:val="clear" w:color="auto" w:fill="0071CE"/>
          </w:tcPr>
          <w:p>
            <w:pPr>
              <w:spacing w:after="0"/>
              <w:rPr>
                <w:sz w:val="8"/>
                <w:szCs w:val="8"/>
                <w:color w:val="auto"/>
              </w:rPr>
            </w:pPr>
          </w:p>
        </w:tc>
        <w:tc>
          <w:tcPr>
            <w:tcW w:w="340" w:type="dxa"/>
            <w:vAlign w:val="bottom"/>
            <w:shd w:val="clear" w:color="auto" w:fill="0071CE"/>
          </w:tcPr>
          <w:p>
            <w:pPr>
              <w:spacing w:after="0"/>
              <w:rPr>
                <w:sz w:val="8"/>
                <w:szCs w:val="8"/>
                <w:color w:val="auto"/>
              </w:rPr>
            </w:pPr>
          </w:p>
        </w:tc>
        <w:tc>
          <w:tcPr>
            <w:tcW w:w="1340" w:type="dxa"/>
            <w:vAlign w:val="bottom"/>
            <w:vMerge w:val="restart"/>
            <w:shd w:val="clear" w:color="auto" w:fill="0071CE"/>
          </w:tcPr>
          <w:p>
            <w:pPr>
              <w:jc w:val="center"/>
              <w:ind w:right="101"/>
              <w:spacing w:after="0" w:line="150" w:lineRule="exact"/>
              <w:rPr>
                <w:sz w:val="20"/>
                <w:szCs w:val="20"/>
                <w:color w:val="auto"/>
              </w:rPr>
            </w:pPr>
            <w:r>
              <w:rPr>
                <w:rFonts w:ascii="Arial" w:cs="Arial" w:eastAsia="Arial" w:hAnsi="Arial"/>
                <w:sz w:val="14"/>
                <w:szCs w:val="14"/>
                <w:b w:val="1"/>
                <w:bCs w:val="1"/>
                <w:color w:val="FFFFFF"/>
              </w:rPr>
              <w:t>of Shares of</w:t>
            </w:r>
          </w:p>
        </w:tc>
        <w:tc>
          <w:tcPr>
            <w:tcW w:w="280" w:type="dxa"/>
            <w:vAlign w:val="bottom"/>
            <w:shd w:val="clear" w:color="auto" w:fill="0071CE"/>
          </w:tcPr>
          <w:p>
            <w:pPr>
              <w:spacing w:after="0"/>
              <w:rPr>
                <w:sz w:val="8"/>
                <w:szCs w:val="8"/>
                <w:color w:val="auto"/>
              </w:rPr>
            </w:pPr>
          </w:p>
        </w:tc>
        <w:tc>
          <w:tcPr>
            <w:tcW w:w="920" w:type="dxa"/>
            <w:vAlign w:val="bottom"/>
            <w:vMerge w:val="continue"/>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120" w:type="dxa"/>
            <w:vAlign w:val="bottom"/>
            <w:shd w:val="clear" w:color="auto" w:fill="0071CE"/>
          </w:tcPr>
          <w:p>
            <w:pPr>
              <w:spacing w:after="0"/>
              <w:rPr>
                <w:sz w:val="4"/>
                <w:szCs w:val="4"/>
                <w:color w:val="auto"/>
              </w:rPr>
            </w:pPr>
          </w:p>
        </w:tc>
        <w:tc>
          <w:tcPr>
            <w:tcW w:w="1260" w:type="dxa"/>
            <w:vAlign w:val="bottom"/>
            <w:shd w:val="clear" w:color="auto" w:fill="0071CE"/>
          </w:tcPr>
          <w:p>
            <w:pPr>
              <w:spacing w:after="0"/>
              <w:rPr>
                <w:sz w:val="4"/>
                <w:szCs w:val="4"/>
                <w:color w:val="auto"/>
              </w:rPr>
            </w:pPr>
          </w:p>
        </w:tc>
        <w:tc>
          <w:tcPr>
            <w:tcW w:w="320" w:type="dxa"/>
            <w:vAlign w:val="bottom"/>
            <w:shd w:val="clear" w:color="auto" w:fill="0071CE"/>
          </w:tcPr>
          <w:p>
            <w:pPr>
              <w:spacing w:after="0"/>
              <w:rPr>
                <w:sz w:val="4"/>
                <w:szCs w:val="4"/>
                <w:color w:val="auto"/>
              </w:rPr>
            </w:pPr>
          </w:p>
        </w:tc>
        <w:tc>
          <w:tcPr>
            <w:tcW w:w="24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Plan Awards (1)</w:t>
            </w:r>
          </w:p>
        </w:tc>
        <w:tc>
          <w:tcPr>
            <w:tcW w:w="320" w:type="dxa"/>
            <w:vAlign w:val="bottom"/>
            <w:shd w:val="clear" w:color="auto" w:fill="0071CE"/>
          </w:tcPr>
          <w:p>
            <w:pPr>
              <w:spacing w:after="0"/>
              <w:rPr>
                <w:sz w:val="4"/>
                <w:szCs w:val="4"/>
                <w:color w:val="auto"/>
              </w:rPr>
            </w:pPr>
          </w:p>
        </w:tc>
        <w:tc>
          <w:tcPr>
            <w:tcW w:w="16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Awards (2)</w:t>
            </w:r>
          </w:p>
        </w:tc>
        <w:tc>
          <w:tcPr>
            <w:tcW w:w="340" w:type="dxa"/>
            <w:vAlign w:val="bottom"/>
            <w:shd w:val="clear" w:color="auto" w:fill="0071CE"/>
          </w:tcPr>
          <w:p>
            <w:pPr>
              <w:spacing w:after="0"/>
              <w:rPr>
                <w:sz w:val="4"/>
                <w:szCs w:val="4"/>
                <w:color w:val="auto"/>
              </w:rPr>
            </w:pPr>
          </w:p>
        </w:tc>
        <w:tc>
          <w:tcPr>
            <w:tcW w:w="1340" w:type="dxa"/>
            <w:vAlign w:val="bottom"/>
            <w:vMerge w:val="continue"/>
            <w:shd w:val="clear" w:color="auto" w:fill="0071CE"/>
          </w:tcPr>
          <w:p>
            <w:pPr>
              <w:spacing w:after="0"/>
              <w:rPr>
                <w:sz w:val="4"/>
                <w:szCs w:val="4"/>
                <w:color w:val="auto"/>
              </w:rPr>
            </w:pPr>
          </w:p>
        </w:tc>
        <w:tc>
          <w:tcPr>
            <w:tcW w:w="280" w:type="dxa"/>
            <w:vAlign w:val="bottom"/>
            <w:shd w:val="clear" w:color="auto" w:fill="0071CE"/>
          </w:tcPr>
          <w:p>
            <w:pPr>
              <w:spacing w:after="0"/>
              <w:rPr>
                <w:sz w:val="4"/>
                <w:szCs w:val="4"/>
                <w:color w:val="auto"/>
              </w:rPr>
            </w:pPr>
          </w:p>
        </w:tc>
        <w:tc>
          <w:tcPr>
            <w:tcW w:w="920" w:type="dxa"/>
            <w:vAlign w:val="bottom"/>
            <w:vMerge w:val="continue"/>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120" w:type="dxa"/>
            <w:vAlign w:val="bottom"/>
            <w:vMerge w:val="restart"/>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1260" w:type="dxa"/>
            <w:vAlign w:val="bottom"/>
            <w:shd w:val="clear" w:color="auto" w:fill="0071CE"/>
          </w:tcPr>
          <w:p>
            <w:pPr>
              <w:spacing w:after="0"/>
              <w:rPr>
                <w:sz w:val="9"/>
                <w:szCs w:val="9"/>
                <w:color w:val="auto"/>
              </w:rPr>
            </w:pPr>
          </w:p>
        </w:tc>
        <w:tc>
          <w:tcPr>
            <w:tcW w:w="320" w:type="dxa"/>
            <w:vAlign w:val="bottom"/>
            <w:shd w:val="clear" w:color="auto" w:fill="0071CE"/>
          </w:tcPr>
          <w:p>
            <w:pPr>
              <w:spacing w:after="0"/>
              <w:rPr>
                <w:sz w:val="9"/>
                <w:szCs w:val="9"/>
                <w:color w:val="auto"/>
              </w:rPr>
            </w:pPr>
          </w:p>
        </w:tc>
        <w:tc>
          <w:tcPr>
            <w:tcW w:w="2460" w:type="dxa"/>
            <w:vAlign w:val="bottom"/>
            <w:vMerge w:val="continue"/>
            <w:shd w:val="clear" w:color="auto" w:fill="0071CE"/>
          </w:tcPr>
          <w:p>
            <w:pPr>
              <w:spacing w:after="0"/>
              <w:rPr>
                <w:sz w:val="9"/>
                <w:szCs w:val="9"/>
                <w:color w:val="auto"/>
              </w:rPr>
            </w:pPr>
          </w:p>
        </w:tc>
        <w:tc>
          <w:tcPr>
            <w:tcW w:w="320" w:type="dxa"/>
            <w:vAlign w:val="bottom"/>
            <w:shd w:val="clear" w:color="auto" w:fill="0071CE"/>
          </w:tcPr>
          <w:p>
            <w:pPr>
              <w:spacing w:after="0"/>
              <w:rPr>
                <w:sz w:val="9"/>
                <w:szCs w:val="9"/>
                <w:color w:val="auto"/>
              </w:rPr>
            </w:pPr>
          </w:p>
        </w:tc>
        <w:tc>
          <w:tcPr>
            <w:tcW w:w="1660" w:type="dxa"/>
            <w:vAlign w:val="bottom"/>
            <w:vMerge w:val="continue"/>
            <w:shd w:val="clear" w:color="auto" w:fill="0071CE"/>
          </w:tcPr>
          <w:p>
            <w:pPr>
              <w:spacing w:after="0"/>
              <w:rPr>
                <w:sz w:val="9"/>
                <w:szCs w:val="9"/>
                <w:color w:val="auto"/>
              </w:rPr>
            </w:pPr>
          </w:p>
        </w:tc>
        <w:tc>
          <w:tcPr>
            <w:tcW w:w="340" w:type="dxa"/>
            <w:vAlign w:val="bottom"/>
            <w:shd w:val="clear" w:color="auto" w:fill="0071CE"/>
          </w:tcPr>
          <w:p>
            <w:pPr>
              <w:spacing w:after="0"/>
              <w:rPr>
                <w:sz w:val="9"/>
                <w:szCs w:val="9"/>
                <w:color w:val="auto"/>
              </w:rPr>
            </w:pPr>
          </w:p>
        </w:tc>
        <w:tc>
          <w:tcPr>
            <w:tcW w:w="1340" w:type="dxa"/>
            <w:vAlign w:val="bottom"/>
            <w:vMerge w:val="restart"/>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rPr>
              <w:t>Stock or Units</w:t>
            </w:r>
          </w:p>
        </w:tc>
        <w:tc>
          <w:tcPr>
            <w:tcW w:w="280" w:type="dxa"/>
            <w:vAlign w:val="bottom"/>
            <w:shd w:val="clear" w:color="auto" w:fill="0071CE"/>
          </w:tcPr>
          <w:p>
            <w:pPr>
              <w:spacing w:after="0"/>
              <w:rPr>
                <w:sz w:val="9"/>
                <w:szCs w:val="9"/>
                <w:color w:val="auto"/>
              </w:rPr>
            </w:pPr>
          </w:p>
        </w:tc>
        <w:tc>
          <w:tcPr>
            <w:tcW w:w="920" w:type="dxa"/>
            <w:vAlign w:val="bottom"/>
            <w:vMerge w:val="restart"/>
            <w:shd w:val="clear" w:color="auto" w:fill="0071CE"/>
          </w:tcPr>
          <w:p>
            <w:pPr>
              <w:jc w:val="center"/>
              <w:ind w:right="80"/>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54"/>
        </w:trPr>
        <w:tc>
          <w:tcPr>
            <w:tcW w:w="2120" w:type="dxa"/>
            <w:vAlign w:val="bottom"/>
            <w:vMerge w:val="continue"/>
            <w:shd w:val="clear" w:color="auto" w:fill="0071CE"/>
          </w:tcPr>
          <w:p>
            <w:pPr>
              <w:spacing w:after="0"/>
              <w:rPr>
                <w:sz w:val="4"/>
                <w:szCs w:val="4"/>
                <w:color w:val="auto"/>
              </w:rPr>
            </w:pPr>
          </w:p>
        </w:tc>
        <w:tc>
          <w:tcPr>
            <w:tcW w:w="1260" w:type="dxa"/>
            <w:vAlign w:val="bottom"/>
            <w:shd w:val="clear" w:color="auto" w:fill="0071CE"/>
          </w:tcPr>
          <w:p>
            <w:pPr>
              <w:spacing w:after="0"/>
              <w:rPr>
                <w:sz w:val="4"/>
                <w:szCs w:val="4"/>
                <w:color w:val="auto"/>
              </w:rPr>
            </w:pPr>
          </w:p>
        </w:tc>
        <w:tc>
          <w:tcPr>
            <w:tcW w:w="320" w:type="dxa"/>
            <w:vAlign w:val="bottom"/>
            <w:shd w:val="clear" w:color="auto" w:fill="0071CE"/>
          </w:tcPr>
          <w:p>
            <w:pPr>
              <w:spacing w:after="0"/>
              <w:rPr>
                <w:sz w:val="4"/>
                <w:szCs w:val="4"/>
                <w:color w:val="auto"/>
              </w:rPr>
            </w:pPr>
          </w:p>
        </w:tc>
        <w:tc>
          <w:tcPr>
            <w:tcW w:w="2460" w:type="dxa"/>
            <w:vAlign w:val="bottom"/>
            <w:shd w:val="clear" w:color="auto" w:fill="0071CE"/>
          </w:tcPr>
          <w:p>
            <w:pPr>
              <w:spacing w:after="0"/>
              <w:rPr>
                <w:sz w:val="4"/>
                <w:szCs w:val="4"/>
                <w:color w:val="auto"/>
              </w:rPr>
            </w:pPr>
          </w:p>
        </w:tc>
        <w:tc>
          <w:tcPr>
            <w:tcW w:w="320" w:type="dxa"/>
            <w:vAlign w:val="bottom"/>
            <w:shd w:val="clear" w:color="auto" w:fill="0071CE"/>
          </w:tcPr>
          <w:p>
            <w:pPr>
              <w:spacing w:after="0"/>
              <w:rPr>
                <w:sz w:val="4"/>
                <w:szCs w:val="4"/>
                <w:color w:val="auto"/>
              </w:rPr>
            </w:pPr>
          </w:p>
        </w:tc>
        <w:tc>
          <w:tcPr>
            <w:tcW w:w="1660" w:type="dxa"/>
            <w:vAlign w:val="bottom"/>
            <w:shd w:val="clear" w:color="auto" w:fill="0071CE"/>
          </w:tcPr>
          <w:p>
            <w:pPr>
              <w:spacing w:after="0"/>
              <w:rPr>
                <w:sz w:val="4"/>
                <w:szCs w:val="4"/>
                <w:color w:val="auto"/>
              </w:rPr>
            </w:pPr>
          </w:p>
        </w:tc>
        <w:tc>
          <w:tcPr>
            <w:tcW w:w="340" w:type="dxa"/>
            <w:vAlign w:val="bottom"/>
            <w:shd w:val="clear" w:color="auto" w:fill="0071CE"/>
          </w:tcPr>
          <w:p>
            <w:pPr>
              <w:spacing w:after="0"/>
              <w:rPr>
                <w:sz w:val="4"/>
                <w:szCs w:val="4"/>
                <w:color w:val="auto"/>
              </w:rPr>
            </w:pPr>
          </w:p>
        </w:tc>
        <w:tc>
          <w:tcPr>
            <w:tcW w:w="1340" w:type="dxa"/>
            <w:vAlign w:val="bottom"/>
            <w:vMerge w:val="continue"/>
            <w:shd w:val="clear" w:color="auto" w:fill="0071CE"/>
          </w:tcPr>
          <w:p>
            <w:pPr>
              <w:spacing w:after="0"/>
              <w:rPr>
                <w:sz w:val="4"/>
                <w:szCs w:val="4"/>
                <w:color w:val="auto"/>
              </w:rPr>
            </w:pPr>
          </w:p>
        </w:tc>
        <w:tc>
          <w:tcPr>
            <w:tcW w:w="280" w:type="dxa"/>
            <w:vAlign w:val="bottom"/>
            <w:shd w:val="clear" w:color="auto" w:fill="0071CE"/>
          </w:tcPr>
          <w:p>
            <w:pPr>
              <w:spacing w:after="0"/>
              <w:rPr>
                <w:sz w:val="4"/>
                <w:szCs w:val="4"/>
                <w:color w:val="auto"/>
              </w:rPr>
            </w:pPr>
          </w:p>
        </w:tc>
        <w:tc>
          <w:tcPr>
            <w:tcW w:w="920" w:type="dxa"/>
            <w:vAlign w:val="bottom"/>
            <w:vMerge w:val="continue"/>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0071CE"/>
            </w:tcBorders>
            <w:vMerge w:val="continue"/>
            <w:shd w:val="clear" w:color="auto" w:fill="0071CE"/>
          </w:tcPr>
          <w:p>
            <w:pPr>
              <w:spacing w:after="0"/>
              <w:rPr>
                <w:sz w:val="17"/>
                <w:szCs w:val="17"/>
                <w:color w:val="auto"/>
              </w:rPr>
            </w:pPr>
          </w:p>
        </w:tc>
        <w:tc>
          <w:tcPr>
            <w:tcW w:w="1260" w:type="dxa"/>
            <w:vAlign w:val="bottom"/>
            <w:tcBorders>
              <w:bottom w:val="single" w:sz="8" w:color="0071CE"/>
            </w:tcBorders>
            <w:shd w:val="clear" w:color="auto" w:fill="0071CE"/>
          </w:tcPr>
          <w:p>
            <w:pPr>
              <w:jc w:val="right"/>
              <w:ind w:right="20"/>
              <w:spacing w:after="0"/>
              <w:rPr>
                <w:sz w:val="20"/>
                <w:szCs w:val="20"/>
                <w:color w:val="auto"/>
              </w:rPr>
            </w:pPr>
            <w:r>
              <w:rPr>
                <w:rFonts w:ascii="Arial" w:cs="Arial" w:eastAsia="Arial" w:hAnsi="Arial"/>
                <w:sz w:val="14"/>
                <w:szCs w:val="14"/>
                <w:b w:val="1"/>
                <w:bCs w:val="1"/>
                <w:color w:val="FFFFFF"/>
              </w:rPr>
              <w:t>Grant Date</w:t>
            </w:r>
          </w:p>
        </w:tc>
        <w:tc>
          <w:tcPr>
            <w:tcW w:w="320" w:type="dxa"/>
            <w:vAlign w:val="bottom"/>
            <w:tcBorders>
              <w:bottom w:val="single" w:sz="8" w:color="0071CE"/>
            </w:tcBorders>
            <w:shd w:val="clear" w:color="auto" w:fill="0071CE"/>
          </w:tcPr>
          <w:p>
            <w:pPr>
              <w:spacing w:after="0"/>
              <w:rPr>
                <w:sz w:val="17"/>
                <w:szCs w:val="17"/>
                <w:color w:val="auto"/>
              </w:rPr>
            </w:pPr>
          </w:p>
        </w:tc>
        <w:tc>
          <w:tcPr>
            <w:tcW w:w="24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320" w:type="dxa"/>
            <w:vAlign w:val="bottom"/>
            <w:tcBorders>
              <w:bottom w:val="single" w:sz="8" w:color="0071CE"/>
            </w:tcBorders>
            <w:shd w:val="clear" w:color="auto" w:fill="0071CE"/>
          </w:tcPr>
          <w:p>
            <w:pPr>
              <w:spacing w:after="0"/>
              <w:rPr>
                <w:sz w:val="17"/>
                <w:szCs w:val="17"/>
                <w:color w:val="auto"/>
              </w:rPr>
            </w:pPr>
          </w:p>
        </w:tc>
        <w:tc>
          <w:tcPr>
            <w:tcW w:w="16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340" w:type="dxa"/>
            <w:vAlign w:val="bottom"/>
            <w:tcBorders>
              <w:bottom w:val="single" w:sz="8" w:color="0071CE"/>
            </w:tcBorders>
            <w:shd w:val="clear" w:color="auto" w:fill="0071CE"/>
          </w:tcPr>
          <w:p>
            <w:pPr>
              <w:spacing w:after="0"/>
              <w:rPr>
                <w:sz w:val="17"/>
                <w:szCs w:val="17"/>
                <w:color w:val="auto"/>
              </w:rPr>
            </w:pPr>
          </w:p>
        </w:tc>
        <w:tc>
          <w:tcPr>
            <w:tcW w:w="1340" w:type="dxa"/>
            <w:vAlign w:val="bottom"/>
            <w:tcBorders>
              <w:bottom w:val="single" w:sz="8" w:color="0071CE"/>
            </w:tcBorders>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 (3)</w:t>
            </w:r>
          </w:p>
        </w:tc>
        <w:tc>
          <w:tcPr>
            <w:tcW w:w="280" w:type="dxa"/>
            <w:vAlign w:val="bottom"/>
            <w:tcBorders>
              <w:bottom w:val="single" w:sz="8" w:color="0071CE"/>
            </w:tcBorders>
            <w:shd w:val="clear" w:color="auto" w:fill="0071CE"/>
          </w:tcPr>
          <w:p>
            <w:pPr>
              <w:spacing w:after="0"/>
              <w:rPr>
                <w:sz w:val="17"/>
                <w:szCs w:val="17"/>
                <w:color w:val="auto"/>
              </w:rPr>
            </w:pPr>
          </w:p>
        </w:tc>
        <w:tc>
          <w:tcPr>
            <w:tcW w:w="920" w:type="dxa"/>
            <w:vAlign w:val="bottom"/>
            <w:tcBorders>
              <w:bottom w:val="single" w:sz="8" w:color="0071CE"/>
            </w:tcBorders>
            <w:shd w:val="clear" w:color="auto" w:fill="0071CE"/>
          </w:tcPr>
          <w:p>
            <w:pPr>
              <w:jc w:val="center"/>
              <w:ind w:right="80"/>
              <w:spacing w:after="0"/>
              <w:rPr>
                <w:sz w:val="20"/>
                <w:szCs w:val="20"/>
                <w:color w:val="auto"/>
              </w:rPr>
            </w:pPr>
            <w:r>
              <w:rPr>
                <w:rFonts w:ascii="Arial" w:cs="Arial" w:eastAsia="Arial" w:hAnsi="Arial"/>
                <w:sz w:val="14"/>
                <w:szCs w:val="14"/>
                <w:b w:val="1"/>
                <w:bCs w:val="1"/>
                <w:color w:val="FFFFFF"/>
                <w:w w:val="96"/>
              </w:rPr>
              <w:t>Value</w:t>
            </w:r>
          </w:p>
        </w:tc>
        <w:tc>
          <w:tcPr>
            <w:tcW w:w="0" w:type="dxa"/>
            <w:vAlign w:val="bottom"/>
          </w:tcPr>
          <w:p>
            <w:pPr>
              <w:spacing w:after="0"/>
              <w:rPr>
                <w:sz w:val="1"/>
                <w:szCs w:val="1"/>
                <w:color w:val="auto"/>
              </w:rPr>
            </w:pPr>
          </w:p>
        </w:tc>
      </w:tr>
      <w:tr>
        <w:trPr>
          <w:trHeight w:val="263"/>
        </w:trPr>
        <w:tc>
          <w:tcPr>
            <w:tcW w:w="212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Christopher Anzalone</w:t>
            </w:r>
          </w:p>
        </w:tc>
        <w:tc>
          <w:tcPr>
            <w:tcW w:w="12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24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166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92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260" w:type="dxa"/>
            <w:vAlign w:val="bottom"/>
            <w:shd w:val="clear" w:color="auto" w:fill="E5E5E5"/>
          </w:tcPr>
          <w:p>
            <w:pPr>
              <w:spacing w:after="0"/>
              <w:rPr>
                <w:sz w:val="23"/>
                <w:szCs w:val="23"/>
                <w:color w:val="auto"/>
              </w:rPr>
            </w:pPr>
          </w:p>
        </w:tc>
        <w:tc>
          <w:tcPr>
            <w:tcW w:w="2780" w:type="dxa"/>
            <w:vAlign w:val="bottom"/>
            <w:gridSpan w:val="2"/>
            <w:shd w:val="clear" w:color="auto" w:fill="E5E5E5"/>
          </w:tcPr>
          <w:p>
            <w:pPr>
              <w:jc w:val="right"/>
              <w:ind w:right="801"/>
              <w:spacing w:after="0"/>
              <w:rPr>
                <w:sz w:val="20"/>
                <w:szCs w:val="20"/>
                <w:color w:val="auto"/>
              </w:rPr>
            </w:pPr>
            <w:r>
              <w:rPr>
                <w:rFonts w:ascii="Arial" w:cs="Arial" w:eastAsia="Arial" w:hAnsi="Arial"/>
                <w:sz w:val="16"/>
                <w:szCs w:val="16"/>
                <w:color w:val="auto"/>
              </w:rPr>
              <w:t>$820,000</w:t>
            </w:r>
          </w:p>
        </w:tc>
        <w:tc>
          <w:tcPr>
            <w:tcW w:w="320" w:type="dxa"/>
            <w:vAlign w:val="bottom"/>
            <w:shd w:val="clear" w:color="auto" w:fill="E5E5E5"/>
          </w:tcPr>
          <w:p>
            <w:pPr>
              <w:spacing w:after="0"/>
              <w:rPr>
                <w:sz w:val="23"/>
                <w:szCs w:val="23"/>
                <w:color w:val="auto"/>
              </w:rPr>
            </w:pPr>
          </w:p>
        </w:tc>
        <w:tc>
          <w:tcPr>
            <w:tcW w:w="166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6,343,000</w:t>
            </w:r>
          </w:p>
        </w:tc>
        <w:tc>
          <w:tcPr>
            <w:tcW w:w="0" w:type="dxa"/>
            <w:vAlign w:val="bottom"/>
          </w:tcPr>
          <w:p>
            <w:pPr>
              <w:spacing w:after="0"/>
              <w:rPr>
                <w:sz w:val="1"/>
                <w:szCs w:val="1"/>
                <w:color w:val="auto"/>
              </w:rPr>
            </w:pPr>
          </w:p>
        </w:tc>
      </w:tr>
      <w:tr>
        <w:trPr>
          <w:trHeight w:val="283"/>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6,343,000</w:t>
            </w:r>
          </w:p>
        </w:tc>
        <w:tc>
          <w:tcPr>
            <w:tcW w:w="0" w:type="dxa"/>
            <w:vAlign w:val="bottom"/>
          </w:tcPr>
          <w:p>
            <w:pPr>
              <w:spacing w:after="0"/>
              <w:rPr>
                <w:sz w:val="1"/>
                <w:szCs w:val="1"/>
                <w:color w:val="auto"/>
              </w:rPr>
            </w:pPr>
          </w:p>
        </w:tc>
      </w:tr>
      <w:tr>
        <w:trPr>
          <w:trHeight w:val="283"/>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shd w:val="clear" w:color="auto" w:fill="E5E5E5"/>
          </w:tcPr>
          <w:p>
            <w:pPr>
              <w:spacing w:after="0"/>
              <w:rPr>
                <w:sz w:val="24"/>
                <w:szCs w:val="24"/>
                <w:color w:val="auto"/>
              </w:rPr>
            </w:pPr>
          </w:p>
        </w:tc>
        <w:tc>
          <w:tcPr>
            <w:tcW w:w="246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3"/>
        </w:trPr>
        <w:tc>
          <w:tcPr>
            <w:tcW w:w="212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tcBorders>
              <w:bottom w:val="single" w:sz="8" w:color="E5E5E5"/>
            </w:tcBorders>
            <w:shd w:val="clear" w:color="auto" w:fill="E5E5E5"/>
          </w:tcPr>
          <w:p>
            <w:pPr>
              <w:spacing w:after="0"/>
              <w:rPr>
                <w:sz w:val="24"/>
                <w:szCs w:val="24"/>
                <w:color w:val="auto"/>
              </w:rPr>
            </w:pPr>
          </w:p>
        </w:tc>
        <w:tc>
          <w:tcPr>
            <w:tcW w:w="246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5E5E5"/>
            </w:tcBorders>
            <w:gridSpan w:val="2"/>
            <w:shd w:val="clear" w:color="auto" w:fill="E5E5E5"/>
          </w:tcPr>
          <w:p>
            <w:pPr>
              <w:jc w:val="right"/>
              <w:ind w:right="422"/>
              <w:spacing w:after="0"/>
              <w:rPr>
                <w:sz w:val="20"/>
                <w:szCs w:val="20"/>
                <w:color w:val="auto"/>
              </w:rPr>
            </w:pPr>
            <w:r>
              <w:rPr>
                <w:rFonts w:ascii="Arial" w:cs="Arial" w:eastAsia="Arial" w:hAnsi="Arial"/>
                <w:sz w:val="16"/>
                <w:szCs w:val="16"/>
                <w:color w:val="auto"/>
              </w:rPr>
              <w:t>100,000</w:t>
            </w:r>
          </w:p>
        </w:tc>
        <w:tc>
          <w:tcPr>
            <w:tcW w:w="34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5E5E5"/>
            </w:tcBorders>
            <w:shd w:val="clear" w:color="auto" w:fill="E5E5E5"/>
          </w:tcPr>
          <w:p>
            <w:pPr>
              <w:spacing w:after="0"/>
              <w:rPr>
                <w:sz w:val="24"/>
                <w:szCs w:val="24"/>
                <w:color w:val="auto"/>
              </w:rPr>
            </w:pPr>
          </w:p>
        </w:tc>
        <w:tc>
          <w:tcPr>
            <w:tcW w:w="9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6"/>
                <w:szCs w:val="16"/>
                <w:b w:val="1"/>
                <w:bCs w:val="1"/>
                <w:color w:val="0071CE"/>
              </w:rPr>
              <w:t>Kenneth Myszkowski</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2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260" w:type="dxa"/>
            <w:vAlign w:val="bottom"/>
          </w:tcPr>
          <w:p>
            <w:pPr>
              <w:spacing w:after="0"/>
              <w:rPr>
                <w:sz w:val="23"/>
                <w:szCs w:val="23"/>
                <w:color w:val="auto"/>
              </w:rPr>
            </w:pPr>
          </w:p>
        </w:tc>
        <w:tc>
          <w:tcPr>
            <w:tcW w:w="2780" w:type="dxa"/>
            <w:vAlign w:val="bottom"/>
            <w:gridSpan w:val="2"/>
          </w:tcPr>
          <w:p>
            <w:pPr>
              <w:jc w:val="right"/>
              <w:ind w:right="801"/>
              <w:spacing w:after="0"/>
              <w:rPr>
                <w:sz w:val="20"/>
                <w:szCs w:val="20"/>
                <w:color w:val="auto"/>
              </w:rPr>
            </w:pPr>
            <w:r>
              <w:rPr>
                <w:rFonts w:ascii="Arial" w:cs="Arial" w:eastAsia="Arial" w:hAnsi="Arial"/>
                <w:sz w:val="16"/>
                <w:szCs w:val="16"/>
                <w:color w:val="auto"/>
              </w:rPr>
              <w:t>$213,750</w:t>
            </w:r>
          </w:p>
        </w:tc>
        <w:tc>
          <w:tcPr>
            <w:tcW w:w="320" w:type="dxa"/>
            <w:vAlign w:val="bottom"/>
          </w:tcPr>
          <w:p>
            <w:pPr>
              <w:spacing w:after="0"/>
              <w:rPr>
                <w:sz w:val="23"/>
                <w:szCs w:val="23"/>
                <w:color w:val="auto"/>
              </w:rPr>
            </w:pPr>
          </w:p>
        </w:tc>
        <w:tc>
          <w:tcPr>
            <w:tcW w:w="16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20" w:type="dxa"/>
            <w:vAlign w:val="bottom"/>
          </w:tcPr>
          <w:p>
            <w:pPr>
              <w:ind w:left="480"/>
              <w:spacing w:after="0"/>
              <w:rPr>
                <w:sz w:val="20"/>
                <w:szCs w:val="20"/>
                <w:color w:val="auto"/>
              </w:rPr>
            </w:pPr>
            <w:r>
              <w:rPr>
                <w:rFonts w:ascii="Arial" w:cs="Arial" w:eastAsia="Arial" w:hAnsi="Arial"/>
                <w:sz w:val="16"/>
                <w:szCs w:val="16"/>
                <w:color w:val="auto"/>
              </w:rPr>
              <w:t>RSUs</w:t>
            </w:r>
          </w:p>
        </w:tc>
        <w:tc>
          <w:tcPr>
            <w:tcW w:w="1260" w:type="dxa"/>
            <w:vAlign w:val="bottom"/>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tcPr>
          <w:p>
            <w:pPr>
              <w:spacing w:after="0"/>
              <w:rPr>
                <w:sz w:val="24"/>
                <w:szCs w:val="24"/>
                <w:color w:val="auto"/>
              </w:rPr>
            </w:pPr>
          </w:p>
        </w:tc>
        <w:tc>
          <w:tcPr>
            <w:tcW w:w="246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61"/>
              <w:spacing w:after="0"/>
              <w:rPr>
                <w:sz w:val="20"/>
                <w:szCs w:val="20"/>
                <w:color w:val="auto"/>
              </w:rPr>
            </w:pPr>
            <w:r>
              <w:rPr>
                <w:rFonts w:ascii="Arial" w:cs="Arial" w:eastAsia="Arial" w:hAnsi="Arial"/>
                <w:sz w:val="16"/>
                <w:szCs w:val="16"/>
                <w:color w:val="auto"/>
              </w:rPr>
              <w:t>85,000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1,055,700</w:t>
            </w: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Javier San Martin</w:t>
            </w:r>
          </w:p>
        </w:tc>
        <w:tc>
          <w:tcPr>
            <w:tcW w:w="12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24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166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92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260" w:type="dxa"/>
            <w:vAlign w:val="bottom"/>
            <w:shd w:val="clear" w:color="auto" w:fill="E5E5E5"/>
          </w:tcPr>
          <w:p>
            <w:pPr>
              <w:spacing w:after="0"/>
              <w:rPr>
                <w:sz w:val="23"/>
                <w:szCs w:val="23"/>
                <w:color w:val="auto"/>
              </w:rPr>
            </w:pPr>
          </w:p>
        </w:tc>
        <w:tc>
          <w:tcPr>
            <w:tcW w:w="2780" w:type="dxa"/>
            <w:vAlign w:val="bottom"/>
            <w:gridSpan w:val="2"/>
            <w:shd w:val="clear" w:color="auto" w:fill="E5E5E5"/>
          </w:tcPr>
          <w:p>
            <w:pPr>
              <w:jc w:val="right"/>
              <w:ind w:right="801"/>
              <w:spacing w:after="0"/>
              <w:rPr>
                <w:sz w:val="20"/>
                <w:szCs w:val="20"/>
                <w:color w:val="auto"/>
              </w:rPr>
            </w:pPr>
            <w:r>
              <w:rPr>
                <w:rFonts w:ascii="Arial" w:cs="Arial" w:eastAsia="Arial" w:hAnsi="Arial"/>
                <w:sz w:val="16"/>
                <w:szCs w:val="16"/>
                <w:color w:val="auto"/>
              </w:rPr>
              <w:t>$180,000</w:t>
            </w:r>
          </w:p>
        </w:tc>
        <w:tc>
          <w:tcPr>
            <w:tcW w:w="320" w:type="dxa"/>
            <w:vAlign w:val="bottom"/>
            <w:shd w:val="clear" w:color="auto" w:fill="E5E5E5"/>
          </w:tcPr>
          <w:p>
            <w:pPr>
              <w:spacing w:after="0"/>
              <w:rPr>
                <w:sz w:val="23"/>
                <w:szCs w:val="23"/>
                <w:color w:val="auto"/>
              </w:rPr>
            </w:pPr>
          </w:p>
        </w:tc>
        <w:tc>
          <w:tcPr>
            <w:tcW w:w="166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2"/>
        </w:trPr>
        <w:tc>
          <w:tcPr>
            <w:tcW w:w="212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11/18/2019</w:t>
            </w:r>
          </w:p>
        </w:tc>
        <w:tc>
          <w:tcPr>
            <w:tcW w:w="320" w:type="dxa"/>
            <w:vAlign w:val="bottom"/>
            <w:tcBorders>
              <w:bottom w:val="single" w:sz="8" w:color="E5E5E5"/>
            </w:tcBorders>
            <w:shd w:val="clear" w:color="auto" w:fill="E5E5E5"/>
          </w:tcPr>
          <w:p>
            <w:pPr>
              <w:spacing w:after="0"/>
              <w:rPr>
                <w:sz w:val="24"/>
                <w:szCs w:val="24"/>
                <w:color w:val="auto"/>
              </w:rPr>
            </w:pPr>
          </w:p>
        </w:tc>
        <w:tc>
          <w:tcPr>
            <w:tcW w:w="246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5E5E5"/>
            </w:tcBorders>
            <w:shd w:val="clear" w:color="auto" w:fill="E5E5E5"/>
          </w:tcPr>
          <w:p>
            <w:pPr>
              <w:spacing w:after="0"/>
              <w:rPr>
                <w:sz w:val="24"/>
                <w:szCs w:val="24"/>
                <w:color w:val="auto"/>
              </w:rPr>
            </w:pPr>
          </w:p>
        </w:tc>
        <w:tc>
          <w:tcPr>
            <w:tcW w:w="1660" w:type="dxa"/>
            <w:vAlign w:val="bottom"/>
            <w:tcBorders>
              <w:bottom w:val="single" w:sz="8" w:color="E5E5E5"/>
            </w:tcBorders>
            <w:shd w:val="clear" w:color="auto" w:fill="E5E5E5"/>
          </w:tcPr>
          <w:p>
            <w:pPr>
              <w:jc w:val="right"/>
              <w:ind w:right="422"/>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5E5"/>
            </w:tcBorders>
            <w:gridSpan w:val="2"/>
            <w:shd w:val="clear" w:color="auto" w:fill="E5E5E5"/>
          </w:tcPr>
          <w:p>
            <w:pPr>
              <w:jc w:val="right"/>
              <w:ind w:right="261"/>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7,225,500</w:t>
            </w: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6"/>
                <w:szCs w:val="16"/>
                <w:b w:val="1"/>
                <w:bCs w:val="1"/>
                <w:color w:val="0071CE"/>
              </w:rPr>
              <w:t>James Hassard</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2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260" w:type="dxa"/>
            <w:vAlign w:val="bottom"/>
          </w:tcPr>
          <w:p>
            <w:pPr>
              <w:spacing w:after="0"/>
              <w:rPr>
                <w:sz w:val="23"/>
                <w:szCs w:val="23"/>
                <w:color w:val="auto"/>
              </w:rPr>
            </w:pPr>
          </w:p>
        </w:tc>
        <w:tc>
          <w:tcPr>
            <w:tcW w:w="2780" w:type="dxa"/>
            <w:vAlign w:val="bottom"/>
            <w:gridSpan w:val="2"/>
          </w:tcPr>
          <w:p>
            <w:pPr>
              <w:jc w:val="right"/>
              <w:ind w:right="801"/>
              <w:spacing w:after="0"/>
              <w:rPr>
                <w:sz w:val="20"/>
                <w:szCs w:val="20"/>
                <w:color w:val="auto"/>
              </w:rPr>
            </w:pPr>
            <w:r>
              <w:rPr>
                <w:rFonts w:ascii="Arial" w:cs="Arial" w:eastAsia="Arial" w:hAnsi="Arial"/>
                <w:sz w:val="16"/>
                <w:szCs w:val="16"/>
                <w:color w:val="auto"/>
              </w:rPr>
              <w:t>$170,000</w:t>
            </w:r>
          </w:p>
        </w:tc>
        <w:tc>
          <w:tcPr>
            <w:tcW w:w="320" w:type="dxa"/>
            <w:vAlign w:val="bottom"/>
          </w:tcPr>
          <w:p>
            <w:pPr>
              <w:spacing w:after="0"/>
              <w:rPr>
                <w:sz w:val="23"/>
                <w:szCs w:val="23"/>
                <w:color w:val="auto"/>
              </w:rPr>
            </w:pPr>
          </w:p>
        </w:tc>
        <w:tc>
          <w:tcPr>
            <w:tcW w:w="16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20" w:type="dxa"/>
            <w:vAlign w:val="bottom"/>
          </w:tcPr>
          <w:p>
            <w:pPr>
              <w:ind w:left="480"/>
              <w:spacing w:after="0"/>
              <w:rPr>
                <w:sz w:val="20"/>
                <w:szCs w:val="20"/>
                <w:color w:val="auto"/>
              </w:rPr>
            </w:pPr>
            <w:r>
              <w:rPr>
                <w:rFonts w:ascii="Arial" w:cs="Arial" w:eastAsia="Arial" w:hAnsi="Arial"/>
                <w:sz w:val="16"/>
                <w:szCs w:val="16"/>
                <w:color w:val="auto"/>
              </w:rPr>
              <w:t>RSUs</w:t>
            </w:r>
          </w:p>
        </w:tc>
        <w:tc>
          <w:tcPr>
            <w:tcW w:w="1260" w:type="dxa"/>
            <w:vAlign w:val="bottom"/>
          </w:tcPr>
          <w:p>
            <w:pPr>
              <w:jc w:val="right"/>
              <w:spacing w:after="0"/>
              <w:rPr>
                <w:sz w:val="20"/>
                <w:szCs w:val="20"/>
                <w:color w:val="auto"/>
              </w:rPr>
            </w:pPr>
            <w:r>
              <w:rPr>
                <w:rFonts w:ascii="Arial" w:cs="Arial" w:eastAsia="Arial" w:hAnsi="Arial"/>
                <w:sz w:val="16"/>
                <w:szCs w:val="16"/>
                <w:color w:val="auto"/>
              </w:rPr>
              <w:t>1/6/2020</w:t>
            </w:r>
          </w:p>
        </w:tc>
        <w:tc>
          <w:tcPr>
            <w:tcW w:w="320" w:type="dxa"/>
            <w:vAlign w:val="bottom"/>
          </w:tcPr>
          <w:p>
            <w:pPr>
              <w:spacing w:after="0"/>
              <w:rPr>
                <w:sz w:val="24"/>
                <w:szCs w:val="24"/>
                <w:color w:val="auto"/>
              </w:rPr>
            </w:pPr>
          </w:p>
        </w:tc>
        <w:tc>
          <w:tcPr>
            <w:tcW w:w="246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61"/>
              <w:spacing w:after="0"/>
              <w:rPr>
                <w:sz w:val="20"/>
                <w:szCs w:val="20"/>
                <w:color w:val="auto"/>
              </w:rPr>
            </w:pPr>
            <w:r>
              <w:rPr>
                <w:rFonts w:ascii="Arial" w:cs="Arial" w:eastAsia="Arial" w:hAnsi="Arial"/>
                <w:sz w:val="16"/>
                <w:szCs w:val="16"/>
                <w:color w:val="auto"/>
              </w:rPr>
              <w:t>125,000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7,430,000</w:t>
            </w: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Curt Bradshaw</w:t>
            </w:r>
          </w:p>
        </w:tc>
        <w:tc>
          <w:tcPr>
            <w:tcW w:w="12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24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166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92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260" w:type="dxa"/>
            <w:vAlign w:val="bottom"/>
            <w:shd w:val="clear" w:color="auto" w:fill="E5E5E5"/>
          </w:tcPr>
          <w:p>
            <w:pPr>
              <w:spacing w:after="0"/>
              <w:rPr>
                <w:sz w:val="23"/>
                <w:szCs w:val="23"/>
                <w:color w:val="auto"/>
              </w:rPr>
            </w:pPr>
          </w:p>
        </w:tc>
        <w:tc>
          <w:tcPr>
            <w:tcW w:w="2780" w:type="dxa"/>
            <w:vAlign w:val="bottom"/>
            <w:gridSpan w:val="2"/>
            <w:shd w:val="clear" w:color="auto" w:fill="E5E5E5"/>
          </w:tcPr>
          <w:p>
            <w:pPr>
              <w:jc w:val="right"/>
              <w:ind w:right="801"/>
              <w:spacing w:after="0"/>
              <w:rPr>
                <w:sz w:val="20"/>
                <w:szCs w:val="20"/>
                <w:color w:val="auto"/>
              </w:rPr>
            </w:pPr>
            <w:r>
              <w:rPr>
                <w:rFonts w:ascii="Arial" w:cs="Arial" w:eastAsia="Arial" w:hAnsi="Arial"/>
                <w:sz w:val="16"/>
                <w:szCs w:val="16"/>
                <w:color w:val="auto"/>
              </w:rPr>
              <w:t>$160,000</w:t>
            </w:r>
          </w:p>
        </w:tc>
        <w:tc>
          <w:tcPr>
            <w:tcW w:w="320" w:type="dxa"/>
            <w:vAlign w:val="bottom"/>
            <w:shd w:val="clear" w:color="auto" w:fill="E5E5E5"/>
          </w:tcPr>
          <w:p>
            <w:pPr>
              <w:spacing w:after="0"/>
              <w:rPr>
                <w:sz w:val="23"/>
                <w:szCs w:val="23"/>
                <w:color w:val="auto"/>
              </w:rPr>
            </w:pPr>
          </w:p>
        </w:tc>
        <w:tc>
          <w:tcPr>
            <w:tcW w:w="166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2"/>
        </w:trPr>
        <w:tc>
          <w:tcPr>
            <w:tcW w:w="212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11/18/2019</w:t>
            </w:r>
          </w:p>
        </w:tc>
        <w:tc>
          <w:tcPr>
            <w:tcW w:w="320" w:type="dxa"/>
            <w:vAlign w:val="bottom"/>
            <w:tcBorders>
              <w:bottom w:val="single" w:sz="8" w:color="E5E5E5"/>
            </w:tcBorders>
            <w:shd w:val="clear" w:color="auto" w:fill="E5E5E5"/>
          </w:tcPr>
          <w:p>
            <w:pPr>
              <w:spacing w:after="0"/>
              <w:rPr>
                <w:sz w:val="24"/>
                <w:szCs w:val="24"/>
                <w:color w:val="auto"/>
              </w:rPr>
            </w:pPr>
          </w:p>
        </w:tc>
        <w:tc>
          <w:tcPr>
            <w:tcW w:w="246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5E5E5"/>
            </w:tcBorders>
            <w:shd w:val="clear" w:color="auto" w:fill="E5E5E5"/>
          </w:tcPr>
          <w:p>
            <w:pPr>
              <w:spacing w:after="0"/>
              <w:rPr>
                <w:sz w:val="24"/>
                <w:szCs w:val="24"/>
                <w:color w:val="auto"/>
              </w:rPr>
            </w:pPr>
          </w:p>
        </w:tc>
        <w:tc>
          <w:tcPr>
            <w:tcW w:w="1660" w:type="dxa"/>
            <w:vAlign w:val="bottom"/>
            <w:tcBorders>
              <w:bottom w:val="single" w:sz="8" w:color="E5E5E5"/>
            </w:tcBorders>
            <w:shd w:val="clear" w:color="auto" w:fill="E5E5E5"/>
          </w:tcPr>
          <w:p>
            <w:pPr>
              <w:jc w:val="right"/>
              <w:ind w:right="422"/>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5E5"/>
            </w:tcBorders>
            <w:gridSpan w:val="2"/>
            <w:shd w:val="clear" w:color="auto" w:fill="E5E5E5"/>
          </w:tcPr>
          <w:p>
            <w:pPr>
              <w:jc w:val="right"/>
              <w:ind w:right="261"/>
              <w:spacing w:after="0"/>
              <w:rPr>
                <w:sz w:val="20"/>
                <w:szCs w:val="20"/>
                <w:color w:val="auto"/>
              </w:rPr>
            </w:pPr>
            <w:r>
              <w:rPr>
                <w:rFonts w:ascii="Arial" w:cs="Arial" w:eastAsia="Arial" w:hAnsi="Arial"/>
                <w:sz w:val="16"/>
                <w:szCs w:val="16"/>
                <w:color w:val="auto"/>
              </w:rPr>
              <w:t>125,000</w:t>
            </w:r>
          </w:p>
        </w:tc>
        <w:tc>
          <w:tcPr>
            <w:tcW w:w="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6,021,250</w:t>
            </w: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6"/>
                <w:szCs w:val="16"/>
                <w:b w:val="1"/>
                <w:bCs w:val="1"/>
                <w:color w:val="0071CE"/>
              </w:rPr>
              <w:t>Bruce D. Given</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2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260" w:type="dxa"/>
            <w:vAlign w:val="bottom"/>
          </w:tcPr>
          <w:p>
            <w:pPr>
              <w:spacing w:after="0"/>
              <w:rPr>
                <w:sz w:val="23"/>
                <w:szCs w:val="23"/>
                <w:color w:val="auto"/>
              </w:rPr>
            </w:pPr>
          </w:p>
        </w:tc>
        <w:tc>
          <w:tcPr>
            <w:tcW w:w="2780" w:type="dxa"/>
            <w:vAlign w:val="bottom"/>
            <w:gridSpan w:val="2"/>
          </w:tcPr>
          <w:p>
            <w:pPr>
              <w:jc w:val="right"/>
              <w:ind w:right="801"/>
              <w:spacing w:after="0"/>
              <w:rPr>
                <w:sz w:val="20"/>
                <w:szCs w:val="20"/>
                <w:color w:val="auto"/>
              </w:rPr>
            </w:pPr>
            <w:r>
              <w:rPr>
                <w:rFonts w:ascii="Arial" w:cs="Arial" w:eastAsia="Arial" w:hAnsi="Arial"/>
                <w:sz w:val="16"/>
                <w:szCs w:val="16"/>
                <w:color w:val="auto"/>
              </w:rPr>
              <w:t>$455,000</w:t>
            </w:r>
          </w:p>
        </w:tc>
        <w:tc>
          <w:tcPr>
            <w:tcW w:w="320" w:type="dxa"/>
            <w:vAlign w:val="bottom"/>
          </w:tcPr>
          <w:p>
            <w:pPr>
              <w:spacing w:after="0"/>
              <w:rPr>
                <w:sz w:val="23"/>
                <w:szCs w:val="23"/>
                <w:color w:val="auto"/>
              </w:rPr>
            </w:pPr>
          </w:p>
        </w:tc>
        <w:tc>
          <w:tcPr>
            <w:tcW w:w="16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20" w:type="dxa"/>
            <w:vAlign w:val="bottom"/>
          </w:tcPr>
          <w:p>
            <w:pPr>
              <w:ind w:left="480"/>
              <w:spacing w:after="0"/>
              <w:rPr>
                <w:sz w:val="20"/>
                <w:szCs w:val="20"/>
                <w:color w:val="auto"/>
              </w:rPr>
            </w:pPr>
            <w:r>
              <w:rPr>
                <w:rFonts w:ascii="Arial" w:cs="Arial" w:eastAsia="Arial" w:hAnsi="Arial"/>
                <w:sz w:val="16"/>
                <w:szCs w:val="16"/>
                <w:color w:val="auto"/>
              </w:rPr>
              <w:t>RSUs</w:t>
            </w:r>
          </w:p>
        </w:tc>
        <w:tc>
          <w:tcPr>
            <w:tcW w:w="1260" w:type="dxa"/>
            <w:vAlign w:val="bottom"/>
          </w:tcPr>
          <w:p>
            <w:pPr>
              <w:jc w:val="right"/>
              <w:spacing w:after="0"/>
              <w:rPr>
                <w:sz w:val="20"/>
                <w:szCs w:val="20"/>
                <w:color w:val="auto"/>
              </w:rPr>
            </w:pPr>
            <w:r>
              <w:rPr>
                <w:rFonts w:ascii="Arial" w:cs="Arial" w:eastAsia="Arial" w:hAnsi="Arial"/>
                <w:sz w:val="16"/>
                <w:szCs w:val="16"/>
                <w:color w:val="auto"/>
              </w:rPr>
              <w:t>1/1/2020</w:t>
            </w:r>
          </w:p>
        </w:tc>
        <w:tc>
          <w:tcPr>
            <w:tcW w:w="320" w:type="dxa"/>
            <w:vAlign w:val="bottom"/>
          </w:tcPr>
          <w:p>
            <w:pPr>
              <w:spacing w:after="0"/>
              <w:rPr>
                <w:sz w:val="24"/>
                <w:szCs w:val="24"/>
                <w:color w:val="auto"/>
              </w:rPr>
            </w:pPr>
          </w:p>
        </w:tc>
        <w:tc>
          <w:tcPr>
            <w:tcW w:w="246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6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61"/>
              <w:spacing w:after="0"/>
              <w:rPr>
                <w:sz w:val="20"/>
                <w:szCs w:val="20"/>
                <w:color w:val="auto"/>
              </w:rPr>
            </w:pPr>
            <w:r>
              <w:rPr>
                <w:rFonts w:ascii="Arial" w:cs="Arial" w:eastAsia="Arial" w:hAnsi="Arial"/>
                <w:sz w:val="16"/>
                <w:szCs w:val="16"/>
                <w:color w:val="auto"/>
              </w:rPr>
              <w:t>250,000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15,857,500</w:t>
            </w:r>
          </w:p>
        </w:tc>
        <w:tc>
          <w:tcPr>
            <w:tcW w:w="0" w:type="dxa"/>
            <w:vAlign w:val="bottom"/>
          </w:tcPr>
          <w:p>
            <w:pPr>
              <w:spacing w:after="0"/>
              <w:rPr>
                <w:sz w:val="1"/>
                <w:szCs w:val="1"/>
                <w:color w:val="auto"/>
              </w:rPr>
            </w:pPr>
          </w:p>
        </w:tc>
      </w:tr>
      <w:tr>
        <w:trPr>
          <w:trHeight w:val="29"/>
        </w:trPr>
        <w:tc>
          <w:tcPr>
            <w:tcW w:w="2120" w:type="dxa"/>
            <w:vAlign w:val="bottom"/>
            <w:tcBorders>
              <w:bottom w:val="single" w:sz="8" w:color="0071CE"/>
            </w:tcBorders>
          </w:tcPr>
          <w:p>
            <w:pPr>
              <w:spacing w:after="0"/>
              <w:rPr>
                <w:sz w:val="2"/>
                <w:szCs w:val="2"/>
                <w:color w:val="auto"/>
              </w:rPr>
            </w:pPr>
          </w:p>
        </w:tc>
        <w:tc>
          <w:tcPr>
            <w:tcW w:w="126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2460" w:type="dxa"/>
            <w:vAlign w:val="bottom"/>
            <w:tcBorders>
              <w:bottom w:val="single" w:sz="8" w:color="0071CE"/>
            </w:tcBorders>
          </w:tcPr>
          <w:p>
            <w:pPr>
              <w:spacing w:after="0"/>
              <w:rPr>
                <w:sz w:val="2"/>
                <w:szCs w:val="2"/>
                <w:color w:val="auto"/>
              </w:rPr>
            </w:pPr>
          </w:p>
        </w:tc>
        <w:tc>
          <w:tcPr>
            <w:tcW w:w="320" w:type="dxa"/>
            <w:vAlign w:val="bottom"/>
            <w:tcBorders>
              <w:bottom w:val="single" w:sz="8" w:color="0071CE"/>
            </w:tcBorders>
          </w:tcPr>
          <w:p>
            <w:pPr>
              <w:spacing w:after="0"/>
              <w:rPr>
                <w:sz w:val="2"/>
                <w:szCs w:val="2"/>
                <w:color w:val="auto"/>
              </w:rPr>
            </w:pPr>
          </w:p>
        </w:tc>
        <w:tc>
          <w:tcPr>
            <w:tcW w:w="1660" w:type="dxa"/>
            <w:vAlign w:val="bottom"/>
            <w:tcBorders>
              <w:bottom w:val="single" w:sz="8" w:color="0071CE"/>
            </w:tcBorders>
          </w:tcPr>
          <w:p>
            <w:pPr>
              <w:spacing w:after="0"/>
              <w:rPr>
                <w:sz w:val="2"/>
                <w:szCs w:val="2"/>
                <w:color w:val="auto"/>
              </w:rPr>
            </w:pPr>
          </w:p>
        </w:tc>
        <w:tc>
          <w:tcPr>
            <w:tcW w:w="340" w:type="dxa"/>
            <w:vAlign w:val="bottom"/>
            <w:tcBorders>
              <w:bottom w:val="single" w:sz="8" w:color="0071CE"/>
            </w:tcBorders>
          </w:tcPr>
          <w:p>
            <w:pPr>
              <w:spacing w:after="0"/>
              <w:rPr>
                <w:sz w:val="2"/>
                <w:szCs w:val="2"/>
                <w:color w:val="auto"/>
              </w:rPr>
            </w:pPr>
          </w:p>
        </w:tc>
        <w:tc>
          <w:tcPr>
            <w:tcW w:w="1340" w:type="dxa"/>
            <w:vAlign w:val="bottom"/>
            <w:tcBorders>
              <w:bottom w:val="single" w:sz="8" w:color="0071CE"/>
            </w:tcBorders>
          </w:tcPr>
          <w:p>
            <w:pPr>
              <w:spacing w:after="0"/>
              <w:rPr>
                <w:sz w:val="2"/>
                <w:szCs w:val="2"/>
                <w:color w:val="auto"/>
              </w:rPr>
            </w:pPr>
          </w:p>
        </w:tc>
        <w:tc>
          <w:tcPr>
            <w:tcW w:w="280" w:type="dxa"/>
            <w:vAlign w:val="bottom"/>
            <w:tcBorders>
              <w:bottom w:val="single" w:sz="8" w:color="0071CE"/>
            </w:tcBorders>
          </w:tcPr>
          <w:p>
            <w:pPr>
              <w:spacing w:after="0"/>
              <w:rPr>
                <w:sz w:val="2"/>
                <w:szCs w:val="2"/>
                <w:color w:val="auto"/>
              </w:rPr>
            </w:pPr>
          </w:p>
        </w:tc>
        <w:tc>
          <w:tcPr>
            <w:tcW w:w="920" w:type="dxa"/>
            <w:vAlign w:val="bottom"/>
            <w:tcBorders>
              <w:bottom w:val="single" w:sz="8" w:color="0071C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-4851400</wp:posOffset>
            </wp:positionV>
            <wp:extent cx="28200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48" w:lineRule="exact"/>
        <w:rPr>
          <w:sz w:val="20"/>
          <w:szCs w:val="20"/>
          <w:color w:val="auto"/>
        </w:rPr>
      </w:pPr>
    </w:p>
    <w:p>
      <w:pPr>
        <w:ind w:left="540" w:right="600" w:hanging="424"/>
        <w:spacing w:after="0" w:line="29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NEOs in 2020. Actual payments were made in fiscal 2021 and the amounts are reported in the Summary Compensation Table above.</w:t>
      </w:r>
    </w:p>
    <w:p>
      <w:pPr>
        <w:spacing w:after="0" w:line="14" w:lineRule="exact"/>
        <w:rPr>
          <w:rFonts w:ascii="Arial" w:cs="Arial" w:eastAsia="Arial" w:hAnsi="Arial"/>
          <w:sz w:val="14"/>
          <w:szCs w:val="14"/>
          <w:color w:val="auto"/>
        </w:rPr>
      </w:pPr>
    </w:p>
    <w:p>
      <w:pPr>
        <w:ind w:left="540" w:hanging="424"/>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RSU and PRSU are described above in the “Compensation Discussion and Analysis” under the heading “Equity Compensation”.</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RSUs have various vesting parameters. The RSUs granted in 2020 vest in four equal annual installments beginning 1 year from the grant date.</w:t>
      </w:r>
    </w:p>
    <w:p>
      <w:pPr>
        <w:spacing w:after="0" w:line="82" w:lineRule="exact"/>
        <w:rPr>
          <w:rFonts w:ascii="Arial" w:cs="Arial" w:eastAsia="Arial" w:hAnsi="Arial"/>
          <w:sz w:val="14"/>
          <w:szCs w:val="14"/>
          <w:color w:val="auto"/>
        </w:rPr>
      </w:pPr>
    </w:p>
    <w:p>
      <w:pPr>
        <w:ind w:left="540" w:right="60" w:hanging="424"/>
        <w:spacing w:after="0" w:line="291"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determined that as of the date of the grant it was not probable as defined under applicable accounting guidance that any of the performance vesting conditions for these PRSU awards would be achieved and assigned a grant date fair value of $0 based on this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60325</wp:posOffset>
            </wp:positionV>
            <wp:extent cx="986155"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41</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The following table provides information, with respect to the NEOs, concerning the outstanding equity awards covering shares of the Company’s common stock as of September 30, 2020.</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640" w:type="dxa"/>
            <w:vAlign w:val="bottom"/>
            <w:shd w:val="clear" w:color="auto" w:fill="0071CE"/>
          </w:tcPr>
          <w:p>
            <w:pPr>
              <w:spacing w:after="0"/>
              <w:rPr>
                <w:sz w:val="16"/>
                <w:szCs w:val="16"/>
                <w:color w:val="auto"/>
              </w:rPr>
            </w:pPr>
          </w:p>
        </w:tc>
        <w:tc>
          <w:tcPr>
            <w:tcW w:w="1020" w:type="dxa"/>
            <w:vAlign w:val="bottom"/>
            <w:shd w:val="clear" w:color="auto" w:fill="0071CE"/>
          </w:tcPr>
          <w:p>
            <w:pPr>
              <w:spacing w:after="0"/>
              <w:rPr>
                <w:sz w:val="16"/>
                <w:szCs w:val="16"/>
                <w:color w:val="auto"/>
              </w:rPr>
            </w:pPr>
          </w:p>
        </w:tc>
        <w:tc>
          <w:tcPr>
            <w:tcW w:w="1400" w:type="dxa"/>
            <w:vAlign w:val="bottom"/>
            <w:shd w:val="clear" w:color="auto" w:fill="0071CE"/>
          </w:tcPr>
          <w:p>
            <w:pPr>
              <w:spacing w:after="0"/>
              <w:rPr>
                <w:sz w:val="16"/>
                <w:szCs w:val="16"/>
                <w:color w:val="auto"/>
              </w:rPr>
            </w:pPr>
          </w:p>
        </w:tc>
        <w:tc>
          <w:tcPr>
            <w:tcW w:w="1520" w:type="dxa"/>
            <w:vAlign w:val="bottom"/>
            <w:shd w:val="clear" w:color="auto" w:fill="0071CE"/>
          </w:tcPr>
          <w:p>
            <w:pPr>
              <w:ind w:left="440"/>
              <w:spacing w:after="0"/>
              <w:rPr>
                <w:sz w:val="20"/>
                <w:szCs w:val="20"/>
                <w:color w:val="auto"/>
              </w:rPr>
            </w:pPr>
            <w:r>
              <w:rPr>
                <w:rFonts w:ascii="Arial" w:cs="Arial" w:eastAsia="Arial" w:hAnsi="Arial"/>
                <w:sz w:val="14"/>
                <w:szCs w:val="14"/>
                <w:b w:val="1"/>
                <w:bCs w:val="1"/>
                <w:color w:val="FFFFFF"/>
              </w:rPr>
              <w:t>Option Awards</w:t>
            </w:r>
          </w:p>
        </w:tc>
        <w:tc>
          <w:tcPr>
            <w:tcW w:w="800" w:type="dxa"/>
            <w:vAlign w:val="bottom"/>
            <w:shd w:val="clear" w:color="auto" w:fill="0071CE"/>
          </w:tcPr>
          <w:p>
            <w:pPr>
              <w:spacing w:after="0"/>
              <w:rPr>
                <w:sz w:val="16"/>
                <w:szCs w:val="16"/>
                <w:color w:val="auto"/>
              </w:rPr>
            </w:pPr>
          </w:p>
        </w:tc>
        <w:tc>
          <w:tcPr>
            <w:tcW w:w="1060" w:type="dxa"/>
            <w:vAlign w:val="bottom"/>
            <w:shd w:val="clear" w:color="auto" w:fill="0071CE"/>
          </w:tcPr>
          <w:p>
            <w:pPr>
              <w:spacing w:after="0"/>
              <w:rPr>
                <w:sz w:val="16"/>
                <w:szCs w:val="16"/>
                <w:color w:val="auto"/>
              </w:rPr>
            </w:pPr>
          </w:p>
        </w:tc>
        <w:tc>
          <w:tcPr>
            <w:tcW w:w="1080" w:type="dxa"/>
            <w:vAlign w:val="bottom"/>
            <w:shd w:val="clear" w:color="auto" w:fill="0071CE"/>
          </w:tcPr>
          <w:p>
            <w:pPr>
              <w:spacing w:after="0"/>
              <w:rPr>
                <w:sz w:val="16"/>
                <w:szCs w:val="16"/>
                <w:color w:val="auto"/>
              </w:rPr>
            </w:pPr>
          </w:p>
        </w:tc>
        <w:tc>
          <w:tcPr>
            <w:tcW w:w="1760" w:type="dxa"/>
            <w:vAlign w:val="bottom"/>
            <w:gridSpan w:val="2"/>
            <w:shd w:val="clear" w:color="auto" w:fill="0071CE"/>
          </w:tcPr>
          <w:p>
            <w:pPr>
              <w:jc w:val="right"/>
              <w:ind w:right="568"/>
              <w:spacing w:after="0"/>
              <w:rPr>
                <w:sz w:val="20"/>
                <w:szCs w:val="20"/>
                <w:color w:val="auto"/>
              </w:rPr>
            </w:pPr>
            <w:r>
              <w:rPr>
                <w:rFonts w:ascii="Arial" w:cs="Arial" w:eastAsia="Arial" w:hAnsi="Arial"/>
                <w:sz w:val="14"/>
                <w:szCs w:val="14"/>
                <w:b w:val="1"/>
                <w:bCs w:val="1"/>
                <w:color w:val="FFFFFF"/>
              </w:rPr>
              <w:t>Stock Awards</w:t>
            </w:r>
          </w:p>
        </w:tc>
        <w:tc>
          <w:tcPr>
            <w:tcW w:w="8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20" w:type="dxa"/>
            <w:vAlign w:val="bottom"/>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40" w:type="dxa"/>
            <w:vAlign w:val="bottom"/>
            <w:shd w:val="clear" w:color="auto" w:fill="0071CE"/>
          </w:tcPr>
          <w:p>
            <w:pPr>
              <w:spacing w:after="0"/>
              <w:rPr>
                <w:sz w:val="15"/>
                <w:szCs w:val="15"/>
                <w:color w:val="auto"/>
              </w:rPr>
            </w:pPr>
          </w:p>
        </w:tc>
        <w:tc>
          <w:tcPr>
            <w:tcW w:w="1020" w:type="dxa"/>
            <w:vAlign w:val="bottom"/>
            <w:shd w:val="clear" w:color="auto" w:fill="0071CE"/>
          </w:tcPr>
          <w:p>
            <w:pPr>
              <w:spacing w:after="0"/>
              <w:rPr>
                <w:sz w:val="15"/>
                <w:szCs w:val="15"/>
                <w:color w:val="auto"/>
              </w:rPr>
            </w:pPr>
          </w:p>
        </w:tc>
        <w:tc>
          <w:tcPr>
            <w:tcW w:w="1400" w:type="dxa"/>
            <w:vAlign w:val="bottom"/>
            <w:shd w:val="clear" w:color="auto" w:fill="0071CE"/>
          </w:tcPr>
          <w:p>
            <w:pPr>
              <w:spacing w:after="0"/>
              <w:rPr>
                <w:sz w:val="15"/>
                <w:szCs w:val="15"/>
                <w:color w:val="auto"/>
              </w:rPr>
            </w:pPr>
          </w:p>
        </w:tc>
        <w:tc>
          <w:tcPr>
            <w:tcW w:w="1520" w:type="dxa"/>
            <w:vAlign w:val="bottom"/>
            <w:shd w:val="clear" w:color="auto" w:fill="0071CE"/>
          </w:tcPr>
          <w:p>
            <w:pPr>
              <w:spacing w:after="0"/>
              <w:rPr>
                <w:sz w:val="15"/>
                <w:szCs w:val="15"/>
                <w:color w:val="auto"/>
              </w:rPr>
            </w:pPr>
          </w:p>
        </w:tc>
        <w:tc>
          <w:tcPr>
            <w:tcW w:w="800" w:type="dxa"/>
            <w:vAlign w:val="bottom"/>
            <w:shd w:val="clear" w:color="auto" w:fill="0071CE"/>
          </w:tcPr>
          <w:p>
            <w:pPr>
              <w:spacing w:after="0"/>
              <w:rPr>
                <w:sz w:val="15"/>
                <w:szCs w:val="15"/>
                <w:color w:val="auto"/>
              </w:rPr>
            </w:pPr>
          </w:p>
        </w:tc>
        <w:tc>
          <w:tcPr>
            <w:tcW w:w="1060" w:type="dxa"/>
            <w:vAlign w:val="bottom"/>
            <w:shd w:val="clear" w:color="auto" w:fill="0071CE"/>
          </w:tcPr>
          <w:p>
            <w:pPr>
              <w:spacing w:after="0"/>
              <w:rPr>
                <w:sz w:val="15"/>
                <w:szCs w:val="15"/>
                <w:color w:val="auto"/>
              </w:rPr>
            </w:pPr>
          </w:p>
        </w:tc>
        <w:tc>
          <w:tcPr>
            <w:tcW w:w="1080" w:type="dxa"/>
            <w:vAlign w:val="bottom"/>
            <w:shd w:val="clear" w:color="auto" w:fill="0071CE"/>
          </w:tcPr>
          <w:p>
            <w:pPr>
              <w:spacing w:after="0"/>
              <w:rPr>
                <w:sz w:val="15"/>
                <w:szCs w:val="15"/>
                <w:color w:val="auto"/>
              </w:rPr>
            </w:pPr>
          </w:p>
        </w:tc>
        <w:tc>
          <w:tcPr>
            <w:tcW w:w="940" w:type="dxa"/>
            <w:vAlign w:val="bottom"/>
            <w:shd w:val="clear" w:color="auto" w:fill="0071CE"/>
          </w:tcPr>
          <w:p>
            <w:pPr>
              <w:spacing w:after="0"/>
              <w:rPr>
                <w:sz w:val="15"/>
                <w:szCs w:val="15"/>
                <w:color w:val="auto"/>
              </w:rPr>
            </w:pPr>
          </w:p>
        </w:tc>
        <w:tc>
          <w:tcPr>
            <w:tcW w:w="820" w:type="dxa"/>
            <w:vAlign w:val="bottom"/>
            <w:shd w:val="clear" w:color="auto" w:fill="0071CE"/>
          </w:tcPr>
          <w:p>
            <w:pPr>
              <w:spacing w:after="0"/>
              <w:rPr>
                <w:sz w:val="15"/>
                <w:szCs w:val="15"/>
                <w:color w:val="auto"/>
              </w:rPr>
            </w:pPr>
          </w:p>
        </w:tc>
        <w:tc>
          <w:tcPr>
            <w:tcW w:w="860" w:type="dxa"/>
            <w:vAlign w:val="bottom"/>
            <w:vMerge w:val="continue"/>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820" w:type="dxa"/>
            <w:vAlign w:val="bottom"/>
            <w:shd w:val="clear" w:color="auto" w:fill="0071CE"/>
          </w:tcPr>
          <w:p>
            <w:pPr>
              <w:spacing w:after="0"/>
              <w:rPr>
                <w:sz w:val="14"/>
                <w:szCs w:val="14"/>
                <w:color w:val="auto"/>
              </w:rPr>
            </w:pP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6"/>
              </w:rPr>
              <w:t>Value</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Market</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0"/>
              </w:rPr>
              <w:t>of</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Value of</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Shares or</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Number of</w:t>
            </w:r>
          </w:p>
        </w:tc>
        <w:tc>
          <w:tcPr>
            <w:tcW w:w="152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w w:val="99"/>
              </w:rPr>
              <w:t>Units of</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Securities</w:t>
            </w:r>
          </w:p>
        </w:tc>
        <w:tc>
          <w:tcPr>
            <w:tcW w:w="152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Stock</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Underlying</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That</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jc w:val="center"/>
              <w:ind w:left="68"/>
              <w:spacing w:after="0"/>
              <w:rPr>
                <w:sz w:val="20"/>
                <w:szCs w:val="20"/>
                <w:color w:val="auto"/>
              </w:rPr>
            </w:pPr>
            <w:r>
              <w:rPr>
                <w:rFonts w:ascii="Arial" w:cs="Arial" w:eastAsia="Arial" w:hAnsi="Arial"/>
                <w:sz w:val="14"/>
                <w:szCs w:val="14"/>
                <w:b w:val="1"/>
                <w:bCs w:val="1"/>
                <w:color w:val="FFFFFF"/>
              </w:rPr>
              <w:t>Unexercised</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Have</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14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Options (#</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 Not</w:t>
            </w: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Not</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1020" w:type="dxa"/>
            <w:vAlign w:val="bottom"/>
            <w:shd w:val="clear" w:color="auto" w:fill="0071CE"/>
          </w:tcPr>
          <w:p>
            <w:pPr>
              <w:jc w:val="right"/>
              <w:ind w:right="228"/>
              <w:spacing w:after="0"/>
              <w:rPr>
                <w:sz w:val="20"/>
                <w:szCs w:val="20"/>
                <w:color w:val="auto"/>
              </w:rPr>
            </w:pPr>
            <w:r>
              <w:rPr>
                <w:rFonts w:ascii="Arial" w:cs="Arial" w:eastAsia="Arial" w:hAnsi="Arial"/>
                <w:sz w:val="14"/>
                <w:szCs w:val="14"/>
                <w:b w:val="1"/>
                <w:bCs w:val="1"/>
                <w:color w:val="FFFFFF"/>
              </w:rPr>
              <w:t>Grant</w:t>
            </w:r>
          </w:p>
        </w:tc>
        <w:tc>
          <w:tcPr>
            <w:tcW w:w="14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Exercisable)</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Options (#</w:t>
            </w:r>
          </w:p>
        </w:tc>
        <w:tc>
          <w:tcPr>
            <w:tcW w:w="80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Exercise</w:t>
            </w:r>
          </w:p>
        </w:tc>
        <w:tc>
          <w:tcPr>
            <w:tcW w:w="10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Expiration</w:t>
            </w: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9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Vested</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40" w:type="dxa"/>
            <w:vAlign w:val="bottom"/>
            <w:tcBorders>
              <w:bottom w:val="single" w:sz="8" w:color="0071CE"/>
            </w:tcBorders>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1020" w:type="dxa"/>
            <w:vAlign w:val="bottom"/>
            <w:tcBorders>
              <w:bottom w:val="single" w:sz="8" w:color="0071CE"/>
            </w:tcBorders>
            <w:shd w:val="clear" w:color="auto" w:fill="0071CE"/>
          </w:tcPr>
          <w:p>
            <w:pPr>
              <w:jc w:val="right"/>
              <w:ind w:right="248"/>
              <w:spacing w:after="0"/>
              <w:rPr>
                <w:sz w:val="20"/>
                <w:szCs w:val="20"/>
                <w:color w:val="auto"/>
              </w:rPr>
            </w:pPr>
            <w:r>
              <w:rPr>
                <w:rFonts w:ascii="Arial" w:cs="Arial" w:eastAsia="Arial" w:hAnsi="Arial"/>
                <w:sz w:val="14"/>
                <w:szCs w:val="14"/>
                <w:b w:val="1"/>
                <w:bCs w:val="1"/>
                <w:color w:val="FFFFFF"/>
              </w:rPr>
              <w:t>Date</w:t>
            </w:r>
          </w:p>
        </w:tc>
        <w:tc>
          <w:tcPr>
            <w:tcW w:w="1400" w:type="dxa"/>
            <w:vAlign w:val="bottom"/>
            <w:tcBorders>
              <w:bottom w:val="single" w:sz="8" w:color="0071CE"/>
            </w:tcBorders>
            <w:shd w:val="clear" w:color="auto" w:fill="0071CE"/>
          </w:tcPr>
          <w:p>
            <w:pPr>
              <w:jc w:val="center"/>
              <w:ind w:left="68"/>
              <w:spacing w:after="0"/>
              <w:rPr>
                <w:sz w:val="20"/>
                <w:szCs w:val="20"/>
                <w:color w:val="auto"/>
              </w:rPr>
            </w:pPr>
            <w:r>
              <w:rPr>
                <w:rFonts w:ascii="Arial" w:cs="Arial" w:eastAsia="Arial" w:hAnsi="Arial"/>
                <w:sz w:val="14"/>
                <w:szCs w:val="14"/>
                <w:b w:val="1"/>
                <w:bCs w:val="1"/>
                <w:color w:val="FFFFFF"/>
              </w:rPr>
              <w:t>(1)</w:t>
            </w:r>
          </w:p>
        </w:tc>
        <w:tc>
          <w:tcPr>
            <w:tcW w:w="15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Unexercisable)</w:t>
            </w:r>
          </w:p>
        </w:tc>
        <w:tc>
          <w:tcPr>
            <w:tcW w:w="800" w:type="dxa"/>
            <w:vAlign w:val="bottom"/>
            <w:tcBorders>
              <w:bottom w:val="single" w:sz="8" w:color="0071CE"/>
            </w:tcBorders>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Price ($)</w:t>
            </w:r>
          </w:p>
        </w:tc>
        <w:tc>
          <w:tcPr>
            <w:tcW w:w="10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Date</w:t>
            </w:r>
          </w:p>
        </w:tc>
        <w:tc>
          <w:tcPr>
            <w:tcW w:w="10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 (3)</w:t>
            </w:r>
          </w:p>
        </w:tc>
        <w:tc>
          <w:tcPr>
            <w:tcW w:w="940" w:type="dxa"/>
            <w:vAlign w:val="bottom"/>
            <w:tcBorders>
              <w:bottom w:val="single" w:sz="8" w:color="0071CE"/>
            </w:tcBorders>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 (4)</w:t>
            </w:r>
          </w:p>
        </w:tc>
        <w:tc>
          <w:tcPr>
            <w:tcW w:w="8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(2)</w:t>
            </w:r>
          </w:p>
        </w:tc>
        <w:tc>
          <w:tcPr>
            <w:tcW w:w="8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 (4)</w:t>
            </w:r>
          </w:p>
        </w:tc>
        <w:tc>
          <w:tcPr>
            <w:tcW w:w="20" w:type="dxa"/>
            <w:vAlign w:val="bottom"/>
            <w:tcBorders>
              <w:bottom w:val="single" w:sz="8" w:color="0071CE"/>
            </w:tcBorders>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164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0071CE"/>
              </w:rPr>
              <w:t>Christopher Anzalone</w:t>
            </w: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10/21/2011</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15,000</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4.60</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10/21/2021</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2/16/2012</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170,000</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5.19</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2/16/2022</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9/28/2012</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40,624</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2.62</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9/28/2022</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5/6/2013</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159,928</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2.01</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5/6/2023</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9/21/2013</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69,991</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4.75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9/21/2023</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2/6/2014</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60,000</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14.54</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2/6/2024</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3/6/2015</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300,000</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7.75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3/6/2025</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1/1/2016</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80,000</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6.15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1/1/2026</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1/1/2019</w:t>
            </w:r>
          </w:p>
        </w:tc>
        <w:tc>
          <w:tcPr>
            <w:tcW w:w="14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200,000</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8,612,000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640" w:type="dxa"/>
            <w:vAlign w:val="bottom"/>
            <w:tcBorders>
              <w:bottom w:val="single" w:sz="8" w:color="E5E5E5"/>
            </w:tcBorders>
            <w:shd w:val="clear" w:color="auto" w:fill="E5E5E5"/>
          </w:tcPr>
          <w:p>
            <w:pPr>
              <w:spacing w:after="0"/>
              <w:rPr>
                <w:sz w:val="24"/>
                <w:szCs w:val="24"/>
                <w:color w:val="auto"/>
              </w:rPr>
            </w:pPr>
          </w:p>
        </w:tc>
        <w:tc>
          <w:tcPr>
            <w:tcW w:w="10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1/1/2020</w:t>
            </w:r>
          </w:p>
        </w:tc>
        <w:tc>
          <w:tcPr>
            <w:tcW w:w="140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5E5E5"/>
            </w:tcBorders>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900,000</w:t>
            </w:r>
          </w:p>
        </w:tc>
        <w:tc>
          <w:tcPr>
            <w:tcW w:w="8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38,754,000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640" w:type="dxa"/>
            <w:vAlign w:val="bottom"/>
          </w:tcPr>
          <w:p>
            <w:pPr>
              <w:ind w:left="140"/>
              <w:spacing w:after="0"/>
              <w:rPr>
                <w:sz w:val="20"/>
                <w:szCs w:val="20"/>
                <w:color w:val="auto"/>
              </w:rPr>
            </w:pPr>
            <w:r>
              <w:rPr>
                <w:rFonts w:ascii="Arial" w:cs="Arial" w:eastAsia="Arial" w:hAnsi="Arial"/>
                <w:sz w:val="14"/>
                <w:szCs w:val="14"/>
                <w:b w:val="1"/>
                <w:bCs w:val="1"/>
                <w:color w:val="0071CE"/>
              </w:rPr>
              <w:t>Kenneth Myszkowski</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2/6/2014</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43,505</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14.54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2/6/2024</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1/1/2016</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29,166</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6.15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1/1/2026</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1/1/2018</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37,500</w:t>
            </w:r>
          </w:p>
        </w:tc>
        <w:tc>
          <w:tcPr>
            <w:tcW w:w="940" w:type="dxa"/>
            <w:vAlign w:val="bottom"/>
          </w:tcPr>
          <w:p>
            <w:pPr>
              <w:jc w:val="right"/>
              <w:spacing w:after="0"/>
              <w:rPr>
                <w:sz w:val="20"/>
                <w:szCs w:val="20"/>
                <w:color w:val="auto"/>
              </w:rPr>
            </w:pPr>
            <w:r>
              <w:rPr>
                <w:rFonts w:ascii="Arial" w:cs="Arial" w:eastAsia="Arial" w:hAnsi="Arial"/>
                <w:sz w:val="14"/>
                <w:szCs w:val="14"/>
                <w:color w:val="auto"/>
              </w:rPr>
              <w:t>1,614,750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1/1/2019</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63,750</w:t>
            </w:r>
          </w:p>
        </w:tc>
        <w:tc>
          <w:tcPr>
            <w:tcW w:w="940" w:type="dxa"/>
            <w:vAlign w:val="bottom"/>
          </w:tcPr>
          <w:p>
            <w:pPr>
              <w:jc w:val="right"/>
              <w:spacing w:after="0"/>
              <w:rPr>
                <w:sz w:val="20"/>
                <w:szCs w:val="20"/>
                <w:color w:val="auto"/>
              </w:rPr>
            </w:pPr>
            <w:r>
              <w:rPr>
                <w:rFonts w:ascii="Arial" w:cs="Arial" w:eastAsia="Arial" w:hAnsi="Arial"/>
                <w:sz w:val="14"/>
                <w:szCs w:val="14"/>
                <w:color w:val="auto"/>
              </w:rPr>
              <w:t>2,745,075</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1/1/2020</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85,000</w:t>
            </w:r>
          </w:p>
        </w:tc>
        <w:tc>
          <w:tcPr>
            <w:tcW w:w="940" w:type="dxa"/>
            <w:vAlign w:val="bottom"/>
          </w:tcPr>
          <w:p>
            <w:pPr>
              <w:jc w:val="right"/>
              <w:spacing w:after="0"/>
              <w:rPr>
                <w:sz w:val="20"/>
                <w:szCs w:val="20"/>
                <w:color w:val="auto"/>
              </w:rPr>
            </w:pPr>
            <w:r>
              <w:rPr>
                <w:rFonts w:ascii="Arial" w:cs="Arial" w:eastAsia="Arial" w:hAnsi="Arial"/>
                <w:sz w:val="14"/>
                <w:szCs w:val="14"/>
                <w:color w:val="auto"/>
              </w:rPr>
              <w:t>3,660,100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4"/>
                <w:szCs w:val="14"/>
                <w:b w:val="1"/>
                <w:bCs w:val="1"/>
                <w:color w:val="0071CE"/>
              </w:rPr>
              <w:t>Javier San Martin</w:t>
            </w:r>
          </w:p>
        </w:tc>
        <w:tc>
          <w:tcPr>
            <w:tcW w:w="10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11/18/2019</w:t>
            </w:r>
          </w:p>
        </w:tc>
        <w:tc>
          <w:tcPr>
            <w:tcW w:w="140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5E5E5"/>
            </w:tcBorders>
            <w:shd w:val="clear" w:color="auto" w:fill="E5E5E5"/>
          </w:tcPr>
          <w:p>
            <w:pPr>
              <w:jc w:val="right"/>
              <w:ind w:right="208"/>
              <w:spacing w:after="0"/>
              <w:rPr>
                <w:sz w:val="20"/>
                <w:szCs w:val="20"/>
                <w:color w:val="auto"/>
              </w:rPr>
            </w:pPr>
            <w:r>
              <w:rPr>
                <w:rFonts w:ascii="Arial" w:cs="Arial" w:eastAsia="Arial" w:hAnsi="Arial"/>
                <w:sz w:val="14"/>
                <w:szCs w:val="14"/>
                <w:color w:val="auto"/>
              </w:rPr>
              <w:t>150,000</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6,459,000</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640" w:type="dxa"/>
            <w:vAlign w:val="bottom"/>
          </w:tcPr>
          <w:p>
            <w:pPr>
              <w:ind w:left="140"/>
              <w:spacing w:after="0"/>
              <w:rPr>
                <w:sz w:val="20"/>
                <w:szCs w:val="20"/>
                <w:color w:val="auto"/>
              </w:rPr>
            </w:pPr>
            <w:r>
              <w:rPr>
                <w:rFonts w:ascii="Arial" w:cs="Arial" w:eastAsia="Arial" w:hAnsi="Arial"/>
                <w:sz w:val="14"/>
                <w:szCs w:val="14"/>
                <w:b w:val="1"/>
                <w:bCs w:val="1"/>
                <w:color w:val="0071CE"/>
              </w:rPr>
              <w:t>James Hassard</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1/6/2020</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125,000</w:t>
            </w:r>
          </w:p>
        </w:tc>
        <w:tc>
          <w:tcPr>
            <w:tcW w:w="940" w:type="dxa"/>
            <w:vAlign w:val="bottom"/>
          </w:tcPr>
          <w:p>
            <w:pPr>
              <w:jc w:val="right"/>
              <w:spacing w:after="0"/>
              <w:rPr>
                <w:sz w:val="20"/>
                <w:szCs w:val="20"/>
                <w:color w:val="auto"/>
              </w:rPr>
            </w:pPr>
            <w:r>
              <w:rPr>
                <w:rFonts w:ascii="Arial" w:cs="Arial" w:eastAsia="Arial" w:hAnsi="Arial"/>
                <w:sz w:val="14"/>
                <w:szCs w:val="14"/>
                <w:color w:val="auto"/>
              </w:rPr>
              <w:t>5,382,500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4"/>
                <w:szCs w:val="14"/>
                <w:b w:val="1"/>
                <w:bCs w:val="1"/>
                <w:color w:val="0071CE"/>
              </w:rPr>
              <w:t>Curt Bradshaw</w:t>
            </w:r>
          </w:p>
        </w:tc>
        <w:tc>
          <w:tcPr>
            <w:tcW w:w="10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11/18/2019</w:t>
            </w:r>
          </w:p>
        </w:tc>
        <w:tc>
          <w:tcPr>
            <w:tcW w:w="140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5E5E5"/>
            </w:tcBorders>
            <w:shd w:val="clear" w:color="auto" w:fill="E5E5E5"/>
          </w:tcPr>
          <w:p>
            <w:pPr>
              <w:jc w:val="right"/>
              <w:ind w:right="208"/>
              <w:spacing w:after="0"/>
              <w:rPr>
                <w:sz w:val="20"/>
                <w:szCs w:val="20"/>
                <w:color w:val="auto"/>
              </w:rPr>
            </w:pPr>
            <w:r>
              <w:rPr>
                <w:rFonts w:ascii="Arial" w:cs="Arial" w:eastAsia="Arial" w:hAnsi="Arial"/>
                <w:sz w:val="14"/>
                <w:szCs w:val="14"/>
                <w:color w:val="auto"/>
              </w:rPr>
              <w:t>125,000</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5,382,500</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640" w:type="dxa"/>
            <w:vAlign w:val="bottom"/>
          </w:tcPr>
          <w:p>
            <w:pPr>
              <w:ind w:left="140"/>
              <w:spacing w:after="0"/>
              <w:rPr>
                <w:sz w:val="20"/>
                <w:szCs w:val="20"/>
                <w:color w:val="auto"/>
              </w:rPr>
            </w:pPr>
            <w:r>
              <w:rPr>
                <w:rFonts w:ascii="Arial" w:cs="Arial" w:eastAsia="Arial" w:hAnsi="Arial"/>
                <w:sz w:val="14"/>
                <w:szCs w:val="14"/>
                <w:b w:val="1"/>
                <w:bCs w:val="1"/>
                <w:color w:val="0071CE"/>
              </w:rPr>
              <w:t>Bruce D. Given</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2/16/2012</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81,652</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5.19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2/16/2022</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9/21/2013</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7,500</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4.75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9/21/2023</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2/6/2014</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4,064</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14.54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2/6/2024</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3/6/2015</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12,741</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7.75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3/6/2025</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1/1/2016</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60,000</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6.15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1/1/2026</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1/1/2018(5)</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87,500</w:t>
            </w:r>
          </w:p>
        </w:tc>
        <w:tc>
          <w:tcPr>
            <w:tcW w:w="940" w:type="dxa"/>
            <w:vAlign w:val="bottom"/>
          </w:tcPr>
          <w:p>
            <w:pPr>
              <w:jc w:val="right"/>
              <w:spacing w:after="0"/>
              <w:rPr>
                <w:sz w:val="20"/>
                <w:szCs w:val="20"/>
                <w:color w:val="auto"/>
              </w:rPr>
            </w:pPr>
            <w:r>
              <w:rPr>
                <w:rFonts w:ascii="Arial" w:cs="Arial" w:eastAsia="Arial" w:hAnsi="Arial"/>
                <w:sz w:val="14"/>
                <w:szCs w:val="14"/>
                <w:color w:val="auto"/>
              </w:rPr>
              <w:t>3,767,750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1/1/2019(5)</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157,500</w:t>
            </w:r>
          </w:p>
        </w:tc>
        <w:tc>
          <w:tcPr>
            <w:tcW w:w="940" w:type="dxa"/>
            <w:vAlign w:val="bottom"/>
          </w:tcPr>
          <w:p>
            <w:pPr>
              <w:jc w:val="right"/>
              <w:spacing w:after="0"/>
              <w:rPr>
                <w:sz w:val="20"/>
                <w:szCs w:val="20"/>
                <w:color w:val="auto"/>
              </w:rPr>
            </w:pPr>
            <w:r>
              <w:rPr>
                <w:rFonts w:ascii="Arial" w:cs="Arial" w:eastAsia="Arial" w:hAnsi="Arial"/>
                <w:sz w:val="14"/>
                <w:szCs w:val="14"/>
                <w:color w:val="auto"/>
              </w:rPr>
              <w:t>6,781,950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1/1/2020(5)</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250,000</w:t>
            </w:r>
          </w:p>
        </w:tc>
        <w:tc>
          <w:tcPr>
            <w:tcW w:w="940" w:type="dxa"/>
            <w:vAlign w:val="bottom"/>
          </w:tcPr>
          <w:p>
            <w:pPr>
              <w:jc w:val="right"/>
              <w:spacing w:after="0"/>
              <w:rPr>
                <w:sz w:val="20"/>
                <w:szCs w:val="20"/>
                <w:color w:val="auto"/>
              </w:rPr>
            </w:pPr>
            <w:r>
              <w:rPr>
                <w:rFonts w:ascii="Arial" w:cs="Arial" w:eastAsia="Arial" w:hAnsi="Arial"/>
                <w:sz w:val="14"/>
                <w:szCs w:val="14"/>
                <w:color w:val="auto"/>
              </w:rPr>
              <w:t>10,765,000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1640" w:type="dxa"/>
            <w:vAlign w:val="bottom"/>
            <w:tcBorders>
              <w:bottom w:val="single" w:sz="8" w:color="0071CE"/>
            </w:tcBorders>
          </w:tcPr>
          <w:p>
            <w:pPr>
              <w:spacing w:after="0"/>
              <w:rPr>
                <w:sz w:val="3"/>
                <w:szCs w:val="3"/>
                <w:color w:val="auto"/>
              </w:rPr>
            </w:pPr>
          </w:p>
        </w:tc>
        <w:tc>
          <w:tcPr>
            <w:tcW w:w="1020" w:type="dxa"/>
            <w:vAlign w:val="bottom"/>
            <w:tcBorders>
              <w:bottom w:val="single" w:sz="8" w:color="0071CE"/>
            </w:tcBorders>
          </w:tcPr>
          <w:p>
            <w:pPr>
              <w:spacing w:after="0"/>
              <w:rPr>
                <w:sz w:val="3"/>
                <w:szCs w:val="3"/>
                <w:color w:val="auto"/>
              </w:rPr>
            </w:pPr>
          </w:p>
        </w:tc>
        <w:tc>
          <w:tcPr>
            <w:tcW w:w="1400" w:type="dxa"/>
            <w:vAlign w:val="bottom"/>
            <w:tcBorders>
              <w:bottom w:val="single" w:sz="8" w:color="0071CE"/>
            </w:tcBorders>
          </w:tcPr>
          <w:p>
            <w:pPr>
              <w:spacing w:after="0"/>
              <w:rPr>
                <w:sz w:val="3"/>
                <w:szCs w:val="3"/>
                <w:color w:val="auto"/>
              </w:rPr>
            </w:pPr>
          </w:p>
        </w:tc>
        <w:tc>
          <w:tcPr>
            <w:tcW w:w="1520" w:type="dxa"/>
            <w:vAlign w:val="bottom"/>
            <w:tcBorders>
              <w:bottom w:val="single" w:sz="8" w:color="0071CE"/>
            </w:tcBorders>
          </w:tcPr>
          <w:p>
            <w:pPr>
              <w:spacing w:after="0"/>
              <w:rPr>
                <w:sz w:val="3"/>
                <w:szCs w:val="3"/>
                <w:color w:val="auto"/>
              </w:rPr>
            </w:pPr>
          </w:p>
        </w:tc>
        <w:tc>
          <w:tcPr>
            <w:tcW w:w="800" w:type="dxa"/>
            <w:vAlign w:val="bottom"/>
            <w:tcBorders>
              <w:bottom w:val="single" w:sz="8" w:color="0071CE"/>
            </w:tcBorders>
          </w:tcPr>
          <w:p>
            <w:pPr>
              <w:spacing w:after="0"/>
              <w:rPr>
                <w:sz w:val="3"/>
                <w:szCs w:val="3"/>
                <w:color w:val="auto"/>
              </w:rPr>
            </w:pPr>
          </w:p>
        </w:tc>
        <w:tc>
          <w:tcPr>
            <w:tcW w:w="1060" w:type="dxa"/>
            <w:vAlign w:val="bottom"/>
            <w:tcBorders>
              <w:bottom w:val="single" w:sz="8" w:color="0071CE"/>
            </w:tcBorders>
          </w:tcPr>
          <w:p>
            <w:pPr>
              <w:spacing w:after="0"/>
              <w:rPr>
                <w:sz w:val="3"/>
                <w:szCs w:val="3"/>
                <w:color w:val="auto"/>
              </w:rPr>
            </w:pPr>
          </w:p>
        </w:tc>
        <w:tc>
          <w:tcPr>
            <w:tcW w:w="1080" w:type="dxa"/>
            <w:vAlign w:val="bottom"/>
            <w:tcBorders>
              <w:bottom w:val="single" w:sz="8" w:color="0071CE"/>
            </w:tcBorders>
          </w:tcPr>
          <w:p>
            <w:pPr>
              <w:spacing w:after="0"/>
              <w:rPr>
                <w:sz w:val="3"/>
                <w:szCs w:val="3"/>
                <w:color w:val="auto"/>
              </w:rPr>
            </w:pPr>
          </w:p>
        </w:tc>
        <w:tc>
          <w:tcPr>
            <w:tcW w:w="940" w:type="dxa"/>
            <w:vAlign w:val="bottom"/>
            <w:tcBorders>
              <w:bottom w:val="single" w:sz="8" w:color="0071CE"/>
            </w:tcBorders>
          </w:tcPr>
          <w:p>
            <w:pPr>
              <w:spacing w:after="0"/>
              <w:rPr>
                <w:sz w:val="3"/>
                <w:szCs w:val="3"/>
                <w:color w:val="auto"/>
              </w:rPr>
            </w:pPr>
          </w:p>
        </w:tc>
        <w:tc>
          <w:tcPr>
            <w:tcW w:w="820" w:type="dxa"/>
            <w:vAlign w:val="bottom"/>
            <w:tcBorders>
              <w:bottom w:val="single" w:sz="8" w:color="0071CE"/>
            </w:tcBorders>
          </w:tcPr>
          <w:p>
            <w:pPr>
              <w:spacing w:after="0"/>
              <w:rPr>
                <w:sz w:val="3"/>
                <w:szCs w:val="3"/>
                <w:color w:val="auto"/>
              </w:rPr>
            </w:pPr>
          </w:p>
        </w:tc>
        <w:tc>
          <w:tcPr>
            <w:tcW w:w="860" w:type="dxa"/>
            <w:vAlign w:val="bottom"/>
            <w:tcBorders>
              <w:bottom w:val="single" w:sz="8" w:color="0071CE"/>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-6360160</wp:posOffset>
            </wp:positionV>
            <wp:extent cx="536638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66385" cy="17145"/>
                    </a:xfrm>
                    <a:prstGeom prst="rect">
                      <a:avLst/>
                    </a:prstGeom>
                    <a:noFill/>
                  </pic:spPr>
                </pic:pic>
              </a:graphicData>
            </a:graphic>
          </wp:anchor>
        </w:drawing>
      </w:r>
    </w:p>
    <w:p>
      <w:pPr>
        <w:spacing w:after="0" w:line="34" w:lineRule="exact"/>
        <w:rPr>
          <w:sz w:val="20"/>
          <w:szCs w:val="20"/>
          <w:color w:val="auto"/>
        </w:rPr>
      </w:pPr>
    </w:p>
    <w:p>
      <w:pPr>
        <w:ind w:left="540" w:right="380" w:hanging="424"/>
        <w:spacing w:after="0" w:line="29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within 48 months after the award is granted.</w:t>
      </w:r>
    </w:p>
    <w:p>
      <w:pPr>
        <w:spacing w:after="0" w:line="1" w:lineRule="exact"/>
        <w:rPr>
          <w:rFonts w:ascii="Arial" w:cs="Arial" w:eastAsia="Arial" w:hAnsi="Arial"/>
          <w:sz w:val="14"/>
          <w:szCs w:val="14"/>
          <w:color w:val="auto"/>
        </w:rPr>
      </w:pPr>
    </w:p>
    <w:p>
      <w:pPr>
        <w:ind w:left="540" w:right="200" w:hanging="424"/>
        <w:spacing w:after="0" w:line="29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2019 and January 2020 awards that contain performance-based vesting conditions. These awards and their vesting conditions are described above in the “Compensation Discussion and Analysis” under the heading “Equity Compensation”.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Restricted stock units have various vesting parameters but generally vest in four equal annual installments beginning 1 year from the grant date.</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Value is based on the Company’s Common Stock closing price of $43.06 on September 30, 2020.</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Dr. Given’s awards will continue to vest as he continues to provide service to the company as a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103505</wp:posOffset>
            </wp:positionV>
            <wp:extent cx="98615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42</w:t>
      </w:r>
    </w:p>
    <w:p>
      <w:pPr>
        <w:sectPr>
          <w:pgSz w:w="11900" w:h="16838" w:orient="portrait"/>
          <w:cols w:equalWidth="0" w:num="1">
            <w:col w:w="11280"/>
          </w:cols>
          <w:pgMar w:left="320" w:top="455" w:right="2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Options Exercised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information, with respect to the NEOs, concerning options exercised or RSUs or PRSUs vested during fiscal 2020.</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2700" w:type="dxa"/>
            <w:vAlign w:val="bottom"/>
            <w:shd w:val="clear" w:color="auto" w:fill="0071CE"/>
          </w:tcPr>
          <w:p>
            <w:pPr>
              <w:jc w:val="right"/>
              <w:ind w:right="1602"/>
              <w:spacing w:after="0"/>
              <w:rPr>
                <w:sz w:val="20"/>
                <w:szCs w:val="20"/>
                <w:color w:val="auto"/>
              </w:rPr>
            </w:pPr>
            <w:r>
              <w:rPr>
                <w:rFonts w:ascii="Arial" w:cs="Arial" w:eastAsia="Arial" w:hAnsi="Arial"/>
                <w:sz w:val="14"/>
                <w:szCs w:val="14"/>
                <w:b w:val="1"/>
                <w:bCs w:val="1"/>
                <w:color w:val="FFFFFF"/>
              </w:rPr>
              <w:t>Option Awards</w:t>
            </w:r>
          </w:p>
        </w:tc>
        <w:tc>
          <w:tcPr>
            <w:tcW w:w="1800" w:type="dxa"/>
            <w:vAlign w:val="bottom"/>
            <w:shd w:val="clear" w:color="auto" w:fill="0071CE"/>
          </w:tcPr>
          <w:p>
            <w:pPr>
              <w:spacing w:after="0"/>
              <w:rPr>
                <w:sz w:val="14"/>
                <w:szCs w:val="14"/>
                <w:color w:val="auto"/>
              </w:rPr>
            </w:pPr>
          </w:p>
        </w:tc>
        <w:tc>
          <w:tcPr>
            <w:tcW w:w="1260" w:type="dxa"/>
            <w:vAlign w:val="bottom"/>
            <w:shd w:val="clear" w:color="auto" w:fill="0071CE"/>
          </w:tcPr>
          <w:p>
            <w:pPr>
              <w:jc w:val="right"/>
              <w:ind w:right="163"/>
              <w:spacing w:after="0"/>
              <w:rPr>
                <w:sz w:val="20"/>
                <w:szCs w:val="20"/>
                <w:color w:val="auto"/>
              </w:rPr>
            </w:pPr>
            <w:r>
              <w:rPr>
                <w:rFonts w:ascii="Arial" w:cs="Arial" w:eastAsia="Arial" w:hAnsi="Arial"/>
                <w:sz w:val="14"/>
                <w:szCs w:val="14"/>
                <w:b w:val="1"/>
                <w:bCs w:val="1"/>
                <w:color w:val="FFFFFF"/>
              </w:rPr>
              <w:t>Stock Awards</w:t>
            </w:r>
          </w:p>
        </w:tc>
        <w:tc>
          <w:tcPr>
            <w:tcW w:w="1480" w:type="dxa"/>
            <w:vAlign w:val="bottom"/>
            <w:shd w:val="clear" w:color="auto" w:fill="0071CE"/>
          </w:tcPr>
          <w:p>
            <w:pPr>
              <w:spacing w:after="0"/>
              <w:rPr>
                <w:sz w:val="14"/>
                <w:szCs w:val="14"/>
                <w:color w:val="auto"/>
              </w:rPr>
            </w:pPr>
          </w:p>
        </w:tc>
      </w:tr>
      <w:tr>
        <w:trPr>
          <w:trHeight w:val="243"/>
        </w:trPr>
        <w:tc>
          <w:tcPr>
            <w:tcW w:w="1940" w:type="dxa"/>
            <w:vAlign w:val="bottom"/>
            <w:shd w:val="clear" w:color="auto" w:fill="0071CE"/>
          </w:tcPr>
          <w:p>
            <w:pPr>
              <w:spacing w:after="0"/>
              <w:rPr>
                <w:sz w:val="21"/>
                <w:szCs w:val="21"/>
                <w:color w:val="auto"/>
              </w:rPr>
            </w:pPr>
          </w:p>
        </w:tc>
        <w:tc>
          <w:tcPr>
            <w:tcW w:w="1840" w:type="dxa"/>
            <w:vAlign w:val="bottom"/>
            <w:shd w:val="clear" w:color="auto" w:fill="0071CE"/>
          </w:tcPr>
          <w:p>
            <w:pPr>
              <w:jc w:val="center"/>
              <w:ind w:left="522"/>
              <w:spacing w:after="0"/>
              <w:rPr>
                <w:sz w:val="20"/>
                <w:szCs w:val="20"/>
                <w:color w:val="auto"/>
              </w:rPr>
            </w:pPr>
            <w:r>
              <w:rPr>
                <w:rFonts w:ascii="Arial" w:cs="Arial" w:eastAsia="Arial" w:hAnsi="Arial"/>
                <w:sz w:val="14"/>
                <w:szCs w:val="14"/>
                <w:b w:val="1"/>
                <w:bCs w:val="1"/>
                <w:color w:val="FFFFFF"/>
              </w:rPr>
              <w:t>Number of Shares</w:t>
            </w:r>
          </w:p>
        </w:tc>
        <w:tc>
          <w:tcPr>
            <w:tcW w:w="2700" w:type="dxa"/>
            <w:vAlign w:val="bottom"/>
            <w:shd w:val="clear" w:color="auto" w:fill="0071CE"/>
          </w:tcPr>
          <w:p>
            <w:pPr>
              <w:spacing w:after="0"/>
              <w:rPr>
                <w:sz w:val="21"/>
                <w:szCs w:val="21"/>
                <w:color w:val="auto"/>
              </w:rPr>
            </w:pPr>
          </w:p>
        </w:tc>
        <w:tc>
          <w:tcPr>
            <w:tcW w:w="1800" w:type="dxa"/>
            <w:vAlign w:val="bottom"/>
            <w:shd w:val="clear" w:color="auto" w:fill="0071CE"/>
          </w:tcPr>
          <w:p>
            <w:pPr>
              <w:jc w:val="center"/>
              <w:ind w:left="322"/>
              <w:spacing w:after="0"/>
              <w:rPr>
                <w:sz w:val="20"/>
                <w:szCs w:val="20"/>
                <w:color w:val="auto"/>
              </w:rPr>
            </w:pPr>
            <w:r>
              <w:rPr>
                <w:rFonts w:ascii="Arial" w:cs="Arial" w:eastAsia="Arial" w:hAnsi="Arial"/>
                <w:sz w:val="14"/>
                <w:szCs w:val="14"/>
                <w:b w:val="1"/>
                <w:bCs w:val="1"/>
                <w:color w:val="FFFFFF"/>
              </w:rPr>
              <w:t>Number of Shares</w:t>
            </w:r>
          </w:p>
        </w:tc>
        <w:tc>
          <w:tcPr>
            <w:tcW w:w="1260" w:type="dxa"/>
            <w:vAlign w:val="bottom"/>
            <w:shd w:val="clear" w:color="auto" w:fill="0071CE"/>
          </w:tcPr>
          <w:p>
            <w:pPr>
              <w:spacing w:after="0"/>
              <w:rPr>
                <w:sz w:val="21"/>
                <w:szCs w:val="21"/>
                <w:color w:val="auto"/>
              </w:rPr>
            </w:pPr>
          </w:p>
        </w:tc>
        <w:tc>
          <w:tcPr>
            <w:tcW w:w="1480" w:type="dxa"/>
            <w:vAlign w:val="bottom"/>
            <w:shd w:val="clear" w:color="auto" w:fill="0071CE"/>
          </w:tcPr>
          <w:p>
            <w:pPr>
              <w:spacing w:after="0"/>
              <w:rPr>
                <w:sz w:val="21"/>
                <w:szCs w:val="21"/>
                <w:color w:val="auto"/>
              </w:rPr>
            </w:pPr>
          </w:p>
        </w:tc>
      </w:tr>
      <w:tr>
        <w:trPr>
          <w:trHeight w:val="162"/>
        </w:trPr>
        <w:tc>
          <w:tcPr>
            <w:tcW w:w="1940" w:type="dxa"/>
            <w:vAlign w:val="bottom"/>
            <w:shd w:val="clear" w:color="auto" w:fill="0071CE"/>
          </w:tcPr>
          <w:p>
            <w:pPr>
              <w:spacing w:after="0"/>
              <w:rPr>
                <w:sz w:val="14"/>
                <w:szCs w:val="14"/>
                <w:color w:val="auto"/>
              </w:rPr>
            </w:pPr>
          </w:p>
        </w:tc>
        <w:tc>
          <w:tcPr>
            <w:tcW w:w="1840" w:type="dxa"/>
            <w:vAlign w:val="bottom"/>
            <w:shd w:val="clear" w:color="auto" w:fill="0071CE"/>
          </w:tcPr>
          <w:p>
            <w:pPr>
              <w:jc w:val="center"/>
              <w:ind w:left="522"/>
              <w:spacing w:after="0"/>
              <w:rPr>
                <w:sz w:val="20"/>
                <w:szCs w:val="20"/>
                <w:color w:val="auto"/>
              </w:rPr>
            </w:pPr>
            <w:r>
              <w:rPr>
                <w:rFonts w:ascii="Arial" w:cs="Arial" w:eastAsia="Arial" w:hAnsi="Arial"/>
                <w:sz w:val="14"/>
                <w:szCs w:val="14"/>
                <w:b w:val="1"/>
                <w:bCs w:val="1"/>
                <w:color w:val="FFFFFF"/>
              </w:rPr>
              <w:t>Acquired on</w:t>
            </w:r>
          </w:p>
        </w:tc>
        <w:tc>
          <w:tcPr>
            <w:tcW w:w="2700" w:type="dxa"/>
            <w:vAlign w:val="bottom"/>
            <w:shd w:val="clear" w:color="auto" w:fill="0071CE"/>
          </w:tcPr>
          <w:p>
            <w:pPr>
              <w:jc w:val="right"/>
              <w:ind w:right="422"/>
              <w:spacing w:after="0"/>
              <w:rPr>
                <w:sz w:val="20"/>
                <w:szCs w:val="20"/>
                <w:color w:val="auto"/>
              </w:rPr>
            </w:pPr>
            <w:r>
              <w:rPr>
                <w:rFonts w:ascii="Arial" w:cs="Arial" w:eastAsia="Arial" w:hAnsi="Arial"/>
                <w:sz w:val="14"/>
                <w:szCs w:val="14"/>
                <w:b w:val="1"/>
                <w:bCs w:val="1"/>
                <w:color w:val="FFFFFF"/>
              </w:rPr>
              <w:t>Value Realized on</w:t>
            </w:r>
          </w:p>
        </w:tc>
        <w:tc>
          <w:tcPr>
            <w:tcW w:w="1800" w:type="dxa"/>
            <w:vAlign w:val="bottom"/>
            <w:shd w:val="clear" w:color="auto" w:fill="0071CE"/>
          </w:tcPr>
          <w:p>
            <w:pPr>
              <w:jc w:val="center"/>
              <w:ind w:left="322"/>
              <w:spacing w:after="0"/>
              <w:rPr>
                <w:sz w:val="20"/>
                <w:szCs w:val="20"/>
                <w:color w:val="auto"/>
              </w:rPr>
            </w:pPr>
            <w:r>
              <w:rPr>
                <w:rFonts w:ascii="Arial" w:cs="Arial" w:eastAsia="Arial" w:hAnsi="Arial"/>
                <w:sz w:val="14"/>
                <w:szCs w:val="14"/>
                <w:b w:val="1"/>
                <w:bCs w:val="1"/>
                <w:color w:val="FFFFFF"/>
              </w:rPr>
              <w:t>Acquired on</w:t>
            </w:r>
          </w:p>
        </w:tc>
        <w:tc>
          <w:tcPr>
            <w:tcW w:w="2740" w:type="dxa"/>
            <w:vAlign w:val="bottom"/>
            <w:gridSpan w:val="2"/>
            <w:shd w:val="clear" w:color="auto" w:fill="0071CE"/>
          </w:tcPr>
          <w:p>
            <w:pPr>
              <w:jc w:val="right"/>
              <w:ind w:right="460"/>
              <w:spacing w:after="0"/>
              <w:rPr>
                <w:sz w:val="20"/>
                <w:szCs w:val="20"/>
                <w:color w:val="auto"/>
              </w:rPr>
            </w:pPr>
            <w:r>
              <w:rPr>
                <w:rFonts w:ascii="Arial" w:cs="Arial" w:eastAsia="Arial" w:hAnsi="Arial"/>
                <w:sz w:val="14"/>
                <w:szCs w:val="14"/>
                <w:b w:val="1"/>
                <w:bCs w:val="1"/>
                <w:color w:val="FFFFFF"/>
              </w:rPr>
              <w:t>Value Realized on</w:t>
            </w:r>
          </w:p>
        </w:tc>
      </w:tr>
      <w:tr>
        <w:trPr>
          <w:trHeight w:val="189"/>
        </w:trPr>
        <w:tc>
          <w:tcPr>
            <w:tcW w:w="1940" w:type="dxa"/>
            <w:vAlign w:val="bottom"/>
            <w:shd w:val="clear" w:color="auto" w:fill="0071CE"/>
          </w:tcPr>
          <w:p>
            <w:pPr>
              <w:ind w:left="160"/>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0071CE"/>
          </w:tcPr>
          <w:p>
            <w:pPr>
              <w:jc w:val="center"/>
              <w:ind w:left="522"/>
              <w:spacing w:after="0"/>
              <w:rPr>
                <w:sz w:val="20"/>
                <w:szCs w:val="20"/>
                <w:color w:val="auto"/>
              </w:rPr>
            </w:pPr>
            <w:r>
              <w:rPr>
                <w:rFonts w:ascii="Arial" w:cs="Arial" w:eastAsia="Arial" w:hAnsi="Arial"/>
                <w:sz w:val="14"/>
                <w:szCs w:val="14"/>
                <w:b w:val="1"/>
                <w:bCs w:val="1"/>
                <w:color w:val="FFFFFF"/>
              </w:rPr>
              <w:t>Exercise</w:t>
            </w:r>
          </w:p>
        </w:tc>
        <w:tc>
          <w:tcPr>
            <w:tcW w:w="2700" w:type="dxa"/>
            <w:vAlign w:val="bottom"/>
            <w:shd w:val="clear" w:color="auto" w:fill="0071CE"/>
          </w:tcPr>
          <w:p>
            <w:pPr>
              <w:jc w:val="right"/>
              <w:ind w:right="622"/>
              <w:spacing w:after="0"/>
              <w:rPr>
                <w:sz w:val="20"/>
                <w:szCs w:val="20"/>
                <w:color w:val="auto"/>
              </w:rPr>
            </w:pPr>
            <w:r>
              <w:rPr>
                <w:rFonts w:ascii="Arial" w:cs="Arial" w:eastAsia="Arial" w:hAnsi="Arial"/>
                <w:sz w:val="14"/>
                <w:szCs w:val="14"/>
                <w:b w:val="1"/>
                <w:bCs w:val="1"/>
                <w:color w:val="FFFFFF"/>
              </w:rPr>
              <w:t>Exercise (1)</w:t>
            </w:r>
          </w:p>
        </w:tc>
        <w:tc>
          <w:tcPr>
            <w:tcW w:w="1800" w:type="dxa"/>
            <w:vAlign w:val="bottom"/>
            <w:shd w:val="clear" w:color="auto" w:fill="0071CE"/>
          </w:tcPr>
          <w:p>
            <w:pPr>
              <w:jc w:val="center"/>
              <w:ind w:left="322"/>
              <w:spacing w:after="0"/>
              <w:rPr>
                <w:sz w:val="20"/>
                <w:szCs w:val="20"/>
                <w:color w:val="auto"/>
              </w:rPr>
            </w:pPr>
            <w:r>
              <w:rPr>
                <w:rFonts w:ascii="Arial" w:cs="Arial" w:eastAsia="Arial" w:hAnsi="Arial"/>
                <w:sz w:val="14"/>
                <w:szCs w:val="14"/>
                <w:b w:val="1"/>
                <w:bCs w:val="1"/>
                <w:color w:val="FFFFFF"/>
              </w:rPr>
              <w:t>Vesting</w:t>
            </w:r>
          </w:p>
        </w:tc>
        <w:tc>
          <w:tcPr>
            <w:tcW w:w="1260" w:type="dxa"/>
            <w:vAlign w:val="bottom"/>
            <w:shd w:val="clear" w:color="auto" w:fill="0071CE"/>
          </w:tcPr>
          <w:p>
            <w:pPr>
              <w:spacing w:after="0"/>
              <w:rPr>
                <w:sz w:val="16"/>
                <w:szCs w:val="16"/>
                <w:color w:val="auto"/>
              </w:rPr>
            </w:pPr>
          </w:p>
        </w:tc>
        <w:tc>
          <w:tcPr>
            <w:tcW w:w="1480" w:type="dxa"/>
            <w:vAlign w:val="bottom"/>
            <w:shd w:val="clear" w:color="auto" w:fill="0071CE"/>
          </w:tcPr>
          <w:p>
            <w:pPr>
              <w:jc w:val="right"/>
              <w:ind w:right="680"/>
              <w:spacing w:after="0"/>
              <w:rPr>
                <w:sz w:val="20"/>
                <w:szCs w:val="20"/>
                <w:color w:val="auto"/>
              </w:rPr>
            </w:pPr>
            <w:r>
              <w:rPr>
                <w:rFonts w:ascii="Arial" w:cs="Arial" w:eastAsia="Arial" w:hAnsi="Arial"/>
                <w:sz w:val="14"/>
                <w:szCs w:val="14"/>
                <w:b w:val="1"/>
                <w:bCs w:val="1"/>
                <w:color w:val="FFFFFF"/>
                <w:w w:val="97"/>
              </w:rPr>
              <w:t>Vesting (2)</w:t>
            </w:r>
          </w:p>
        </w:tc>
      </w:tr>
      <w:tr>
        <w:trPr>
          <w:trHeight w:val="318"/>
        </w:trPr>
        <w:tc>
          <w:tcPr>
            <w:tcW w:w="194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6"/>
                <w:szCs w:val="16"/>
                <w:color w:val="auto"/>
              </w:rPr>
              <w:t>Christopher Anzalone</w:t>
            </w:r>
          </w:p>
        </w:tc>
        <w:tc>
          <w:tcPr>
            <w:tcW w:w="1840" w:type="dxa"/>
            <w:vAlign w:val="bottom"/>
            <w:tcBorders>
              <w:bottom w:val="single" w:sz="8" w:color="E5E5E5"/>
            </w:tcBorders>
            <w:shd w:val="clear" w:color="auto" w:fill="E5E5E5"/>
          </w:tcPr>
          <w:p>
            <w:pPr>
              <w:jc w:val="right"/>
              <w:ind w:right="222"/>
              <w:spacing w:after="0"/>
              <w:rPr>
                <w:sz w:val="20"/>
                <w:szCs w:val="20"/>
                <w:color w:val="auto"/>
              </w:rPr>
            </w:pPr>
            <w:r>
              <w:rPr>
                <w:rFonts w:ascii="Arial" w:cs="Arial" w:eastAsia="Arial" w:hAnsi="Arial"/>
                <w:sz w:val="16"/>
                <w:szCs w:val="16"/>
                <w:color w:val="auto"/>
              </w:rPr>
              <w:t>106,325</w:t>
            </w:r>
          </w:p>
        </w:tc>
        <w:tc>
          <w:tcPr>
            <w:tcW w:w="2700" w:type="dxa"/>
            <w:vAlign w:val="bottom"/>
            <w:tcBorders>
              <w:bottom w:val="single" w:sz="8" w:color="E5E5E5"/>
            </w:tcBorders>
            <w:shd w:val="clear" w:color="auto" w:fill="E5E5E5"/>
          </w:tcPr>
          <w:p>
            <w:pPr>
              <w:jc w:val="right"/>
              <w:ind w:right="642"/>
              <w:spacing w:after="0"/>
              <w:rPr>
                <w:sz w:val="20"/>
                <w:szCs w:val="20"/>
                <w:color w:val="auto"/>
              </w:rPr>
            </w:pPr>
            <w:r>
              <w:rPr>
                <w:rFonts w:ascii="Arial" w:cs="Arial" w:eastAsia="Arial" w:hAnsi="Arial"/>
                <w:sz w:val="16"/>
                <w:szCs w:val="16"/>
                <w:color w:val="auto"/>
              </w:rPr>
              <w:t>3,072,081</w:t>
            </w:r>
          </w:p>
        </w:tc>
        <w:tc>
          <w:tcPr>
            <w:tcW w:w="1800" w:type="dxa"/>
            <w:vAlign w:val="bottom"/>
            <w:tcBorders>
              <w:bottom w:val="single" w:sz="8" w:color="E5E5E5"/>
            </w:tcBorders>
            <w:shd w:val="clear" w:color="auto" w:fill="E5E5E5"/>
          </w:tcPr>
          <w:p>
            <w:pPr>
              <w:jc w:val="right"/>
              <w:ind w:right="302"/>
              <w:spacing w:after="0"/>
              <w:rPr>
                <w:sz w:val="20"/>
                <w:szCs w:val="20"/>
                <w:color w:val="auto"/>
              </w:rPr>
            </w:pPr>
            <w:r>
              <w:rPr>
                <w:rFonts w:ascii="Arial" w:cs="Arial" w:eastAsia="Arial" w:hAnsi="Arial"/>
                <w:sz w:val="16"/>
                <w:szCs w:val="16"/>
                <w:color w:val="auto"/>
              </w:rPr>
              <w:t>733,333</w:t>
            </w: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580"/>
              <w:spacing w:after="0"/>
              <w:rPr>
                <w:sz w:val="20"/>
                <w:szCs w:val="20"/>
                <w:color w:val="auto"/>
              </w:rPr>
            </w:pPr>
            <w:r>
              <w:rPr>
                <w:rFonts w:ascii="Arial" w:cs="Arial" w:eastAsia="Arial" w:hAnsi="Arial"/>
                <w:sz w:val="16"/>
                <w:szCs w:val="16"/>
                <w:color w:val="auto"/>
                <w:w w:val="99"/>
              </w:rPr>
              <w:t>43,547,642</w:t>
            </w:r>
          </w:p>
        </w:tc>
      </w:tr>
      <w:tr>
        <w:trPr>
          <w:trHeight w:val="295"/>
        </w:trPr>
        <w:tc>
          <w:tcPr>
            <w:tcW w:w="1940" w:type="dxa"/>
            <w:vAlign w:val="bottom"/>
          </w:tcPr>
          <w:p>
            <w:pPr>
              <w:ind w:left="120"/>
              <w:spacing w:after="0"/>
              <w:rPr>
                <w:sz w:val="20"/>
                <w:szCs w:val="20"/>
                <w:color w:val="auto"/>
              </w:rPr>
            </w:pPr>
            <w:r>
              <w:rPr>
                <w:rFonts w:ascii="Arial" w:cs="Arial" w:eastAsia="Arial" w:hAnsi="Arial"/>
                <w:sz w:val="16"/>
                <w:szCs w:val="16"/>
                <w:color w:val="auto"/>
              </w:rPr>
              <w:t>Kenneth Myszkowski</w:t>
            </w:r>
          </w:p>
        </w:tc>
        <w:tc>
          <w:tcPr>
            <w:tcW w:w="1840" w:type="dxa"/>
            <w:vAlign w:val="bottom"/>
          </w:tcPr>
          <w:p>
            <w:pPr>
              <w:jc w:val="right"/>
              <w:ind w:right="222"/>
              <w:spacing w:after="0"/>
              <w:rPr>
                <w:sz w:val="20"/>
                <w:szCs w:val="20"/>
                <w:color w:val="auto"/>
              </w:rPr>
            </w:pPr>
            <w:r>
              <w:rPr>
                <w:rFonts w:ascii="Arial" w:cs="Arial" w:eastAsia="Arial" w:hAnsi="Arial"/>
                <w:sz w:val="16"/>
                <w:szCs w:val="16"/>
                <w:color w:val="auto"/>
              </w:rPr>
              <w:t>127,329</w:t>
            </w:r>
          </w:p>
        </w:tc>
        <w:tc>
          <w:tcPr>
            <w:tcW w:w="2700" w:type="dxa"/>
            <w:vAlign w:val="bottom"/>
          </w:tcPr>
          <w:p>
            <w:pPr>
              <w:jc w:val="right"/>
              <w:ind w:right="642"/>
              <w:spacing w:after="0"/>
              <w:rPr>
                <w:sz w:val="20"/>
                <w:szCs w:val="20"/>
                <w:color w:val="auto"/>
              </w:rPr>
            </w:pPr>
            <w:r>
              <w:rPr>
                <w:rFonts w:ascii="Arial" w:cs="Arial" w:eastAsia="Arial" w:hAnsi="Arial"/>
                <w:sz w:val="16"/>
                <w:szCs w:val="16"/>
                <w:color w:val="auto"/>
              </w:rPr>
              <w:t>4,252,665</w:t>
            </w:r>
          </w:p>
        </w:tc>
        <w:tc>
          <w:tcPr>
            <w:tcW w:w="1800" w:type="dxa"/>
            <w:vAlign w:val="bottom"/>
          </w:tcPr>
          <w:p>
            <w:pPr>
              <w:jc w:val="right"/>
              <w:ind w:right="302"/>
              <w:spacing w:after="0"/>
              <w:rPr>
                <w:sz w:val="20"/>
                <w:szCs w:val="20"/>
                <w:color w:val="auto"/>
              </w:rPr>
            </w:pPr>
            <w:r>
              <w:rPr>
                <w:rFonts w:ascii="Arial" w:cs="Arial" w:eastAsia="Arial" w:hAnsi="Arial"/>
                <w:sz w:val="16"/>
                <w:szCs w:val="16"/>
                <w:color w:val="auto"/>
              </w:rPr>
              <w:t>40,000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80"/>
              <w:spacing w:after="0"/>
              <w:rPr>
                <w:sz w:val="20"/>
                <w:szCs w:val="20"/>
                <w:color w:val="auto"/>
              </w:rPr>
            </w:pPr>
            <w:r>
              <w:rPr>
                <w:rFonts w:ascii="Arial" w:cs="Arial" w:eastAsia="Arial" w:hAnsi="Arial"/>
                <w:sz w:val="16"/>
                <w:szCs w:val="16"/>
                <w:color w:val="auto"/>
              </w:rPr>
              <w:t>2,462,600</w:t>
            </w:r>
          </w:p>
        </w:tc>
      </w:tr>
      <w:tr>
        <w:trPr>
          <w:trHeight w:val="43"/>
        </w:trPr>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318"/>
        </w:trPr>
        <w:tc>
          <w:tcPr>
            <w:tcW w:w="194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6"/>
                <w:szCs w:val="16"/>
                <w:color w:val="auto"/>
              </w:rPr>
              <w:t>Javier San Martin</w:t>
            </w:r>
          </w:p>
        </w:tc>
        <w:tc>
          <w:tcPr>
            <w:tcW w:w="1840" w:type="dxa"/>
            <w:vAlign w:val="bottom"/>
            <w:tcBorders>
              <w:bottom w:val="single" w:sz="8" w:color="E5E5E5"/>
            </w:tcBorders>
            <w:shd w:val="clear" w:color="auto" w:fill="E5E5E5"/>
          </w:tcPr>
          <w:p>
            <w:pPr>
              <w:jc w:val="right"/>
              <w:ind w:right="222"/>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E5E5E5"/>
            </w:tcBorders>
            <w:shd w:val="clear" w:color="auto" w:fill="E5E5E5"/>
          </w:tcPr>
          <w:p>
            <w:pPr>
              <w:jc w:val="right"/>
              <w:ind w:right="64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5E5E5"/>
            </w:tcBorders>
            <w:shd w:val="clear" w:color="auto" w:fill="E5E5E5"/>
          </w:tcPr>
          <w:p>
            <w:pPr>
              <w:jc w:val="right"/>
              <w:ind w:right="3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spacing w:after="0"/>
              <w:rPr>
                <w:sz w:val="24"/>
                <w:szCs w:val="24"/>
                <w:color w:val="auto"/>
              </w:rPr>
            </w:pPr>
          </w:p>
        </w:tc>
        <w:tc>
          <w:tcPr>
            <w:tcW w:w="1480" w:type="dxa"/>
            <w:vAlign w:val="bottom"/>
            <w:tcBorders>
              <w:bottom w:val="single" w:sz="8" w:color="E5E5E5"/>
            </w:tcBorders>
            <w:shd w:val="clear" w:color="auto" w:fill="E5E5E5"/>
          </w:tcPr>
          <w:p>
            <w:pPr>
              <w:jc w:val="right"/>
              <w:ind w:right="580"/>
              <w:spacing w:after="0"/>
              <w:rPr>
                <w:sz w:val="20"/>
                <w:szCs w:val="20"/>
                <w:color w:val="auto"/>
              </w:rPr>
            </w:pPr>
            <w:r>
              <w:rPr>
                <w:rFonts w:ascii="Arial" w:cs="Arial" w:eastAsia="Arial" w:hAnsi="Arial"/>
                <w:sz w:val="16"/>
                <w:szCs w:val="16"/>
                <w:color w:val="auto"/>
              </w:rPr>
              <w:t>—</w:t>
            </w:r>
          </w:p>
        </w:tc>
      </w:tr>
      <w:tr>
        <w:trPr>
          <w:trHeight w:val="295"/>
        </w:trPr>
        <w:tc>
          <w:tcPr>
            <w:tcW w:w="1940" w:type="dxa"/>
            <w:vAlign w:val="bottom"/>
          </w:tcPr>
          <w:p>
            <w:pPr>
              <w:ind w:left="120"/>
              <w:spacing w:after="0"/>
              <w:rPr>
                <w:sz w:val="20"/>
                <w:szCs w:val="20"/>
                <w:color w:val="auto"/>
              </w:rPr>
            </w:pPr>
            <w:r>
              <w:rPr>
                <w:rFonts w:ascii="Arial" w:cs="Arial" w:eastAsia="Arial" w:hAnsi="Arial"/>
                <w:sz w:val="16"/>
                <w:szCs w:val="16"/>
                <w:color w:val="auto"/>
              </w:rPr>
              <w:t>James Hassard</w:t>
            </w:r>
          </w:p>
        </w:tc>
        <w:tc>
          <w:tcPr>
            <w:tcW w:w="18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4"/>
                <w:szCs w:val="24"/>
                <w:color w:val="auto"/>
              </w:rPr>
            </w:pPr>
          </w:p>
        </w:tc>
        <w:tc>
          <w:tcPr>
            <w:tcW w:w="1480" w:type="dxa"/>
            <w:vAlign w:val="bottom"/>
          </w:tcPr>
          <w:p>
            <w:pPr>
              <w:jc w:val="right"/>
              <w:ind w:right="580"/>
              <w:spacing w:after="0"/>
              <w:rPr>
                <w:sz w:val="20"/>
                <w:szCs w:val="20"/>
                <w:color w:val="auto"/>
              </w:rPr>
            </w:pPr>
            <w:r>
              <w:rPr>
                <w:rFonts w:ascii="Arial" w:cs="Arial" w:eastAsia="Arial" w:hAnsi="Arial"/>
                <w:sz w:val="16"/>
                <w:szCs w:val="16"/>
                <w:color w:val="auto"/>
              </w:rPr>
              <w:t>—</w:t>
            </w:r>
          </w:p>
        </w:tc>
      </w:tr>
      <w:tr>
        <w:trPr>
          <w:trHeight w:val="43"/>
        </w:trPr>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318"/>
        </w:trPr>
        <w:tc>
          <w:tcPr>
            <w:tcW w:w="194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6"/>
                <w:szCs w:val="16"/>
                <w:color w:val="auto"/>
              </w:rPr>
              <w:t>Curt Bradshaw</w:t>
            </w:r>
          </w:p>
        </w:tc>
        <w:tc>
          <w:tcPr>
            <w:tcW w:w="1840" w:type="dxa"/>
            <w:vAlign w:val="bottom"/>
            <w:tcBorders>
              <w:bottom w:val="single" w:sz="8" w:color="E5E5E5"/>
            </w:tcBorders>
            <w:shd w:val="clear" w:color="auto" w:fill="E5E5E5"/>
          </w:tcPr>
          <w:p>
            <w:pPr>
              <w:jc w:val="right"/>
              <w:ind w:right="222"/>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E5E5E5"/>
            </w:tcBorders>
            <w:shd w:val="clear" w:color="auto" w:fill="E5E5E5"/>
          </w:tcPr>
          <w:p>
            <w:pPr>
              <w:jc w:val="right"/>
              <w:ind w:right="64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5E5E5"/>
            </w:tcBorders>
            <w:shd w:val="clear" w:color="auto" w:fill="E5E5E5"/>
          </w:tcPr>
          <w:p>
            <w:pPr>
              <w:jc w:val="right"/>
              <w:ind w:right="3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spacing w:after="0"/>
              <w:rPr>
                <w:sz w:val="24"/>
                <w:szCs w:val="24"/>
                <w:color w:val="auto"/>
              </w:rPr>
            </w:pPr>
          </w:p>
        </w:tc>
        <w:tc>
          <w:tcPr>
            <w:tcW w:w="1480" w:type="dxa"/>
            <w:vAlign w:val="bottom"/>
            <w:tcBorders>
              <w:bottom w:val="single" w:sz="8" w:color="E5E5E5"/>
            </w:tcBorders>
            <w:shd w:val="clear" w:color="auto" w:fill="E5E5E5"/>
          </w:tcPr>
          <w:p>
            <w:pPr>
              <w:jc w:val="right"/>
              <w:ind w:right="580"/>
              <w:spacing w:after="0"/>
              <w:rPr>
                <w:sz w:val="20"/>
                <w:szCs w:val="20"/>
                <w:color w:val="auto"/>
              </w:rPr>
            </w:pPr>
            <w:r>
              <w:rPr>
                <w:rFonts w:ascii="Arial" w:cs="Arial" w:eastAsia="Arial" w:hAnsi="Arial"/>
                <w:sz w:val="16"/>
                <w:szCs w:val="16"/>
                <w:color w:val="auto"/>
              </w:rPr>
              <w:t>—</w:t>
            </w:r>
          </w:p>
        </w:tc>
      </w:tr>
      <w:tr>
        <w:trPr>
          <w:trHeight w:val="295"/>
        </w:trPr>
        <w:tc>
          <w:tcPr>
            <w:tcW w:w="1940" w:type="dxa"/>
            <w:vAlign w:val="bottom"/>
          </w:tcPr>
          <w:p>
            <w:pPr>
              <w:ind w:left="120"/>
              <w:spacing w:after="0"/>
              <w:rPr>
                <w:sz w:val="20"/>
                <w:szCs w:val="20"/>
                <w:color w:val="auto"/>
              </w:rPr>
            </w:pPr>
            <w:r>
              <w:rPr>
                <w:rFonts w:ascii="Arial" w:cs="Arial" w:eastAsia="Arial" w:hAnsi="Arial"/>
                <w:sz w:val="16"/>
                <w:szCs w:val="16"/>
                <w:color w:val="auto"/>
              </w:rPr>
              <w:t>Bruce D. Given</w:t>
            </w:r>
          </w:p>
        </w:tc>
        <w:tc>
          <w:tcPr>
            <w:tcW w:w="1840" w:type="dxa"/>
            <w:vAlign w:val="bottom"/>
          </w:tcPr>
          <w:p>
            <w:pPr>
              <w:jc w:val="right"/>
              <w:ind w:right="222"/>
              <w:spacing w:after="0"/>
              <w:rPr>
                <w:sz w:val="20"/>
                <w:szCs w:val="20"/>
                <w:color w:val="auto"/>
              </w:rPr>
            </w:pPr>
            <w:r>
              <w:rPr>
                <w:rFonts w:ascii="Arial" w:cs="Arial" w:eastAsia="Arial" w:hAnsi="Arial"/>
                <w:sz w:val="16"/>
                <w:szCs w:val="16"/>
                <w:color w:val="auto"/>
              </w:rPr>
              <w:t>184,043</w:t>
            </w:r>
          </w:p>
        </w:tc>
        <w:tc>
          <w:tcPr>
            <w:tcW w:w="2700" w:type="dxa"/>
            <w:vAlign w:val="bottom"/>
          </w:tcPr>
          <w:p>
            <w:pPr>
              <w:jc w:val="right"/>
              <w:ind w:right="642"/>
              <w:spacing w:after="0"/>
              <w:rPr>
                <w:sz w:val="20"/>
                <w:szCs w:val="20"/>
                <w:color w:val="auto"/>
              </w:rPr>
            </w:pPr>
            <w:r>
              <w:rPr>
                <w:rFonts w:ascii="Arial" w:cs="Arial" w:eastAsia="Arial" w:hAnsi="Arial"/>
                <w:sz w:val="16"/>
                <w:szCs w:val="16"/>
                <w:color w:val="auto"/>
              </w:rPr>
              <w:t>5,934,362</w:t>
            </w:r>
          </w:p>
        </w:tc>
        <w:tc>
          <w:tcPr>
            <w:tcW w:w="1800" w:type="dxa"/>
            <w:vAlign w:val="bottom"/>
          </w:tcPr>
          <w:p>
            <w:pPr>
              <w:jc w:val="right"/>
              <w:ind w:right="302"/>
              <w:spacing w:after="0"/>
              <w:rPr>
                <w:sz w:val="20"/>
                <w:szCs w:val="20"/>
                <w:color w:val="auto"/>
              </w:rPr>
            </w:pPr>
            <w:r>
              <w:rPr>
                <w:rFonts w:ascii="Arial" w:cs="Arial" w:eastAsia="Arial" w:hAnsi="Arial"/>
                <w:sz w:val="16"/>
                <w:szCs w:val="16"/>
                <w:color w:val="auto"/>
              </w:rPr>
              <w:t>96,250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80"/>
              <w:spacing w:after="0"/>
              <w:rPr>
                <w:sz w:val="20"/>
                <w:szCs w:val="20"/>
                <w:color w:val="auto"/>
              </w:rPr>
            </w:pPr>
            <w:r>
              <w:rPr>
                <w:rFonts w:ascii="Arial" w:cs="Arial" w:eastAsia="Arial" w:hAnsi="Arial"/>
                <w:sz w:val="16"/>
                <w:szCs w:val="16"/>
                <w:color w:val="auto"/>
              </w:rPr>
              <w:t>5,925,150</w:t>
            </w:r>
          </w:p>
        </w:tc>
      </w:tr>
      <w:tr>
        <w:trPr>
          <w:trHeight w:val="43"/>
        </w:trPr>
        <w:tc>
          <w:tcPr>
            <w:tcW w:w="1940" w:type="dxa"/>
            <w:vAlign w:val="bottom"/>
            <w:tcBorders>
              <w:bottom w:val="single" w:sz="8" w:color="0071CE"/>
            </w:tcBorders>
          </w:tcPr>
          <w:p>
            <w:pPr>
              <w:spacing w:after="0"/>
              <w:rPr>
                <w:sz w:val="3"/>
                <w:szCs w:val="3"/>
                <w:color w:val="auto"/>
              </w:rPr>
            </w:pPr>
          </w:p>
        </w:tc>
        <w:tc>
          <w:tcPr>
            <w:tcW w:w="1840" w:type="dxa"/>
            <w:vAlign w:val="bottom"/>
            <w:tcBorders>
              <w:bottom w:val="single" w:sz="8" w:color="0071CE"/>
            </w:tcBorders>
          </w:tcPr>
          <w:p>
            <w:pPr>
              <w:spacing w:after="0"/>
              <w:rPr>
                <w:sz w:val="3"/>
                <w:szCs w:val="3"/>
                <w:color w:val="auto"/>
              </w:rPr>
            </w:pPr>
          </w:p>
        </w:tc>
        <w:tc>
          <w:tcPr>
            <w:tcW w:w="2700" w:type="dxa"/>
            <w:vAlign w:val="bottom"/>
            <w:tcBorders>
              <w:bottom w:val="single" w:sz="8" w:color="0071CE"/>
            </w:tcBorders>
          </w:tcPr>
          <w:p>
            <w:pPr>
              <w:spacing w:after="0"/>
              <w:rPr>
                <w:sz w:val="3"/>
                <w:szCs w:val="3"/>
                <w:color w:val="auto"/>
              </w:rPr>
            </w:pPr>
          </w:p>
        </w:tc>
        <w:tc>
          <w:tcPr>
            <w:tcW w:w="1800" w:type="dxa"/>
            <w:vAlign w:val="bottom"/>
            <w:tcBorders>
              <w:bottom w:val="single" w:sz="8" w:color="0071CE"/>
            </w:tcBorders>
          </w:tcPr>
          <w:p>
            <w:pPr>
              <w:spacing w:after="0"/>
              <w:rPr>
                <w:sz w:val="3"/>
                <w:szCs w:val="3"/>
                <w:color w:val="auto"/>
              </w:rPr>
            </w:pPr>
          </w:p>
        </w:tc>
        <w:tc>
          <w:tcPr>
            <w:tcW w:w="1260" w:type="dxa"/>
            <w:vAlign w:val="bottom"/>
            <w:tcBorders>
              <w:bottom w:val="single" w:sz="8" w:color="0071CE"/>
            </w:tcBorders>
          </w:tcPr>
          <w:p>
            <w:pPr>
              <w:spacing w:after="0"/>
              <w:rPr>
                <w:sz w:val="3"/>
                <w:szCs w:val="3"/>
                <w:color w:val="auto"/>
              </w:rPr>
            </w:pPr>
          </w:p>
        </w:tc>
        <w:tc>
          <w:tcPr>
            <w:tcW w:w="1480" w:type="dxa"/>
            <w:vAlign w:val="bottom"/>
            <w:tcBorders>
              <w:bottom w:val="single" w:sz="8" w:color="0071CE"/>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-1671320</wp:posOffset>
            </wp:positionV>
            <wp:extent cx="55803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48"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Value is calculated as the price of the Company’s Common Stock upon exercise, less the exercise price, multiplied by the number of shares exercised.</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Value is calculated as the price of the Company’s Common Stock upon vesting, multiplied by the number of shares vested.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has the following severance or change of control arrangements with its NEOs: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w:t>
      </w:r>
    </w:p>
    <w:p>
      <w:pPr>
        <w:spacing w:after="0" w:line="25" w:lineRule="exact"/>
        <w:rPr>
          <w:sz w:val="20"/>
          <w:szCs w:val="20"/>
          <w:color w:val="auto"/>
        </w:rPr>
      </w:pPr>
    </w:p>
    <w:p>
      <w:pPr>
        <w:jc w:val="both"/>
        <w:ind w:left="120" w:right="240"/>
        <w:spacing w:after="0" w:line="256" w:lineRule="auto"/>
        <w:rPr>
          <w:sz w:val="20"/>
          <w:szCs w:val="20"/>
          <w:color w:val="auto"/>
        </w:rPr>
      </w:pPr>
      <w:r>
        <w:rPr>
          <w:rFonts w:ascii="Arial" w:cs="Arial" w:eastAsia="Arial" w:hAnsi="Arial"/>
          <w:sz w:val="16"/>
          <w:szCs w:val="16"/>
          <w:color w:val="auto"/>
        </w:rPr>
        <w:t>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Dr. Anzalone’s employment agreement:</w:t>
      </w:r>
    </w:p>
    <w:p>
      <w:pPr>
        <w:spacing w:after="0" w:line="111"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Executive’s duties, responsibilities, titles or offices are diminished as compared to those described in the employment agreement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 (30) highway miles from Pasadena, CA, (iii) the failure of the Company to obtain a satisfactory agreement from any successor to assume and agree to perform the obligations under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178" w:lineRule="exact"/>
        <w:rPr>
          <w:sz w:val="20"/>
          <w:szCs w:val="20"/>
          <w:color w:val="auto"/>
        </w:rPr>
      </w:pPr>
    </w:p>
    <w:p>
      <w:pPr>
        <w:ind w:left="120" w:right="360"/>
        <w:spacing w:after="0" w:line="291"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148" w:lineRule="exact"/>
        <w:rPr>
          <w:sz w:val="20"/>
          <w:szCs w:val="20"/>
          <w:color w:val="auto"/>
        </w:rPr>
      </w:pPr>
    </w:p>
    <w:p>
      <w:pPr>
        <w:ind w:left="120" w:right="520"/>
        <w:spacing w:after="0" w:line="269" w:lineRule="auto"/>
        <w:rPr>
          <w:sz w:val="20"/>
          <w:szCs w:val="20"/>
          <w:color w:val="auto"/>
        </w:rPr>
      </w:pPr>
      <w:r>
        <w:rPr>
          <w:rFonts w:ascii="Arial" w:cs="Arial" w:eastAsia="Arial" w:hAnsi="Arial"/>
          <w:sz w:val="16"/>
          <w:szCs w:val="16"/>
          <w:color w:val="auto"/>
        </w:rPr>
        <w:t>The Company has not entered into a severance arrangement with Dr. San Martin or Mr. Hassard. Dr. Bradshaw’s employment was terminated in November 2020 and the Company entered into a severance agreement with Dr. Bradshaw whereby he received a lump sum payment of $100,000. Dr. Given’s employment was terminated upon his retirement in May 2020 and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73025</wp:posOffset>
            </wp:positionV>
            <wp:extent cx="98615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severance agreement was entered into. Dr. Given continues to provide service to the company as a consultant at a rate of $200,000 annually, and his RSU awards continue to vest.</w:t>
      </w:r>
    </w:p>
    <w:p>
      <w:pPr>
        <w:spacing w:after="0" w:line="148"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Additionally, pursuant to the 2004 Equity Incentive Plan and the 2013 Incentive Plan, any unvested awards held by plan participants, including the NEOs, become fully vested upon a change of control, except as otherwise determined by the Board and except with respect to the outstanding awards held by the CEO whose awards will only become fully vested upon a qualifying termination of employment following a change of control.</w:t>
      </w:r>
    </w:p>
    <w:p>
      <w:pPr>
        <w:spacing w:after="0" w:line="164" w:lineRule="exact"/>
        <w:rPr>
          <w:sz w:val="20"/>
          <w:szCs w:val="20"/>
          <w:color w:val="auto"/>
        </w:rPr>
      </w:pPr>
    </w:p>
    <w:p>
      <w:pPr>
        <w:ind w:left="120" w:right="660"/>
        <w:spacing w:after="0" w:line="291"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executive officers had their employment been terminated or a change in control of the Company taken place on September 30, 2020:</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5660" w:type="dxa"/>
            <w:vAlign w:val="bottom"/>
            <w:shd w:val="clear" w:color="auto" w:fill="0071CE"/>
          </w:tcPr>
          <w:p>
            <w:pPr>
              <w:spacing w:after="0"/>
              <w:rPr>
                <w:sz w:val="15"/>
                <w:szCs w:val="15"/>
                <w:color w:val="auto"/>
              </w:rPr>
            </w:pPr>
          </w:p>
        </w:tc>
        <w:tc>
          <w:tcPr>
            <w:tcW w:w="1100" w:type="dxa"/>
            <w:vAlign w:val="bottom"/>
            <w:shd w:val="clear" w:color="auto" w:fill="0071CE"/>
          </w:tcPr>
          <w:p>
            <w:pPr>
              <w:spacing w:after="0"/>
              <w:rPr>
                <w:sz w:val="15"/>
                <w:szCs w:val="15"/>
                <w:color w:val="auto"/>
              </w:rPr>
            </w:pPr>
          </w:p>
        </w:tc>
        <w:tc>
          <w:tcPr>
            <w:tcW w:w="1040" w:type="dxa"/>
            <w:vAlign w:val="bottom"/>
            <w:shd w:val="clear" w:color="auto" w:fill="0071CE"/>
          </w:tcPr>
          <w:p>
            <w:pPr>
              <w:spacing w:after="0"/>
              <w:rPr>
                <w:sz w:val="15"/>
                <w:szCs w:val="15"/>
                <w:color w:val="auto"/>
              </w:rPr>
            </w:pPr>
          </w:p>
        </w:tc>
        <w:tc>
          <w:tcPr>
            <w:tcW w:w="12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120" w:type="dxa"/>
            <w:vAlign w:val="bottom"/>
            <w:shd w:val="clear" w:color="auto" w:fill="0071CE"/>
          </w:tcPr>
          <w:p>
            <w:pPr>
              <w:spacing w:after="0"/>
              <w:rPr>
                <w:sz w:val="15"/>
                <w:szCs w:val="15"/>
                <w:color w:val="auto"/>
              </w:rPr>
            </w:pPr>
          </w:p>
        </w:tc>
      </w:tr>
      <w:tr>
        <w:trPr>
          <w:trHeight w:val="162"/>
        </w:trPr>
        <w:tc>
          <w:tcPr>
            <w:tcW w:w="5660" w:type="dxa"/>
            <w:vAlign w:val="bottom"/>
            <w:shd w:val="clear" w:color="auto" w:fill="0071CE"/>
          </w:tcPr>
          <w:p>
            <w:pPr>
              <w:spacing w:after="0"/>
              <w:rPr>
                <w:sz w:val="14"/>
                <w:szCs w:val="14"/>
                <w:color w:val="auto"/>
              </w:rPr>
            </w:pPr>
          </w:p>
        </w:tc>
        <w:tc>
          <w:tcPr>
            <w:tcW w:w="1100" w:type="dxa"/>
            <w:vAlign w:val="bottom"/>
            <w:shd w:val="clear" w:color="auto" w:fill="0071CE"/>
          </w:tcPr>
          <w:p>
            <w:pPr>
              <w:jc w:val="right"/>
              <w:ind w:right="260"/>
              <w:spacing w:after="0"/>
              <w:rPr>
                <w:sz w:val="20"/>
                <w:szCs w:val="20"/>
                <w:color w:val="auto"/>
              </w:rPr>
            </w:pPr>
            <w:r>
              <w:rPr>
                <w:rFonts w:ascii="Arial" w:cs="Arial" w:eastAsia="Arial" w:hAnsi="Arial"/>
                <w:sz w:val="14"/>
                <w:szCs w:val="14"/>
                <w:b w:val="1"/>
                <w:bCs w:val="1"/>
                <w:color w:val="FFFFFF"/>
              </w:rPr>
              <w:t>Salary</w:t>
            </w:r>
          </w:p>
        </w:tc>
        <w:tc>
          <w:tcPr>
            <w:tcW w:w="1040" w:type="dxa"/>
            <w:vAlign w:val="bottom"/>
            <w:shd w:val="clear" w:color="auto" w:fill="0071CE"/>
          </w:tcPr>
          <w:p>
            <w:pPr>
              <w:jc w:val="right"/>
              <w:ind w:right="180"/>
              <w:spacing w:after="0"/>
              <w:rPr>
                <w:sz w:val="20"/>
                <w:szCs w:val="20"/>
                <w:color w:val="auto"/>
              </w:rPr>
            </w:pPr>
            <w:r>
              <w:rPr>
                <w:rFonts w:ascii="Arial" w:cs="Arial" w:eastAsia="Arial" w:hAnsi="Arial"/>
                <w:sz w:val="14"/>
                <w:szCs w:val="14"/>
                <w:b w:val="1"/>
                <w:bCs w:val="1"/>
                <w:color w:val="FFFFFF"/>
              </w:rPr>
              <w:t>Benefits</w:t>
            </w:r>
          </w:p>
        </w:tc>
        <w:tc>
          <w:tcPr>
            <w:tcW w:w="12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1120" w:type="dxa"/>
            <w:vAlign w:val="bottom"/>
            <w:shd w:val="clear" w:color="auto" w:fill="0071CE"/>
          </w:tcPr>
          <w:p>
            <w:pPr>
              <w:spacing w:after="0"/>
              <w:rPr>
                <w:sz w:val="14"/>
                <w:szCs w:val="14"/>
                <w:color w:val="auto"/>
              </w:rPr>
            </w:pPr>
          </w:p>
        </w:tc>
      </w:tr>
      <w:tr>
        <w:trPr>
          <w:trHeight w:val="184"/>
        </w:trPr>
        <w:tc>
          <w:tcPr>
            <w:tcW w:w="5660" w:type="dxa"/>
            <w:vAlign w:val="bottom"/>
            <w:tcBorders>
              <w:bottom w:val="single" w:sz="8" w:color="0071CE"/>
            </w:tcBorders>
            <w:shd w:val="clear" w:color="auto" w:fill="0071CE"/>
          </w:tcPr>
          <w:p>
            <w:pPr>
              <w:ind w:left="240"/>
              <w:spacing w:after="0"/>
              <w:rPr>
                <w:sz w:val="20"/>
                <w:szCs w:val="20"/>
                <w:color w:val="auto"/>
              </w:rPr>
            </w:pPr>
            <w:r>
              <w:rPr>
                <w:rFonts w:ascii="Arial" w:cs="Arial" w:eastAsia="Arial" w:hAnsi="Arial"/>
                <w:sz w:val="14"/>
                <w:szCs w:val="14"/>
                <w:b w:val="1"/>
                <w:bCs w:val="1"/>
                <w:color w:val="FFFFFF"/>
              </w:rPr>
              <w:t>Triggering Event</w:t>
            </w:r>
          </w:p>
        </w:tc>
        <w:tc>
          <w:tcPr>
            <w:tcW w:w="1100" w:type="dxa"/>
            <w:vAlign w:val="bottom"/>
            <w:tcBorders>
              <w:bottom w:val="single" w:sz="8" w:color="0071CE"/>
            </w:tcBorders>
            <w:shd w:val="clear" w:color="auto" w:fill="0071CE"/>
          </w:tcPr>
          <w:p>
            <w:pPr>
              <w:jc w:val="right"/>
              <w:ind w:right="400"/>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071CE"/>
            </w:tcBorders>
            <w:shd w:val="clear" w:color="auto" w:fill="0071CE"/>
          </w:tcPr>
          <w:p>
            <w:pPr>
              <w:jc w:val="right"/>
              <w:ind w:right="380"/>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w:t>
            </w:r>
          </w:p>
        </w:tc>
        <w:tc>
          <w:tcPr>
            <w:tcW w:w="8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w:t>
            </w:r>
          </w:p>
        </w:tc>
        <w:tc>
          <w:tcPr>
            <w:tcW w:w="1120" w:type="dxa"/>
            <w:vAlign w:val="bottom"/>
            <w:tcBorders>
              <w:bottom w:val="single" w:sz="8" w:color="0071CE"/>
            </w:tcBorders>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Total</w:t>
            </w:r>
          </w:p>
        </w:tc>
      </w:tr>
      <w:tr>
        <w:trPr>
          <w:trHeight w:val="277"/>
        </w:trPr>
        <w:tc>
          <w:tcPr>
            <w:tcW w:w="566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Termination by Employer without Cause</w:t>
            </w:r>
          </w:p>
        </w:tc>
        <w:tc>
          <w:tcPr>
            <w:tcW w:w="1100" w:type="dxa"/>
            <w:vAlign w:val="bottom"/>
            <w:tcBorders>
              <w:bottom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c>
          <w:tcPr>
            <w:tcW w:w="1240" w:type="dxa"/>
            <w:vAlign w:val="bottom"/>
            <w:tcBorders>
              <w:bottom w:val="single" w:sz="8" w:color="E5E5E5"/>
            </w:tcBorders>
            <w:shd w:val="clear" w:color="auto" w:fill="E5E5E5"/>
          </w:tcPr>
          <w:p>
            <w:pPr>
              <w:spacing w:after="0"/>
              <w:rPr>
                <w:sz w:val="24"/>
                <w:szCs w:val="24"/>
                <w:color w:val="auto"/>
              </w:rPr>
            </w:pPr>
          </w:p>
        </w:tc>
        <w:tc>
          <w:tcPr>
            <w:tcW w:w="86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shd w:val="clear" w:color="auto" w:fill="E5E5E5"/>
          </w:tcPr>
          <w:p>
            <w:pPr>
              <w:spacing w:after="0"/>
              <w:rPr>
                <w:sz w:val="24"/>
                <w:szCs w:val="24"/>
                <w:color w:val="auto"/>
              </w:rPr>
            </w:pPr>
          </w:p>
        </w:tc>
      </w:tr>
      <w:tr>
        <w:trPr>
          <w:trHeight w:val="235"/>
        </w:trPr>
        <w:tc>
          <w:tcPr>
            <w:tcW w:w="5660" w:type="dxa"/>
            <w:vAlign w:val="bottom"/>
          </w:tcPr>
          <w:p>
            <w:pPr>
              <w:ind w:left="480"/>
              <w:spacing w:after="0"/>
              <w:rPr>
                <w:sz w:val="20"/>
                <w:szCs w:val="20"/>
                <w:color w:val="auto"/>
              </w:rPr>
            </w:pPr>
            <w:r>
              <w:rPr>
                <w:rFonts w:ascii="Arial" w:cs="Arial" w:eastAsia="Arial" w:hAnsi="Arial"/>
                <w:sz w:val="16"/>
                <w:szCs w:val="16"/>
                <w:color w:val="auto"/>
              </w:rPr>
              <w:t>Christopher Anzalone (2)</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68,333</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2,048</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ind w:left="3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70,381</w:t>
            </w:r>
          </w:p>
        </w:tc>
      </w:tr>
      <w:tr>
        <w:trPr>
          <w:trHeight w:val="251"/>
        </w:trPr>
        <w:tc>
          <w:tcPr>
            <w:tcW w:w="5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Kenneth Myszkowski</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118,750</w:t>
            </w:r>
          </w:p>
        </w:tc>
        <w:tc>
          <w:tcPr>
            <w:tcW w:w="104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9,390</w:t>
            </w:r>
          </w:p>
        </w:tc>
        <w:tc>
          <w:tcPr>
            <w:tcW w:w="12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128,140</w:t>
            </w:r>
          </w:p>
        </w:tc>
      </w:tr>
      <w:tr>
        <w:trPr>
          <w:trHeight w:val="235"/>
        </w:trPr>
        <w:tc>
          <w:tcPr>
            <w:tcW w:w="5660" w:type="dxa"/>
            <w:vAlign w:val="bottom"/>
          </w:tcPr>
          <w:p>
            <w:pPr>
              <w:ind w:left="480"/>
              <w:spacing w:after="0"/>
              <w:rPr>
                <w:sz w:val="20"/>
                <w:szCs w:val="20"/>
                <w:color w:val="auto"/>
              </w:rPr>
            </w:pPr>
            <w:r>
              <w:rPr>
                <w:rFonts w:ascii="Arial" w:cs="Arial" w:eastAsia="Arial" w:hAnsi="Arial"/>
                <w:sz w:val="16"/>
                <w:szCs w:val="16"/>
                <w:color w:val="auto"/>
              </w:rPr>
              <w:t>Javier San Martin</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ind w:left="3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5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James Hassard</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r>
      <w:tr>
        <w:trPr>
          <w:trHeight w:val="235"/>
        </w:trPr>
        <w:tc>
          <w:tcPr>
            <w:tcW w:w="5660" w:type="dxa"/>
            <w:vAlign w:val="bottom"/>
          </w:tcPr>
          <w:p>
            <w:pPr>
              <w:ind w:left="480"/>
              <w:spacing w:after="0"/>
              <w:rPr>
                <w:sz w:val="20"/>
                <w:szCs w:val="20"/>
                <w:color w:val="auto"/>
              </w:rPr>
            </w:pPr>
            <w:r>
              <w:rPr>
                <w:rFonts w:ascii="Arial" w:cs="Arial" w:eastAsia="Arial" w:hAnsi="Arial"/>
                <w:sz w:val="16"/>
                <w:szCs w:val="16"/>
                <w:color w:val="auto"/>
              </w:rPr>
              <w:t>Curt Bradshaw (3)</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ind w:left="3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5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Bruce Given (4)</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r>
      <w:tr>
        <w:trPr>
          <w:trHeight w:val="235"/>
        </w:trPr>
        <w:tc>
          <w:tcPr>
            <w:tcW w:w="5660" w:type="dxa"/>
            <w:vAlign w:val="bottom"/>
          </w:tcPr>
          <w:p>
            <w:pPr>
              <w:ind w:left="220"/>
              <w:spacing w:after="0"/>
              <w:rPr>
                <w:sz w:val="20"/>
                <w:szCs w:val="20"/>
                <w:color w:val="auto"/>
              </w:rPr>
            </w:pPr>
            <w:r>
              <w:rPr>
                <w:rFonts w:ascii="Arial" w:cs="Arial" w:eastAsia="Arial" w:hAnsi="Arial"/>
                <w:sz w:val="16"/>
                <w:szCs w:val="16"/>
                <w:color w:val="auto"/>
              </w:rPr>
              <w:t>Change in Control</w:t>
            </w: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5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Christopher Anzalone</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r>
      <w:tr>
        <w:trPr>
          <w:trHeight w:val="235"/>
        </w:trPr>
        <w:tc>
          <w:tcPr>
            <w:tcW w:w="5660" w:type="dxa"/>
            <w:vAlign w:val="bottom"/>
          </w:tcPr>
          <w:p>
            <w:pPr>
              <w:ind w:left="480"/>
              <w:spacing w:after="0"/>
              <w:rPr>
                <w:sz w:val="20"/>
                <w:szCs w:val="20"/>
                <w:color w:val="auto"/>
              </w:rPr>
            </w:pPr>
            <w:r>
              <w:rPr>
                <w:rFonts w:ascii="Arial" w:cs="Arial" w:eastAsia="Arial" w:hAnsi="Arial"/>
                <w:sz w:val="16"/>
                <w:szCs w:val="16"/>
                <w:color w:val="auto"/>
              </w:rPr>
              <w:t>Kenneth Myszkowski</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118,750</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9,390</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8,019,925</w:t>
            </w:r>
          </w:p>
        </w:tc>
        <w:tc>
          <w:tcPr>
            <w:tcW w:w="860" w:type="dxa"/>
            <w:vAlign w:val="bottom"/>
          </w:tcPr>
          <w:p>
            <w:pPr>
              <w:ind w:left="3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8,148,065</w:t>
            </w:r>
          </w:p>
        </w:tc>
      </w:tr>
      <w:tr>
        <w:trPr>
          <w:trHeight w:val="251"/>
        </w:trPr>
        <w:tc>
          <w:tcPr>
            <w:tcW w:w="5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Javier San Martin</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5,382,500</w:t>
            </w:r>
          </w:p>
        </w:tc>
        <w:tc>
          <w:tcPr>
            <w:tcW w:w="860" w:type="dxa"/>
            <w:vAlign w:val="bottom"/>
            <w:shd w:val="clear" w:color="auto" w:fill="E5E5E5"/>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5,382,500</w:t>
            </w:r>
          </w:p>
        </w:tc>
      </w:tr>
      <w:tr>
        <w:trPr>
          <w:trHeight w:val="235"/>
        </w:trPr>
        <w:tc>
          <w:tcPr>
            <w:tcW w:w="5660" w:type="dxa"/>
            <w:vAlign w:val="bottom"/>
          </w:tcPr>
          <w:p>
            <w:pPr>
              <w:ind w:left="480"/>
              <w:spacing w:after="0"/>
              <w:rPr>
                <w:sz w:val="20"/>
                <w:szCs w:val="20"/>
                <w:color w:val="auto"/>
              </w:rPr>
            </w:pPr>
            <w:r>
              <w:rPr>
                <w:rFonts w:ascii="Arial" w:cs="Arial" w:eastAsia="Arial" w:hAnsi="Arial"/>
                <w:sz w:val="16"/>
                <w:szCs w:val="16"/>
                <w:color w:val="auto"/>
              </w:rPr>
              <w:t>James Hassard</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6,459,000</w:t>
            </w:r>
          </w:p>
        </w:tc>
        <w:tc>
          <w:tcPr>
            <w:tcW w:w="860" w:type="dxa"/>
            <w:vAlign w:val="bottom"/>
          </w:tcPr>
          <w:p>
            <w:pPr>
              <w:ind w:left="3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6,459,000</w:t>
            </w:r>
          </w:p>
        </w:tc>
      </w:tr>
      <w:tr>
        <w:trPr>
          <w:trHeight w:val="251"/>
        </w:trPr>
        <w:tc>
          <w:tcPr>
            <w:tcW w:w="5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Curt Bradshaw (3)</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5,382,500</w:t>
            </w:r>
          </w:p>
        </w:tc>
        <w:tc>
          <w:tcPr>
            <w:tcW w:w="860" w:type="dxa"/>
            <w:vAlign w:val="bottom"/>
            <w:shd w:val="clear" w:color="auto" w:fill="E5E5E5"/>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5,382,500</w:t>
            </w:r>
          </w:p>
        </w:tc>
      </w:tr>
      <w:tr>
        <w:trPr>
          <w:trHeight w:val="235"/>
        </w:trPr>
        <w:tc>
          <w:tcPr>
            <w:tcW w:w="5660" w:type="dxa"/>
            <w:vAlign w:val="bottom"/>
          </w:tcPr>
          <w:p>
            <w:pPr>
              <w:ind w:left="480"/>
              <w:spacing w:after="0"/>
              <w:rPr>
                <w:sz w:val="20"/>
                <w:szCs w:val="20"/>
                <w:color w:val="auto"/>
              </w:rPr>
            </w:pPr>
            <w:r>
              <w:rPr>
                <w:rFonts w:ascii="Arial" w:cs="Arial" w:eastAsia="Arial" w:hAnsi="Arial"/>
                <w:sz w:val="16"/>
                <w:szCs w:val="16"/>
                <w:color w:val="auto"/>
              </w:rPr>
              <w:t>Bruce Given (4)</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21,314,700</w:t>
            </w:r>
          </w:p>
        </w:tc>
        <w:tc>
          <w:tcPr>
            <w:tcW w:w="860" w:type="dxa"/>
            <w:vAlign w:val="bottom"/>
          </w:tcPr>
          <w:p>
            <w:pPr>
              <w:ind w:left="3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21,314,700</w:t>
            </w:r>
          </w:p>
        </w:tc>
      </w:tr>
      <w:tr>
        <w:trPr>
          <w:trHeight w:val="251"/>
        </w:trPr>
        <w:tc>
          <w:tcPr>
            <w:tcW w:w="56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Involuntary Termination Following a Change in Control</w:t>
            </w:r>
          </w:p>
        </w:tc>
        <w:tc>
          <w:tcPr>
            <w:tcW w:w="110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124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r>
      <w:tr>
        <w:trPr>
          <w:trHeight w:val="237"/>
        </w:trPr>
        <w:tc>
          <w:tcPr>
            <w:tcW w:w="5660" w:type="dxa"/>
            <w:vAlign w:val="bottom"/>
            <w:tcBorders>
              <w:bottom w:val="single" w:sz="8" w:color="0071CE"/>
            </w:tcBorders>
          </w:tcPr>
          <w:p>
            <w:pPr>
              <w:ind w:left="480"/>
              <w:spacing w:after="0"/>
              <w:rPr>
                <w:sz w:val="20"/>
                <w:szCs w:val="20"/>
                <w:color w:val="auto"/>
              </w:rPr>
            </w:pPr>
            <w:r>
              <w:rPr>
                <w:rFonts w:ascii="Arial" w:cs="Arial" w:eastAsia="Arial" w:hAnsi="Arial"/>
                <w:sz w:val="16"/>
                <w:szCs w:val="16"/>
                <w:color w:val="auto"/>
              </w:rPr>
              <w:t>Christopher Anzalone</w:t>
            </w:r>
          </w:p>
        </w:tc>
        <w:tc>
          <w:tcPr>
            <w:tcW w:w="1100" w:type="dxa"/>
            <w:vAlign w:val="bottom"/>
            <w:tcBorders>
              <w:bottom w:val="single" w:sz="8" w:color="0071CE"/>
            </w:tcBorders>
          </w:tcPr>
          <w:p>
            <w:pPr>
              <w:jc w:val="right"/>
              <w:ind w:right="140"/>
              <w:spacing w:after="0"/>
              <w:rPr>
                <w:sz w:val="20"/>
                <w:szCs w:val="20"/>
                <w:color w:val="auto"/>
              </w:rPr>
            </w:pPr>
            <w:r>
              <w:rPr>
                <w:rFonts w:ascii="Arial" w:cs="Arial" w:eastAsia="Arial" w:hAnsi="Arial"/>
                <w:sz w:val="16"/>
                <w:szCs w:val="16"/>
                <w:color w:val="auto"/>
              </w:rPr>
              <w:t>68,333</w:t>
            </w:r>
          </w:p>
        </w:tc>
        <w:tc>
          <w:tcPr>
            <w:tcW w:w="1040" w:type="dxa"/>
            <w:vAlign w:val="bottom"/>
            <w:tcBorders>
              <w:bottom w:val="single" w:sz="8" w:color="0071CE"/>
            </w:tcBorders>
          </w:tcPr>
          <w:p>
            <w:pPr>
              <w:jc w:val="right"/>
              <w:ind w:right="240"/>
              <w:spacing w:after="0"/>
              <w:rPr>
                <w:sz w:val="20"/>
                <w:szCs w:val="20"/>
                <w:color w:val="auto"/>
              </w:rPr>
            </w:pPr>
            <w:r>
              <w:rPr>
                <w:rFonts w:ascii="Arial" w:cs="Arial" w:eastAsia="Arial" w:hAnsi="Arial"/>
                <w:sz w:val="16"/>
                <w:szCs w:val="16"/>
                <w:color w:val="auto"/>
              </w:rPr>
              <w:t>2,048</w:t>
            </w:r>
          </w:p>
        </w:tc>
        <w:tc>
          <w:tcPr>
            <w:tcW w:w="1240" w:type="dxa"/>
            <w:vAlign w:val="bottom"/>
            <w:tcBorders>
              <w:bottom w:val="single" w:sz="8" w:color="0071CE"/>
            </w:tcBorders>
          </w:tcPr>
          <w:p>
            <w:pPr>
              <w:jc w:val="right"/>
              <w:ind w:right="61"/>
              <w:spacing w:after="0"/>
              <w:rPr>
                <w:sz w:val="20"/>
                <w:szCs w:val="20"/>
                <w:color w:val="auto"/>
              </w:rPr>
            </w:pPr>
            <w:r>
              <w:rPr>
                <w:rFonts w:ascii="Arial" w:cs="Arial" w:eastAsia="Arial" w:hAnsi="Arial"/>
                <w:sz w:val="16"/>
                <w:szCs w:val="16"/>
                <w:color w:val="auto"/>
              </w:rPr>
              <w:t>47,366,000</w:t>
            </w:r>
          </w:p>
        </w:tc>
        <w:tc>
          <w:tcPr>
            <w:tcW w:w="860" w:type="dxa"/>
            <w:vAlign w:val="bottom"/>
            <w:tcBorders>
              <w:bottom w:val="single" w:sz="8" w:color="0071CE"/>
            </w:tcBorders>
          </w:tcPr>
          <w:p>
            <w:pPr>
              <w:ind w:left="3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071CE"/>
            </w:tcBorders>
          </w:tcPr>
          <w:p>
            <w:pPr>
              <w:jc w:val="right"/>
              <w:ind w:right="20"/>
              <w:spacing w:after="0"/>
              <w:rPr>
                <w:sz w:val="20"/>
                <w:szCs w:val="20"/>
                <w:color w:val="auto"/>
              </w:rPr>
            </w:pPr>
            <w:r>
              <w:rPr>
                <w:rFonts w:ascii="Arial" w:cs="Arial" w:eastAsia="Arial" w:hAnsi="Arial"/>
                <w:sz w:val="16"/>
                <w:szCs w:val="16"/>
                <w:color w:val="auto"/>
              </w:rPr>
              <w:t>47,386,381</w:t>
            </w:r>
          </w:p>
        </w:tc>
      </w:tr>
    </w:tbl>
    <w:p>
      <w:pPr>
        <w:spacing w:after="0" w:line="108"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shares multiplied by the Company’s closing stock price at September 30, 2020 of $43.06.</w:t>
      </w:r>
    </w:p>
    <w:p>
      <w:pPr>
        <w:spacing w:after="0" w:line="82" w:lineRule="exact"/>
        <w:rPr>
          <w:rFonts w:ascii="Arial" w:cs="Arial" w:eastAsia="Arial" w:hAnsi="Arial"/>
          <w:sz w:val="14"/>
          <w:szCs w:val="14"/>
          <w:color w:val="auto"/>
        </w:rPr>
      </w:pPr>
    </w:p>
    <w:p>
      <w:pPr>
        <w:ind w:left="540" w:right="400" w:hanging="424"/>
        <w:spacing w:after="0" w:line="29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Dr. Anzalone’s employment contract also provides for payment of the values set forth above upon his resignation for “good reason” as defined in his employment agreement.</w:t>
      </w:r>
    </w:p>
    <w:p>
      <w:pPr>
        <w:spacing w:after="0" w:line="14" w:lineRule="exact"/>
        <w:rPr>
          <w:rFonts w:ascii="Arial" w:cs="Arial" w:eastAsia="Arial" w:hAnsi="Arial"/>
          <w:sz w:val="14"/>
          <w:szCs w:val="14"/>
          <w:color w:val="auto"/>
        </w:rPr>
      </w:pP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Dr. Bradshaw’s employment with the Company terminated in November 2020.</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Dr. Given’s employment with the Company terminated in May 2020. Dr. Given continues to provide consulting services to the Company.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Pursuant to Item 402(u) of Regulation S-K, we are required to calculate and disclose the median annual compensation of all of our employees (excluding our CEO, Dr. Anzalone), the annual compensation of Dr. Anzalone, and the ratio of these two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62230</wp:posOffset>
            </wp:positionV>
            <wp:extent cx="98615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44</w:t>
      </w:r>
    </w:p>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500"/>
        <w:spacing w:after="0"/>
        <w:tabs>
          <w:tab w:leader="none" w:pos="940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7"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Based on the fact that we had a significant number of new hires during fiscal 2020, we did not elect to use the same median employee as the prior year. Our median employee was identified using the entire population of our employees as of September 30, 2020 based on a consistently applied compensation measure, or CACM, that reasonably reflects the annual compensation of employees. The CACM selected by us for our disclosure included annual base salary, the cash bonus amount for fiscal 2020, the grant-date fair value for stock-based awards (calculated in accordance with requirements for the Summary Compensation Table), and welfare and health benefits for fiscal 2020.</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2020 compensation for this selected employee in the same manner we determine the annual total compensation of our NEOs for purposes of the Summary Compensation Table. The median employee total compensation is $295,000. Dr. Anzalone’s 2020 compensation as disclosed in the Summary Compensation Table is $14,294,517. As a result, our CEO to median employee pay ratio for 2020 is 48:1. This represents an increase from the 2019 ratio of 12:1 primarily due to the PRSU awards granted to Dr. Anzalone that were deemed probable of achievement at the grant date, in accordance with ASC 718.</w:t>
      </w:r>
    </w:p>
    <w:p>
      <w:pPr>
        <w:spacing w:after="0" w:line="176"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77470</wp:posOffset>
            </wp:positionV>
            <wp:extent cx="98615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1"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45</w:t>
      </w:r>
    </w:p>
    <w:p>
      <w:pPr>
        <w:sectPr>
          <w:pgSz w:w="11900" w:h="16838" w:orient="portrait"/>
          <w:cols w:equalWidth="0" w:num="1">
            <w:col w:w="11140"/>
          </w:cols>
          <w:pgMar w:left="32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Proposal Four — Ratification of Appointment of Independent Auditors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0071CE"/>
        </w:rPr>
        <w:t>Proposal Four — Ratification of Appointment of Independent Auditors</w:t>
      </w:r>
    </w:p>
    <w:p>
      <w:pPr>
        <w:spacing w:after="0" w:line="356" w:lineRule="exact"/>
        <w:rPr>
          <w:sz w:val="20"/>
          <w:szCs w:val="20"/>
          <w:color w:val="auto"/>
        </w:rPr>
      </w:pPr>
    </w:p>
    <w:p>
      <w:pPr>
        <w:ind w:left="120" w:right="540"/>
        <w:spacing w:after="0" w:line="294"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2021, and that selection is now being submitted to the stockholders.</w:t>
      </w:r>
    </w:p>
    <w:p>
      <w:pPr>
        <w:spacing w:after="0" w:line="145" w:lineRule="exact"/>
        <w:rPr>
          <w:sz w:val="20"/>
          <w:szCs w:val="20"/>
          <w:color w:val="auto"/>
        </w:rPr>
      </w:pPr>
    </w:p>
    <w:p>
      <w:pPr>
        <w:ind w:left="120" w:right="660"/>
        <w:spacing w:after="0" w:line="291" w:lineRule="auto"/>
        <w:rPr>
          <w:sz w:val="20"/>
          <w:szCs w:val="20"/>
          <w:color w:val="auto"/>
        </w:rPr>
      </w:pPr>
      <w:r>
        <w:rPr>
          <w:rFonts w:ascii="Arial" w:cs="Arial" w:eastAsia="Arial" w:hAnsi="Arial"/>
          <w:sz w:val="16"/>
          <w:szCs w:val="16"/>
          <w:color w:val="auto"/>
        </w:rPr>
        <w:t>A representative of RS&amp;J is expected to be available at the Annual Meeting to respond to appropriate stockholder questions or make any other statements such representative deems appropriate.</w:t>
      </w:r>
    </w:p>
    <w:p>
      <w:pPr>
        <w:spacing w:after="0" w:line="148"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1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order to be ratified, Proposal Four must be approved by a majority of Required Vote, assuming a quorum is present. For this purpose, abstentions will be counted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122555</wp:posOffset>
            </wp:positionV>
            <wp:extent cx="3505835" cy="540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05835" cy="540385"/>
                    </a:xfrm>
                    <a:prstGeom prst="rect">
                      <a:avLst/>
                    </a:prstGeom>
                    <a:noFill/>
                  </pic:spPr>
                </pic:pic>
              </a:graphicData>
            </a:graphic>
          </wp:anchor>
        </w:drawing>
      </w:r>
    </w:p>
    <w:p>
      <w:pPr>
        <w:spacing w:after="0" w:line="396" w:lineRule="exact"/>
        <w:rPr>
          <w:sz w:val="20"/>
          <w:szCs w:val="20"/>
          <w:color w:val="auto"/>
        </w:rPr>
      </w:pPr>
    </w:p>
    <w:p>
      <w:pPr>
        <w:ind w:left="3860" w:right="3040"/>
        <w:spacing w:after="0" w:line="292"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163830</wp:posOffset>
            </wp:positionV>
            <wp:extent cx="98615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46</w:t>
      </w:r>
    </w:p>
    <w:p>
      <w:pPr>
        <w:sectPr>
          <w:pgSz w:w="11900" w:h="16838" w:orient="portrait"/>
          <w:cols w:equalWidth="0" w:num="1">
            <w:col w:w="10980"/>
          </w:cols>
          <w:pgMar w:left="320" w:top="455" w:right="5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Audit Fees</w:t>
      </w:r>
    </w:p>
    <w:p>
      <w:pPr>
        <w:spacing w:after="0" w:line="358" w:lineRule="exact"/>
        <w:rPr>
          <w:sz w:val="20"/>
          <w:szCs w:val="20"/>
          <w:color w:val="auto"/>
        </w:rPr>
      </w:pPr>
    </w:p>
    <w:p>
      <w:pPr>
        <w:ind w:left="120" w:right="100"/>
        <w:spacing w:after="0" w:line="257"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2020 and 2019 were pre-approved by the audit committee.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2020 and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7003415" cy="5657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03415" cy="56578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Audit fees (1)</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Audit-related fees (2)</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Fees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other fees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Year Ended September 30,</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2020</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FFFFFF"/>
        </w:rPr>
        <w:t>2019</w:t>
      </w:r>
    </w:p>
    <w:p>
      <w:pPr>
        <w:spacing w:after="0" w:line="5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$226,000</w:t>
      </w:r>
      <w:r>
        <w:rPr>
          <w:sz w:val="20"/>
          <w:szCs w:val="20"/>
          <w:color w:val="auto"/>
        </w:rPr>
        <w:tab/>
      </w:r>
      <w:r>
        <w:rPr>
          <w:rFonts w:ascii="Arial" w:cs="Arial" w:eastAsia="Arial" w:hAnsi="Arial"/>
          <w:sz w:val="18"/>
          <w:szCs w:val="18"/>
          <w:color w:val="auto"/>
        </w:rPr>
        <w:t>$231,325</w:t>
      </w:r>
    </w:p>
    <w:p>
      <w:pPr>
        <w:spacing w:after="0" w:line="117"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8"/>
          <w:szCs w:val="18"/>
          <w:color w:val="auto"/>
        </w:rPr>
        <w:t>163,000</w:t>
      </w:r>
      <w:r>
        <w:rPr>
          <w:sz w:val="20"/>
          <w:szCs w:val="20"/>
          <w:color w:val="auto"/>
        </w:rPr>
        <w:tab/>
      </w:r>
      <w:r>
        <w:rPr>
          <w:rFonts w:ascii="Arial" w:cs="Arial" w:eastAsia="Arial" w:hAnsi="Arial"/>
          <w:sz w:val="18"/>
          <w:szCs w:val="18"/>
          <w:color w:val="auto"/>
        </w:rPr>
        <w:t>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-5704205</wp:posOffset>
            </wp:positionH>
            <wp:positionV relativeFrom="paragraph">
              <wp:posOffset>54610</wp:posOffset>
            </wp:positionV>
            <wp:extent cx="699516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97"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-5704205</wp:posOffset>
            </wp:positionH>
            <wp:positionV relativeFrom="paragraph">
              <wp:posOffset>54610</wp:posOffset>
            </wp:positionV>
            <wp:extent cx="699516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$389,000</w:t>
      </w:r>
      <w:r>
        <w:rPr>
          <w:sz w:val="20"/>
          <w:szCs w:val="20"/>
          <w:color w:val="auto"/>
        </w:rPr>
        <w:tab/>
      </w:r>
      <w:r>
        <w:rPr>
          <w:rFonts w:ascii="Arial" w:cs="Arial" w:eastAsia="Arial" w:hAnsi="Arial"/>
          <w:sz w:val="18"/>
          <w:szCs w:val="18"/>
          <w:color w:val="auto"/>
        </w:rPr>
        <w:t>$248,325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-5704205</wp:posOffset>
            </wp:positionH>
            <wp:positionV relativeFrom="paragraph">
              <wp:posOffset>11430</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8380" w:space="720"/>
            <w:col w:w="2040"/>
          </w:cols>
          <w:pgMar w:left="320" w:top="455" w:right="439" w:bottom="1440" w:gutter="0" w:footer="0" w:header="0"/>
          <w:type w:val="continuous"/>
        </w:sectPr>
      </w:pPr>
    </w:p>
    <w:p>
      <w:pPr>
        <w:ind w:left="540" w:hanging="424"/>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Fees invoiced by RS&amp;J include year-end audit and periodic reviews of Forms 10-Q and 10-K.</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Fees invoiced by RS&amp;J related to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103505</wp:posOffset>
            </wp:positionV>
            <wp:extent cx="98615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7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0071CE"/>
        </w:rPr>
        <w:t>47</w:t>
      </w:r>
    </w:p>
    <w:p>
      <w:pPr>
        <w:sectPr>
          <w:pgSz w:w="11900" w:h="16838" w:orient="portrait"/>
          <w:cols w:equalWidth="0" w:num="1">
            <w:col w:w="11140"/>
          </w:cols>
          <w:pgMar w:left="320" w:top="455" w:right="4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Report of the Audit Committee</w:t>
      </w:r>
    </w:p>
    <w:p>
      <w:pPr>
        <w:spacing w:after="0" w:line="358"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2020, which include the consolidated balance sheets of the Company as of September 30, 2020 and September 30, 2019, and the related consolidated statements of operations, stockholders’ equity and cash flows for the fiscal years ended September 30, 2020, September 30, 2019 and September 30, 2018, and the notes thereto.</w:t>
      </w:r>
    </w:p>
    <w:p>
      <w:pPr>
        <w:spacing w:after="0" w:line="162" w:lineRule="exact"/>
        <w:rPr>
          <w:sz w:val="20"/>
          <w:szCs w:val="20"/>
          <w:color w:val="auto"/>
        </w:rPr>
      </w:pPr>
    </w:p>
    <w:p>
      <w:pPr>
        <w:ind w:left="120"/>
        <w:spacing w:after="0" w:line="265"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2020, the Audit Committee of the Board was comprised of three directors and operates under a written charter adopted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Board. The members of the Audit Committee were William Waddill, Marianne De Backer and Michael S. Perry. All members of the Audit Committee were “independent,” as defined in Rule 10A-3 under the Exchange Act and Rule 5605(c) of the Nasdaq Marketplace Rules, and are financially literate.</w:t>
      </w:r>
    </w:p>
    <w:p>
      <w:pPr>
        <w:spacing w:after="0" w:line="363" w:lineRule="exact"/>
        <w:rPr>
          <w:sz w:val="20"/>
          <w:szCs w:val="20"/>
          <w:color w:val="auto"/>
        </w:rPr>
      </w:pPr>
    </w:p>
    <w:p>
      <w:pPr>
        <w:ind w:left="120" w:right="100"/>
        <w:spacing w:after="0" w:line="262"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69"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November 20, 2020, the Audit Committee consisted of William</w:t>
      </w:r>
      <w:r>
        <w:rPr>
          <w:rFonts w:ascii="Arial" w:cs="Arial" w:eastAsia="Arial" w:hAnsi="Arial"/>
          <w:sz w:val="16"/>
          <w:szCs w:val="16"/>
          <w:b w:val="1"/>
          <w:bCs w:val="1"/>
          <w:color w:val="auto"/>
        </w:rPr>
        <w:t xml:space="preserve"> </w:t>
      </w:r>
      <w:r>
        <w:rPr>
          <w:rFonts w:ascii="Arial" w:cs="Arial" w:eastAsia="Arial" w:hAnsi="Arial"/>
          <w:sz w:val="16"/>
          <w:szCs w:val="16"/>
          <w:color w:val="auto"/>
        </w:rPr>
        <w:t>Waddill, Marianne De Backer and Michael S. Perry.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76" w:lineRule="exact"/>
        <w:rPr>
          <w:sz w:val="20"/>
          <w:szCs w:val="20"/>
          <w:color w:val="auto"/>
        </w:rPr>
      </w:pPr>
    </w:p>
    <w:p>
      <w:pPr>
        <w:jc w:val="both"/>
        <w:ind w:left="120" w:right="80"/>
        <w:spacing w:after="0" w:line="262"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RS&amp;J,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2020, as filed with the SEC.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William Waddill, Chairman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Marianne De Backer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96520</wp:posOffset>
            </wp:positionV>
            <wp:extent cx="98615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48</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060"/>
        <w:spacing w:after="0"/>
        <w:tabs>
          <w:tab w:leader="none" w:pos="696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Voting Securities of Principal Stockholders and Management</w:t>
      </w:r>
    </w:p>
    <w:p>
      <w:pPr>
        <w:spacing w:after="0" w:line="358" w:lineRule="exact"/>
        <w:rPr>
          <w:sz w:val="20"/>
          <w:szCs w:val="20"/>
          <w:color w:val="auto"/>
        </w:rPr>
      </w:pPr>
    </w:p>
    <w:p>
      <w:pPr>
        <w:ind w:left="120" w:right="200"/>
        <w:spacing w:after="0" w:line="255"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14, 2021, by (i) each of the NEOs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177 E. Colorado Blvd, Suite 700, Pasadena, CA, 91105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3860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227"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FFFFFF"/>
        </w:rPr>
        <w:t>Number and Percentage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-100330</wp:posOffset>
            </wp:positionV>
            <wp:extent cx="2322830" cy="368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22830" cy="368300"/>
                    </a:xfrm>
                    <a:prstGeom prst="rect">
                      <a:avLst/>
                    </a:prstGeom>
                    <a:noFill/>
                  </pic:spPr>
                </pic:pic>
              </a:graphicData>
            </a:graphic>
          </wp:anchor>
        </w:drawing>
      </w:r>
    </w:p>
    <w:p>
      <w:pPr>
        <w:spacing w:after="0" w:line="1"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FFFFFF"/>
        </w:rPr>
        <w:t>Beneficially Owned (1)</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460" w:type="dxa"/>
            <w:vAlign w:val="bottom"/>
            <w:shd w:val="clear" w:color="auto" w:fill="0071CE"/>
          </w:tcPr>
          <w:p>
            <w:pPr>
              <w:jc w:val="right"/>
              <w:ind w:right="660"/>
              <w:spacing w:after="0"/>
              <w:rPr>
                <w:sz w:val="20"/>
                <w:szCs w:val="20"/>
                <w:color w:val="auto"/>
              </w:rPr>
            </w:pPr>
            <w:r>
              <w:rPr>
                <w:rFonts w:ascii="Arial" w:cs="Arial" w:eastAsia="Arial" w:hAnsi="Arial"/>
                <w:sz w:val="14"/>
                <w:szCs w:val="14"/>
                <w:b w:val="1"/>
                <w:bCs w:val="1"/>
                <w:color w:val="FFFFFF"/>
              </w:rPr>
              <w:t>Shares</w:t>
            </w:r>
          </w:p>
        </w:tc>
        <w:tc>
          <w:tcPr>
            <w:tcW w:w="1520" w:type="dxa"/>
            <w:vAlign w:val="bottom"/>
            <w:shd w:val="clear" w:color="auto" w:fill="0071CE"/>
          </w:tcPr>
          <w:p>
            <w:pPr>
              <w:ind w:left="500"/>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237"/>
        </w:trPr>
        <w:tc>
          <w:tcPr>
            <w:tcW w:w="60" w:type="dxa"/>
            <w:vAlign w:val="bottom"/>
            <w:tcBorders>
              <w:bottom w:val="single" w:sz="8" w:color="E5E5E5"/>
            </w:tcBorders>
            <w:shd w:val="clear" w:color="auto" w:fill="E5E5E5"/>
          </w:tcPr>
          <w:p>
            <w:pPr>
              <w:spacing w:after="0"/>
              <w:rPr>
                <w:sz w:val="20"/>
                <w:szCs w:val="20"/>
                <w:color w:val="auto"/>
              </w:rPr>
            </w:pPr>
          </w:p>
        </w:tc>
        <w:tc>
          <w:tcPr>
            <w:tcW w:w="1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5% Beneficial Owners</w:t>
            </w:r>
          </w:p>
        </w:tc>
        <w:tc>
          <w:tcPr>
            <w:tcW w:w="6280" w:type="dxa"/>
            <w:vAlign w:val="bottom"/>
            <w:tcBorders>
              <w:bottom w:val="single" w:sz="8" w:color="E5E5E5"/>
            </w:tcBorders>
            <w:gridSpan w:val="2"/>
            <w:shd w:val="clear" w:color="auto" w:fill="E5E5E5"/>
          </w:tcPr>
          <w:p>
            <w:pPr>
              <w:spacing w:after="0"/>
              <w:rPr>
                <w:sz w:val="20"/>
                <w:szCs w:val="20"/>
                <w:color w:val="auto"/>
              </w:rPr>
            </w:pPr>
          </w:p>
        </w:tc>
        <w:tc>
          <w:tcPr>
            <w:tcW w:w="1460" w:type="dxa"/>
            <w:vAlign w:val="bottom"/>
            <w:tcBorders>
              <w:bottom w:val="single" w:sz="8" w:color="E5E5E5"/>
            </w:tcBorders>
            <w:shd w:val="clear" w:color="auto" w:fill="E5E5E5"/>
          </w:tcPr>
          <w:p>
            <w:pPr>
              <w:spacing w:after="0"/>
              <w:rPr>
                <w:sz w:val="20"/>
                <w:szCs w:val="20"/>
                <w:color w:val="auto"/>
              </w:rPr>
            </w:pPr>
          </w:p>
        </w:tc>
        <w:tc>
          <w:tcPr>
            <w:tcW w:w="1520" w:type="dxa"/>
            <w:vAlign w:val="bottom"/>
            <w:tcBorders>
              <w:bottom w:val="single" w:sz="8" w:color="E5E5E5"/>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7980" w:type="dxa"/>
            <w:vAlign w:val="bottom"/>
            <w:gridSpan w:val="3"/>
          </w:tcPr>
          <w:p>
            <w:pPr>
              <w:ind w:left="20"/>
              <w:spacing w:after="0"/>
              <w:rPr>
                <w:sz w:val="20"/>
                <w:szCs w:val="20"/>
                <w:color w:val="auto"/>
              </w:rPr>
            </w:pPr>
            <w:r>
              <w:rPr>
                <w:rFonts w:ascii="Arial" w:cs="Arial" w:eastAsia="Arial" w:hAnsi="Arial"/>
                <w:sz w:val="16"/>
                <w:szCs w:val="16"/>
                <w:color w:val="auto"/>
              </w:rPr>
              <w:t>BlackRock Inc (2)</w:t>
            </w:r>
          </w:p>
        </w:tc>
        <w:tc>
          <w:tcPr>
            <w:tcW w:w="1460" w:type="dxa"/>
            <w:vAlign w:val="bottom"/>
            <w:vMerge w:val="restart"/>
          </w:tcPr>
          <w:p>
            <w:pPr>
              <w:jc w:val="right"/>
              <w:ind w:right="400"/>
              <w:spacing w:after="0"/>
              <w:rPr>
                <w:sz w:val="20"/>
                <w:szCs w:val="20"/>
                <w:color w:val="auto"/>
              </w:rPr>
            </w:pPr>
            <w:r>
              <w:rPr>
                <w:rFonts w:ascii="Arial" w:cs="Arial" w:eastAsia="Arial" w:hAnsi="Arial"/>
                <w:sz w:val="16"/>
                <w:szCs w:val="16"/>
                <w:color w:val="auto"/>
              </w:rPr>
              <w:t>12,360,958</w:t>
            </w:r>
          </w:p>
        </w:tc>
        <w:tc>
          <w:tcPr>
            <w:tcW w:w="1520" w:type="dxa"/>
            <w:vAlign w:val="bottom"/>
            <w:vMerge w:val="restart"/>
          </w:tcPr>
          <w:p>
            <w:pPr>
              <w:jc w:val="center"/>
              <w:ind w:left="160"/>
              <w:spacing w:after="0"/>
              <w:rPr>
                <w:sz w:val="20"/>
                <w:szCs w:val="20"/>
                <w:color w:val="auto"/>
              </w:rPr>
            </w:pPr>
            <w:r>
              <w:rPr>
                <w:rFonts w:ascii="Arial" w:cs="Arial" w:eastAsia="Arial" w:hAnsi="Arial"/>
                <w:sz w:val="16"/>
                <w:szCs w:val="16"/>
                <w:color w:val="auto"/>
                <w:w w:val="96"/>
              </w:rPr>
              <w:t>11.9%</w:t>
            </w:r>
          </w:p>
        </w:tc>
        <w:tc>
          <w:tcPr>
            <w:tcW w:w="0" w:type="dxa"/>
            <w:vAlign w:val="bottom"/>
          </w:tcPr>
          <w:p>
            <w:pPr>
              <w:spacing w:after="0"/>
              <w:rPr>
                <w:sz w:val="1"/>
                <w:szCs w:val="1"/>
                <w:color w:val="auto"/>
              </w:rPr>
            </w:pPr>
          </w:p>
        </w:tc>
      </w:tr>
      <w:tr>
        <w:trPr>
          <w:trHeight w:val="97"/>
        </w:trPr>
        <w:tc>
          <w:tcPr>
            <w:tcW w:w="8040" w:type="dxa"/>
            <w:vAlign w:val="bottom"/>
            <w:gridSpan w:val="4"/>
            <w:vMerge w:val="restart"/>
          </w:tcPr>
          <w:p>
            <w:pPr>
              <w:ind w:left="60"/>
              <w:spacing w:after="0"/>
              <w:rPr>
                <w:sz w:val="20"/>
                <w:szCs w:val="20"/>
                <w:color w:val="auto"/>
              </w:rPr>
            </w:pPr>
            <w:r>
              <w:rPr>
                <w:rFonts w:ascii="Arial" w:cs="Arial" w:eastAsia="Arial" w:hAnsi="Arial"/>
                <w:sz w:val="16"/>
                <w:szCs w:val="16"/>
                <w:color w:val="auto"/>
              </w:rPr>
              <w:t>55 East 52nd Street, New York, NY 10055</w:t>
            </w:r>
          </w:p>
        </w:tc>
        <w:tc>
          <w:tcPr>
            <w:tcW w:w="146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040" w:type="dxa"/>
            <w:vAlign w:val="bottom"/>
            <w:gridSpan w:val="4"/>
            <w:vMerge w:val="continue"/>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E5E5E5"/>
          </w:tcPr>
          <w:p>
            <w:pPr>
              <w:spacing w:after="0"/>
              <w:rPr>
                <w:sz w:val="19"/>
                <w:szCs w:val="19"/>
                <w:color w:val="auto"/>
              </w:rPr>
            </w:pPr>
          </w:p>
        </w:tc>
        <w:tc>
          <w:tcPr>
            <w:tcW w:w="7980" w:type="dxa"/>
            <w:vAlign w:val="bottom"/>
            <w:gridSpan w:val="3"/>
            <w:shd w:val="clear" w:color="auto" w:fill="E5E5E5"/>
          </w:tcPr>
          <w:p>
            <w:pPr>
              <w:ind w:left="20"/>
              <w:spacing w:after="0"/>
              <w:rPr>
                <w:sz w:val="20"/>
                <w:szCs w:val="20"/>
                <w:color w:val="auto"/>
              </w:rPr>
            </w:pPr>
            <w:r>
              <w:rPr>
                <w:rFonts w:ascii="Arial" w:cs="Arial" w:eastAsia="Arial" w:hAnsi="Arial"/>
                <w:sz w:val="16"/>
                <w:szCs w:val="16"/>
                <w:color w:val="auto"/>
              </w:rPr>
              <w:t>The Vanguard Group (3)</w:t>
            </w:r>
          </w:p>
        </w:tc>
        <w:tc>
          <w:tcPr>
            <w:tcW w:w="1460" w:type="dxa"/>
            <w:vAlign w:val="bottom"/>
            <w:vMerge w:val="restart"/>
            <w:shd w:val="clear" w:color="auto" w:fill="E5E5E5"/>
          </w:tcPr>
          <w:p>
            <w:pPr>
              <w:jc w:val="right"/>
              <w:ind w:right="400"/>
              <w:spacing w:after="0"/>
              <w:rPr>
                <w:sz w:val="20"/>
                <w:szCs w:val="20"/>
                <w:color w:val="auto"/>
              </w:rPr>
            </w:pPr>
            <w:r>
              <w:rPr>
                <w:rFonts w:ascii="Arial" w:cs="Arial" w:eastAsia="Arial" w:hAnsi="Arial"/>
                <w:sz w:val="16"/>
                <w:szCs w:val="16"/>
                <w:color w:val="auto"/>
              </w:rPr>
              <w:t>9,594,203</w:t>
            </w:r>
          </w:p>
        </w:tc>
        <w:tc>
          <w:tcPr>
            <w:tcW w:w="1520" w:type="dxa"/>
            <w:vAlign w:val="bottom"/>
            <w:vMerge w:val="restart"/>
            <w:shd w:val="clear" w:color="auto" w:fill="E5E5E5"/>
          </w:tcPr>
          <w:p>
            <w:pPr>
              <w:jc w:val="center"/>
              <w:ind w:left="160"/>
              <w:spacing w:after="0"/>
              <w:rPr>
                <w:sz w:val="20"/>
                <w:szCs w:val="20"/>
                <w:color w:val="auto"/>
              </w:rPr>
            </w:pPr>
            <w:r>
              <w:rPr>
                <w:rFonts w:ascii="Arial" w:cs="Arial" w:eastAsia="Arial" w:hAnsi="Arial"/>
                <w:sz w:val="16"/>
                <w:szCs w:val="16"/>
                <w:color w:val="auto"/>
                <w:w w:val="98"/>
              </w:rPr>
              <w:t>9.2%</w:t>
            </w:r>
          </w:p>
        </w:tc>
        <w:tc>
          <w:tcPr>
            <w:tcW w:w="0" w:type="dxa"/>
            <w:vAlign w:val="bottom"/>
          </w:tcPr>
          <w:p>
            <w:pPr>
              <w:spacing w:after="0"/>
              <w:rPr>
                <w:sz w:val="1"/>
                <w:szCs w:val="1"/>
                <w:color w:val="auto"/>
              </w:rPr>
            </w:pPr>
          </w:p>
        </w:tc>
      </w:tr>
      <w:tr>
        <w:trPr>
          <w:trHeight w:val="97"/>
        </w:trPr>
        <w:tc>
          <w:tcPr>
            <w:tcW w:w="8040" w:type="dxa"/>
            <w:vAlign w:val="bottom"/>
            <w:gridSpan w:val="4"/>
            <w:vMerge w:val="restart"/>
            <w:shd w:val="clear" w:color="auto" w:fill="E5E5E5"/>
          </w:tcPr>
          <w:p>
            <w:pPr>
              <w:ind w:left="60"/>
              <w:spacing w:after="0"/>
              <w:rPr>
                <w:sz w:val="20"/>
                <w:szCs w:val="20"/>
                <w:color w:val="auto"/>
              </w:rPr>
            </w:pPr>
            <w:r>
              <w:rPr>
                <w:rFonts w:ascii="Arial" w:cs="Arial" w:eastAsia="Arial" w:hAnsi="Arial"/>
                <w:sz w:val="16"/>
                <w:szCs w:val="16"/>
                <w:color w:val="auto"/>
              </w:rPr>
              <w:t>100 Vanguard Blvd., Malvern, PA 19355</w:t>
            </w:r>
          </w:p>
        </w:tc>
        <w:tc>
          <w:tcPr>
            <w:tcW w:w="1460" w:type="dxa"/>
            <w:vAlign w:val="bottom"/>
            <w:vMerge w:val="continue"/>
            <w:shd w:val="clear" w:color="auto" w:fill="E5E5E5"/>
          </w:tcPr>
          <w:p>
            <w:pPr>
              <w:spacing w:after="0"/>
              <w:rPr>
                <w:sz w:val="8"/>
                <w:szCs w:val="8"/>
                <w:color w:val="auto"/>
              </w:rPr>
            </w:pPr>
          </w:p>
        </w:tc>
        <w:tc>
          <w:tcPr>
            <w:tcW w:w="1520" w:type="dxa"/>
            <w:vAlign w:val="bottom"/>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8040" w:type="dxa"/>
            <w:vAlign w:val="bottom"/>
            <w:gridSpan w:val="4"/>
            <w:vMerge w:val="continue"/>
            <w:shd w:val="clear" w:color="auto" w:fill="E5E5E5"/>
          </w:tcPr>
          <w:p>
            <w:pPr>
              <w:spacing w:after="0"/>
              <w:rPr>
                <w:sz w:val="11"/>
                <w:szCs w:val="11"/>
                <w:color w:val="auto"/>
              </w:rPr>
            </w:pPr>
          </w:p>
        </w:tc>
        <w:tc>
          <w:tcPr>
            <w:tcW w:w="1460" w:type="dxa"/>
            <w:vAlign w:val="bottom"/>
            <w:shd w:val="clear" w:color="auto" w:fill="E5E5E5"/>
          </w:tcPr>
          <w:p>
            <w:pPr>
              <w:spacing w:after="0"/>
              <w:rPr>
                <w:sz w:val="11"/>
                <w:szCs w:val="11"/>
                <w:color w:val="auto"/>
              </w:rPr>
            </w:pPr>
          </w:p>
        </w:tc>
        <w:tc>
          <w:tcPr>
            <w:tcW w:w="15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040" w:type="dxa"/>
            <w:vAlign w:val="bottom"/>
            <w:gridSpan w:val="4"/>
          </w:tcPr>
          <w:p>
            <w:pPr>
              <w:ind w:left="60"/>
              <w:spacing w:after="0"/>
              <w:rPr>
                <w:sz w:val="20"/>
                <w:szCs w:val="20"/>
                <w:color w:val="auto"/>
              </w:rPr>
            </w:pPr>
            <w:r>
              <w:rPr>
                <w:rFonts w:ascii="Arial" w:cs="Arial" w:eastAsia="Arial" w:hAnsi="Arial"/>
                <w:sz w:val="16"/>
                <w:szCs w:val="16"/>
                <w:b w:val="1"/>
                <w:bCs w:val="1"/>
                <w:color w:val="auto"/>
              </w:rPr>
              <w:t>Named Executive Officers and Directors</w:t>
            </w: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shd w:val="clear" w:color="auto" w:fill="E5E5E5"/>
          </w:tcPr>
          <w:p>
            <w:pPr>
              <w:spacing w:after="0"/>
              <w:rPr>
                <w:sz w:val="22"/>
                <w:szCs w:val="22"/>
                <w:color w:val="auto"/>
              </w:rPr>
            </w:pPr>
          </w:p>
        </w:tc>
        <w:tc>
          <w:tcPr>
            <w:tcW w:w="798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Christopher Anzalone (4)</w:t>
            </w:r>
          </w:p>
        </w:tc>
        <w:tc>
          <w:tcPr>
            <w:tcW w:w="146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auto"/>
              </w:rPr>
              <w:t>2,844,055</w:t>
            </w:r>
          </w:p>
        </w:tc>
        <w:tc>
          <w:tcPr>
            <w:tcW w:w="1520" w:type="dxa"/>
            <w:vAlign w:val="bottom"/>
            <w:shd w:val="clear" w:color="auto" w:fill="E5E5E5"/>
          </w:tcPr>
          <w:p>
            <w:pPr>
              <w:jc w:val="center"/>
              <w:ind w:left="160"/>
              <w:spacing w:after="0"/>
              <w:rPr>
                <w:sz w:val="20"/>
                <w:szCs w:val="20"/>
                <w:color w:val="auto"/>
              </w:rPr>
            </w:pPr>
            <w:r>
              <w:rPr>
                <w:rFonts w:ascii="Arial" w:cs="Arial" w:eastAsia="Arial" w:hAnsi="Arial"/>
                <w:sz w:val="16"/>
                <w:szCs w:val="16"/>
                <w:color w:val="auto"/>
                <w:w w:val="98"/>
              </w:rPr>
              <w:t>2.7%</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7980" w:type="dxa"/>
            <w:vAlign w:val="bottom"/>
            <w:gridSpan w:val="3"/>
          </w:tcPr>
          <w:p>
            <w:pPr>
              <w:ind w:left="420"/>
              <w:spacing w:after="0"/>
              <w:rPr>
                <w:sz w:val="20"/>
                <w:szCs w:val="20"/>
                <w:color w:val="auto"/>
              </w:rPr>
            </w:pPr>
            <w:r>
              <w:rPr>
                <w:rFonts w:ascii="Arial" w:cs="Arial" w:eastAsia="Arial" w:hAnsi="Arial"/>
                <w:sz w:val="16"/>
                <w:szCs w:val="16"/>
                <w:color w:val="auto"/>
              </w:rPr>
              <w:t>Kenneth Myszkowski</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259,005</w:t>
            </w:r>
          </w:p>
        </w:tc>
        <w:tc>
          <w:tcPr>
            <w:tcW w:w="1520" w:type="dxa"/>
            <w:vAlign w:val="bottom"/>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64"/>
        </w:trPr>
        <w:tc>
          <w:tcPr>
            <w:tcW w:w="60" w:type="dxa"/>
            <w:vAlign w:val="bottom"/>
            <w:shd w:val="clear" w:color="auto" w:fill="E5E5E5"/>
          </w:tcPr>
          <w:p>
            <w:pPr>
              <w:spacing w:after="0"/>
              <w:rPr>
                <w:sz w:val="22"/>
                <w:szCs w:val="22"/>
                <w:color w:val="auto"/>
              </w:rPr>
            </w:pPr>
          </w:p>
        </w:tc>
        <w:tc>
          <w:tcPr>
            <w:tcW w:w="798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Javier San Martin</w:t>
            </w:r>
          </w:p>
        </w:tc>
        <w:tc>
          <w:tcPr>
            <w:tcW w:w="146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auto"/>
              </w:rPr>
              <w:t>18,000</w:t>
            </w:r>
          </w:p>
        </w:tc>
        <w:tc>
          <w:tcPr>
            <w:tcW w:w="1520" w:type="dxa"/>
            <w:vAlign w:val="bottom"/>
            <w:shd w:val="clear" w:color="auto" w:fill="E5E5E5"/>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7980" w:type="dxa"/>
            <w:vAlign w:val="bottom"/>
            <w:gridSpan w:val="3"/>
          </w:tcPr>
          <w:p>
            <w:pPr>
              <w:ind w:left="420"/>
              <w:spacing w:after="0"/>
              <w:rPr>
                <w:sz w:val="20"/>
                <w:szCs w:val="20"/>
                <w:color w:val="auto"/>
              </w:rPr>
            </w:pPr>
            <w:r>
              <w:rPr>
                <w:rFonts w:ascii="Arial" w:cs="Arial" w:eastAsia="Arial" w:hAnsi="Arial"/>
                <w:sz w:val="16"/>
                <w:szCs w:val="16"/>
                <w:color w:val="auto"/>
              </w:rPr>
              <w:t>James Hassard</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15,625</w:t>
            </w:r>
          </w:p>
        </w:tc>
        <w:tc>
          <w:tcPr>
            <w:tcW w:w="1520" w:type="dxa"/>
            <w:vAlign w:val="bottom"/>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64"/>
        </w:trPr>
        <w:tc>
          <w:tcPr>
            <w:tcW w:w="60" w:type="dxa"/>
            <w:vAlign w:val="bottom"/>
            <w:shd w:val="clear" w:color="auto" w:fill="E5E5E5"/>
          </w:tcPr>
          <w:p>
            <w:pPr>
              <w:spacing w:after="0"/>
              <w:rPr>
                <w:sz w:val="22"/>
                <w:szCs w:val="22"/>
                <w:color w:val="auto"/>
              </w:rPr>
            </w:pPr>
          </w:p>
        </w:tc>
        <w:tc>
          <w:tcPr>
            <w:tcW w:w="798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Douglass Given</w:t>
            </w:r>
          </w:p>
        </w:tc>
        <w:tc>
          <w:tcPr>
            <w:tcW w:w="146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auto"/>
              </w:rPr>
              <w:t>109,868</w:t>
            </w:r>
          </w:p>
        </w:tc>
        <w:tc>
          <w:tcPr>
            <w:tcW w:w="1520" w:type="dxa"/>
            <w:vAlign w:val="bottom"/>
            <w:shd w:val="clear" w:color="auto" w:fill="E5E5E5"/>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7980" w:type="dxa"/>
            <w:vAlign w:val="bottom"/>
            <w:gridSpan w:val="3"/>
          </w:tcPr>
          <w:p>
            <w:pPr>
              <w:ind w:left="420"/>
              <w:spacing w:after="0"/>
              <w:rPr>
                <w:sz w:val="20"/>
                <w:szCs w:val="20"/>
                <w:color w:val="auto"/>
              </w:rPr>
            </w:pPr>
            <w:r>
              <w:rPr>
                <w:rFonts w:ascii="Arial" w:cs="Arial" w:eastAsia="Arial" w:hAnsi="Arial"/>
                <w:sz w:val="16"/>
                <w:szCs w:val="16"/>
                <w:color w:val="auto"/>
              </w:rPr>
              <w:t>Michael S. Perry</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81,000</w:t>
            </w:r>
          </w:p>
        </w:tc>
        <w:tc>
          <w:tcPr>
            <w:tcW w:w="1520" w:type="dxa"/>
            <w:vAlign w:val="bottom"/>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64"/>
        </w:trPr>
        <w:tc>
          <w:tcPr>
            <w:tcW w:w="60" w:type="dxa"/>
            <w:vAlign w:val="bottom"/>
            <w:shd w:val="clear" w:color="auto" w:fill="E5E5E5"/>
          </w:tcPr>
          <w:p>
            <w:pPr>
              <w:spacing w:after="0"/>
              <w:rPr>
                <w:sz w:val="22"/>
                <w:szCs w:val="22"/>
                <w:color w:val="auto"/>
              </w:rPr>
            </w:pPr>
          </w:p>
        </w:tc>
        <w:tc>
          <w:tcPr>
            <w:tcW w:w="798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Mauro Ferrari</w:t>
            </w:r>
          </w:p>
        </w:tc>
        <w:tc>
          <w:tcPr>
            <w:tcW w:w="146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auto"/>
              </w:rPr>
              <w:t>30,971</w:t>
            </w:r>
          </w:p>
        </w:tc>
        <w:tc>
          <w:tcPr>
            <w:tcW w:w="1520" w:type="dxa"/>
            <w:vAlign w:val="bottom"/>
            <w:shd w:val="clear" w:color="auto" w:fill="E5E5E5"/>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980" w:type="dxa"/>
            <w:vAlign w:val="bottom"/>
            <w:gridSpan w:val="3"/>
          </w:tcPr>
          <w:p>
            <w:pPr>
              <w:ind w:left="420"/>
              <w:spacing w:after="0"/>
              <w:rPr>
                <w:sz w:val="20"/>
                <w:szCs w:val="20"/>
                <w:color w:val="auto"/>
              </w:rPr>
            </w:pPr>
            <w:r>
              <w:rPr>
                <w:rFonts w:ascii="Arial" w:cs="Arial" w:eastAsia="Arial" w:hAnsi="Arial"/>
                <w:sz w:val="16"/>
                <w:szCs w:val="16"/>
                <w:color w:val="auto"/>
              </w:rPr>
              <w:t>William Waddill</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21,250</w:t>
            </w:r>
          </w:p>
        </w:tc>
        <w:tc>
          <w:tcPr>
            <w:tcW w:w="1520" w:type="dxa"/>
            <w:vAlign w:val="bottom"/>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shd w:val="clear" w:color="auto" w:fill="E5E5E5"/>
          </w:tcPr>
          <w:p>
            <w:pPr>
              <w:spacing w:after="0"/>
              <w:rPr>
                <w:sz w:val="22"/>
                <w:szCs w:val="22"/>
                <w:color w:val="auto"/>
              </w:rPr>
            </w:pPr>
          </w:p>
        </w:tc>
        <w:tc>
          <w:tcPr>
            <w:tcW w:w="798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Marianne De Backer</w:t>
            </w:r>
          </w:p>
        </w:tc>
        <w:tc>
          <w:tcPr>
            <w:tcW w:w="146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auto"/>
              </w:rPr>
              <w:t>17,500</w:t>
            </w:r>
          </w:p>
        </w:tc>
        <w:tc>
          <w:tcPr>
            <w:tcW w:w="1520" w:type="dxa"/>
            <w:vAlign w:val="bottom"/>
            <w:shd w:val="clear" w:color="auto" w:fill="E5E5E5"/>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7980" w:type="dxa"/>
            <w:vAlign w:val="bottom"/>
            <w:gridSpan w:val="3"/>
          </w:tcPr>
          <w:p>
            <w:pPr>
              <w:ind w:left="420"/>
              <w:spacing w:after="0"/>
              <w:rPr>
                <w:sz w:val="20"/>
                <w:szCs w:val="20"/>
                <w:color w:val="auto"/>
              </w:rPr>
            </w:pPr>
            <w:r>
              <w:rPr>
                <w:rFonts w:ascii="Arial" w:cs="Arial" w:eastAsia="Arial" w:hAnsi="Arial"/>
                <w:sz w:val="16"/>
                <w:szCs w:val="16"/>
                <w:color w:val="auto"/>
              </w:rPr>
              <w:t>Adeoye Olukotun</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520" w:type="dxa"/>
            <w:vAlign w:val="bottom"/>
          </w:tcPr>
          <w:p>
            <w:pPr>
              <w:jc w:val="center"/>
              <w:ind w:left="18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58"/>
        </w:trPr>
        <w:tc>
          <w:tcPr>
            <w:tcW w:w="60" w:type="dxa"/>
            <w:vAlign w:val="bottom"/>
            <w:tcBorders>
              <w:bottom w:val="single" w:sz="8" w:color="0071CE"/>
            </w:tcBorders>
            <w:shd w:val="clear" w:color="auto" w:fill="E5E5E5"/>
          </w:tcPr>
          <w:p>
            <w:pPr>
              <w:spacing w:after="0"/>
              <w:rPr>
                <w:sz w:val="22"/>
                <w:szCs w:val="22"/>
                <w:color w:val="auto"/>
              </w:rPr>
            </w:pPr>
          </w:p>
        </w:tc>
        <w:tc>
          <w:tcPr>
            <w:tcW w:w="7980" w:type="dxa"/>
            <w:vAlign w:val="bottom"/>
            <w:tcBorders>
              <w:bottom w:val="single" w:sz="8" w:color="0071CE"/>
            </w:tcBorders>
            <w:gridSpan w:val="3"/>
            <w:shd w:val="clear" w:color="auto" w:fill="E5E5E5"/>
          </w:tcPr>
          <w:p>
            <w:pPr>
              <w:ind w:left="420"/>
              <w:spacing w:after="0"/>
              <w:rPr>
                <w:sz w:val="20"/>
                <w:szCs w:val="20"/>
                <w:color w:val="auto"/>
              </w:rPr>
            </w:pPr>
            <w:r>
              <w:rPr>
                <w:rFonts w:ascii="Arial" w:cs="Arial" w:eastAsia="Arial" w:hAnsi="Arial"/>
                <w:sz w:val="16"/>
                <w:szCs w:val="16"/>
                <w:color w:val="auto"/>
              </w:rPr>
              <w:t>All Executive Officers and Directors as a group (12 persons)(5)</w:t>
            </w:r>
          </w:p>
        </w:tc>
        <w:tc>
          <w:tcPr>
            <w:tcW w:w="1460" w:type="dxa"/>
            <w:vAlign w:val="bottom"/>
            <w:tcBorders>
              <w:bottom w:val="single" w:sz="8" w:color="0071CE"/>
            </w:tcBorders>
            <w:shd w:val="clear" w:color="auto" w:fill="E5E5E5"/>
          </w:tcPr>
          <w:p>
            <w:pPr>
              <w:jc w:val="right"/>
              <w:ind w:right="400"/>
              <w:spacing w:after="0"/>
              <w:rPr>
                <w:sz w:val="20"/>
                <w:szCs w:val="20"/>
                <w:color w:val="auto"/>
              </w:rPr>
            </w:pPr>
            <w:r>
              <w:rPr>
                <w:rFonts w:ascii="Arial" w:cs="Arial" w:eastAsia="Arial" w:hAnsi="Arial"/>
                <w:sz w:val="16"/>
                <w:szCs w:val="16"/>
                <w:color w:val="auto"/>
              </w:rPr>
              <w:t>3,638,149</w:t>
            </w:r>
          </w:p>
        </w:tc>
        <w:tc>
          <w:tcPr>
            <w:tcW w:w="1520" w:type="dxa"/>
            <w:vAlign w:val="bottom"/>
            <w:tcBorders>
              <w:bottom w:val="single" w:sz="8" w:color="0071CE"/>
            </w:tcBorders>
            <w:shd w:val="clear" w:color="auto" w:fill="E5E5E5"/>
          </w:tcPr>
          <w:p>
            <w:pPr>
              <w:jc w:val="center"/>
              <w:ind w:left="160"/>
              <w:spacing w:after="0"/>
              <w:rPr>
                <w:sz w:val="20"/>
                <w:szCs w:val="20"/>
                <w:color w:val="auto"/>
              </w:rPr>
            </w:pPr>
            <w:r>
              <w:rPr>
                <w:rFonts w:ascii="Arial" w:cs="Arial" w:eastAsia="Arial" w:hAnsi="Arial"/>
                <w:sz w:val="16"/>
                <w:szCs w:val="16"/>
                <w:color w:val="auto"/>
                <w:w w:val="98"/>
              </w:rPr>
              <w:t>3.5%</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540" w:right="20" w:hanging="424"/>
        <w:spacing w:after="0" w:line="266"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103,750,633 shares of Common Stock issued and outstanding as of January 14, 2021. Shares not outstanding but deemed beneficially owned by virtue of the right of a person to acquire them as of January 14, 2021, or within sixty days of such date are treated as outstanding only when determining the percentage owned by such individual and when determining the percentage owned by a group.</w:t>
      </w:r>
    </w:p>
    <w:p>
      <w:pPr>
        <w:spacing w:after="0" w:line="31" w:lineRule="exact"/>
        <w:rPr>
          <w:rFonts w:ascii="Arial" w:cs="Arial" w:eastAsia="Arial" w:hAnsi="Arial"/>
          <w:sz w:val="14"/>
          <w:szCs w:val="14"/>
          <w:color w:val="auto"/>
        </w:rPr>
      </w:pPr>
    </w:p>
    <w:p>
      <w:pPr>
        <w:ind w:left="540" w:right="100" w:hanging="424"/>
        <w:spacing w:after="0" w:line="266"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Amendment No. 2 to Schedule 13G/A filed February 4, 2020 by BlackRock Inc.. According to Amendment No. 2, BlackRock Inc. has sole voting power and sole dispositive power over 12,149,645 shares and 12,360,958 shares, respectively, and has shared voting power and shared dispositive power over 0 shares and 0 shares, respectively.</w:t>
      </w:r>
    </w:p>
    <w:p>
      <w:pPr>
        <w:spacing w:after="0" w:line="31" w:lineRule="exact"/>
        <w:rPr>
          <w:rFonts w:ascii="Arial" w:cs="Arial" w:eastAsia="Arial" w:hAnsi="Arial"/>
          <w:sz w:val="14"/>
          <w:szCs w:val="14"/>
          <w:color w:val="auto"/>
        </w:rPr>
      </w:pPr>
    </w:p>
    <w:p>
      <w:pPr>
        <w:ind w:left="540" w:right="60" w:hanging="424"/>
        <w:spacing w:after="0" w:line="266"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Amendment No. 1 to Schedule 13G filed on February 12, 2020 by The Vanguard Group. According to the Amendment No. 1, The Vanguard Group has sole voting power and sole dispositive power over 196,261 shares and 9,594,203 shares, respectively, and has shared voting power and shared dispositive power over 17,849 shares and 203,304 shares, respectively.</w:t>
      </w:r>
    </w:p>
    <w:p>
      <w:pPr>
        <w:spacing w:after="0" w:line="31" w:lineRule="exact"/>
        <w:rPr>
          <w:rFonts w:ascii="Arial" w:cs="Arial" w:eastAsia="Arial" w:hAnsi="Arial"/>
          <w:sz w:val="14"/>
          <w:szCs w:val="14"/>
          <w:color w:val="auto"/>
        </w:rPr>
      </w:pPr>
    </w:p>
    <w:p>
      <w:pPr>
        <w:ind w:left="540" w:hanging="424"/>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800,033 shares issuable upon the exercise of stock options that are exercisable within 60 days of 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103505</wp:posOffset>
            </wp:positionV>
            <wp:extent cx="98615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72"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49</w:t>
      </w:r>
    </w:p>
    <w:p>
      <w:pPr>
        <w:sectPr>
          <w:pgSz w:w="11900" w:h="16838" w:orient="portrait"/>
          <w:cols w:equalWidth="0" w:num="1">
            <w:col w:w="11140"/>
          </w:cols>
          <w:pgMar w:left="32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358"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The following table provides information as of September 30, 2020 with respect to shares of our Common Stock that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13633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3633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line="405" w:lineRule="auto"/>
        <w:rPr>
          <w:sz w:val="20"/>
          <w:szCs w:val="20"/>
          <w:color w:val="auto"/>
        </w:rPr>
      </w:pPr>
      <w:r>
        <w:rPr>
          <w:rFonts w:ascii="Arial" w:cs="Arial" w:eastAsia="Arial" w:hAnsi="Arial"/>
          <w:sz w:val="18"/>
          <w:szCs w:val="18"/>
          <w:color w:val="auto"/>
        </w:rPr>
        <w:t>Equity compensation plans approved by security holders (1) Equity compensation plans not approved by security holders (2)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-692785</wp:posOffset>
            </wp:positionV>
            <wp:extent cx="342900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00" cy="2146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-264160</wp:posOffset>
            </wp:positionV>
            <wp:extent cx="3429000"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0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FFFFFF"/>
        </w:rPr>
        <w:t>Equity Compensation Plan Information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80" w:type="dxa"/>
            <w:vAlign w:val="bottom"/>
            <w:shd w:val="clear" w:color="auto" w:fill="0071CE"/>
          </w:tcPr>
          <w:p>
            <w:pPr>
              <w:spacing w:after="0"/>
              <w:rPr>
                <w:sz w:val="17"/>
                <w:szCs w:val="17"/>
                <w:color w:val="auto"/>
              </w:rPr>
            </w:pPr>
          </w:p>
        </w:tc>
        <w:tc>
          <w:tcPr>
            <w:tcW w:w="1860" w:type="dxa"/>
            <w:vAlign w:val="bottom"/>
            <w:shd w:val="clear" w:color="auto" w:fill="0071CE"/>
          </w:tcPr>
          <w:p>
            <w:pPr>
              <w:spacing w:after="0"/>
              <w:rPr>
                <w:sz w:val="17"/>
                <w:szCs w:val="17"/>
                <w:color w:val="auto"/>
              </w:rPr>
            </w:pP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1680" w:type="dxa"/>
            <w:vAlign w:val="bottom"/>
            <w:shd w:val="clear" w:color="auto" w:fill="0071CE"/>
          </w:tcPr>
          <w:p>
            <w:pPr>
              <w:spacing w:after="0"/>
              <w:rPr>
                <w:sz w:val="14"/>
                <w:szCs w:val="14"/>
                <w:color w:val="auto"/>
              </w:rPr>
            </w:pPr>
          </w:p>
        </w:tc>
        <w:tc>
          <w:tcPr>
            <w:tcW w:w="1860" w:type="dxa"/>
            <w:vAlign w:val="bottom"/>
            <w:shd w:val="clear" w:color="auto" w:fill="0071CE"/>
          </w:tcPr>
          <w:p>
            <w:pPr>
              <w:spacing w:after="0"/>
              <w:rPr>
                <w:sz w:val="14"/>
                <w:szCs w:val="14"/>
                <w:color w:val="auto"/>
              </w:rPr>
            </w:pP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1680" w:type="dxa"/>
            <w:vAlign w:val="bottom"/>
            <w:shd w:val="clear" w:color="auto" w:fill="0071CE"/>
          </w:tcPr>
          <w:p>
            <w:pPr>
              <w:ind w:left="520"/>
              <w:spacing w:after="0"/>
              <w:rPr>
                <w:sz w:val="20"/>
                <w:szCs w:val="20"/>
                <w:color w:val="auto"/>
              </w:rPr>
            </w:pPr>
            <w:r>
              <w:rPr>
                <w:rFonts w:ascii="Arial" w:cs="Arial" w:eastAsia="Arial" w:hAnsi="Arial"/>
                <w:sz w:val="14"/>
                <w:szCs w:val="14"/>
                <w:b w:val="1"/>
                <w:bCs w:val="1"/>
                <w:color w:val="FFFFFF"/>
              </w:rPr>
              <w:t>Number of</w:t>
            </w:r>
          </w:p>
        </w:tc>
        <w:tc>
          <w:tcPr>
            <w:tcW w:w="1860" w:type="dxa"/>
            <w:vAlign w:val="bottom"/>
            <w:shd w:val="clear" w:color="auto" w:fill="0071CE"/>
          </w:tcPr>
          <w:p>
            <w:pPr>
              <w:spacing w:after="0"/>
              <w:rPr>
                <w:sz w:val="14"/>
                <w:szCs w:val="14"/>
                <w:color w:val="auto"/>
              </w:rPr>
            </w:pP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to</w:t>
            </w:r>
          </w:p>
        </w:tc>
        <w:tc>
          <w:tcPr>
            <w:tcW w:w="1860" w:type="dxa"/>
            <w:vAlign w:val="bottom"/>
            <w:shd w:val="clear" w:color="auto" w:fill="0071CE"/>
          </w:tcPr>
          <w:p>
            <w:pPr>
              <w:spacing w:after="0"/>
              <w:rPr>
                <w:sz w:val="14"/>
                <w:szCs w:val="14"/>
                <w:color w:val="auto"/>
              </w:rPr>
            </w:pPr>
          </w:p>
        </w:tc>
        <w:tc>
          <w:tcPr>
            <w:tcW w:w="2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be Issued</w:t>
            </w:r>
          </w:p>
        </w:tc>
        <w:tc>
          <w:tcPr>
            <w:tcW w:w="1860" w:type="dxa"/>
            <w:vAlign w:val="bottom"/>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Weighted</w:t>
            </w: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upon</w:t>
            </w:r>
          </w:p>
        </w:tc>
        <w:tc>
          <w:tcPr>
            <w:tcW w:w="1860" w:type="dxa"/>
            <w:vAlign w:val="bottom"/>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average</w:t>
            </w: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1680" w:type="dxa"/>
            <w:vAlign w:val="bottom"/>
            <w:shd w:val="clear" w:color="auto" w:fill="0071CE"/>
          </w:tcPr>
          <w:p>
            <w:pPr>
              <w:ind w:left="500"/>
              <w:spacing w:after="0"/>
              <w:rPr>
                <w:sz w:val="20"/>
                <w:szCs w:val="20"/>
                <w:color w:val="auto"/>
              </w:rPr>
            </w:pPr>
            <w:r>
              <w:rPr>
                <w:rFonts w:ascii="Arial" w:cs="Arial" w:eastAsia="Arial" w:hAnsi="Arial"/>
                <w:sz w:val="14"/>
                <w:szCs w:val="14"/>
                <w:b w:val="1"/>
                <w:bCs w:val="1"/>
                <w:color w:val="FFFFFF"/>
              </w:rPr>
              <w:t>exercise of</w:t>
            </w:r>
          </w:p>
        </w:tc>
        <w:tc>
          <w:tcPr>
            <w:tcW w:w="1860" w:type="dxa"/>
            <w:vAlign w:val="bottom"/>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exercise price</w:t>
            </w: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outstanding</w:t>
            </w:r>
          </w:p>
        </w:tc>
        <w:tc>
          <w:tcPr>
            <w:tcW w:w="1860" w:type="dxa"/>
            <w:vAlign w:val="bottom"/>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of outstanding</w:t>
            </w: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plans (excluding</w:t>
            </w:r>
          </w:p>
        </w:tc>
      </w:tr>
      <w:tr>
        <w:trPr>
          <w:trHeight w:val="162"/>
        </w:trPr>
        <w:tc>
          <w:tcPr>
            <w:tcW w:w="16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options,</w:t>
            </w:r>
          </w:p>
        </w:tc>
        <w:tc>
          <w:tcPr>
            <w:tcW w:w="1860" w:type="dxa"/>
            <w:vAlign w:val="bottom"/>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options,</w:t>
            </w: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16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warrants</w:t>
            </w:r>
          </w:p>
        </w:tc>
        <w:tc>
          <w:tcPr>
            <w:tcW w:w="1860" w:type="dxa"/>
            <w:vAlign w:val="bottom"/>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warrants and</w:t>
            </w: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reflected in</w:t>
            </w:r>
          </w:p>
        </w:tc>
      </w:tr>
      <w:tr>
        <w:trPr>
          <w:trHeight w:val="211"/>
        </w:trPr>
        <w:tc>
          <w:tcPr>
            <w:tcW w:w="1680" w:type="dxa"/>
            <w:vAlign w:val="bottom"/>
            <w:tcBorders>
              <w:bottom w:val="single" w:sz="8" w:color="0071CE"/>
            </w:tcBorders>
            <w:shd w:val="clear" w:color="auto" w:fill="0071CE"/>
          </w:tcPr>
          <w:p>
            <w:pPr>
              <w:ind w:left="520"/>
              <w:spacing w:after="0"/>
              <w:rPr>
                <w:sz w:val="20"/>
                <w:szCs w:val="20"/>
                <w:color w:val="auto"/>
              </w:rPr>
            </w:pPr>
            <w:r>
              <w:rPr>
                <w:rFonts w:ascii="Arial" w:cs="Arial" w:eastAsia="Arial" w:hAnsi="Arial"/>
                <w:sz w:val="14"/>
                <w:szCs w:val="14"/>
                <w:b w:val="1"/>
                <w:bCs w:val="1"/>
                <w:color w:val="FFFFFF"/>
              </w:rPr>
              <w:t>and rights</w:t>
            </w:r>
          </w:p>
        </w:tc>
        <w:tc>
          <w:tcPr>
            <w:tcW w:w="1860" w:type="dxa"/>
            <w:vAlign w:val="bottom"/>
            <w:tcBorders>
              <w:bottom w:val="single" w:sz="8" w:color="0071CE"/>
            </w:tcBorders>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rights</w:t>
            </w:r>
          </w:p>
        </w:tc>
        <w:tc>
          <w:tcPr>
            <w:tcW w:w="2080" w:type="dxa"/>
            <w:vAlign w:val="bottom"/>
            <w:tcBorders>
              <w:bottom w:val="single" w:sz="8" w:color="0071CE"/>
            </w:tcBorders>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column (a))</w:t>
            </w:r>
          </w:p>
        </w:tc>
      </w:tr>
      <w:tr>
        <w:trPr>
          <w:trHeight w:val="318"/>
        </w:trPr>
        <w:tc>
          <w:tcPr>
            <w:tcW w:w="1680" w:type="dxa"/>
            <w:vAlign w:val="bottom"/>
            <w:tcBorders>
              <w:bottom w:val="single" w:sz="8" w:color="E5E5E5"/>
            </w:tcBorders>
            <w:shd w:val="clear" w:color="auto" w:fill="E5E5E5"/>
          </w:tcPr>
          <w:p>
            <w:pPr>
              <w:ind w:left="540"/>
              <w:spacing w:after="0"/>
              <w:rPr>
                <w:sz w:val="20"/>
                <w:szCs w:val="20"/>
                <w:color w:val="auto"/>
              </w:rPr>
            </w:pPr>
            <w:r>
              <w:rPr>
                <w:rFonts w:ascii="Arial" w:cs="Arial" w:eastAsia="Arial" w:hAnsi="Arial"/>
                <w:sz w:val="18"/>
                <w:szCs w:val="18"/>
                <w:color w:val="auto"/>
              </w:rPr>
              <w:t>5,872,887</w:t>
            </w:r>
          </w:p>
        </w:tc>
        <w:tc>
          <w:tcPr>
            <w:tcW w:w="1860" w:type="dxa"/>
            <w:vAlign w:val="bottom"/>
            <w:tcBorders>
              <w:bottom w:val="single" w:sz="8" w:color="E5E5E5"/>
            </w:tcBorders>
            <w:shd w:val="clear" w:color="auto" w:fill="E5E5E5"/>
          </w:tcPr>
          <w:p>
            <w:pPr>
              <w:jc w:val="center"/>
              <w:ind w:right="103"/>
              <w:spacing w:after="0"/>
              <w:rPr>
                <w:sz w:val="20"/>
                <w:szCs w:val="20"/>
                <w:color w:val="auto"/>
              </w:rPr>
            </w:pPr>
            <w:r>
              <w:rPr>
                <w:rFonts w:ascii="Arial" w:cs="Arial" w:eastAsia="Arial" w:hAnsi="Arial"/>
                <w:sz w:val="18"/>
                <w:szCs w:val="18"/>
                <w:color w:val="auto"/>
              </w:rPr>
              <w:t>$12.24</w:t>
            </w:r>
          </w:p>
        </w:tc>
        <w:tc>
          <w:tcPr>
            <w:tcW w:w="2080" w:type="dxa"/>
            <w:vAlign w:val="bottom"/>
            <w:tcBorders>
              <w:bottom w:val="single" w:sz="8" w:color="E5E5E5"/>
            </w:tcBorders>
            <w:shd w:val="clear" w:color="auto" w:fill="E5E5E5"/>
          </w:tcPr>
          <w:p>
            <w:pPr>
              <w:jc w:val="right"/>
              <w:ind w:right="524"/>
              <w:spacing w:after="0"/>
              <w:rPr>
                <w:sz w:val="20"/>
                <w:szCs w:val="20"/>
                <w:color w:val="auto"/>
              </w:rPr>
            </w:pPr>
            <w:r>
              <w:rPr>
                <w:rFonts w:ascii="Arial" w:cs="Arial" w:eastAsia="Arial" w:hAnsi="Arial"/>
                <w:sz w:val="18"/>
                <w:szCs w:val="18"/>
                <w:color w:val="auto"/>
              </w:rPr>
              <w:t>398,720</w:t>
            </w:r>
          </w:p>
        </w:tc>
      </w:tr>
      <w:tr>
        <w:trPr>
          <w:trHeight w:val="288"/>
        </w:trPr>
        <w:tc>
          <w:tcPr>
            <w:tcW w:w="1680" w:type="dxa"/>
            <w:vAlign w:val="bottom"/>
          </w:tcPr>
          <w:p>
            <w:pPr>
              <w:ind w:left="540"/>
              <w:spacing w:after="0"/>
              <w:rPr>
                <w:sz w:val="20"/>
                <w:szCs w:val="20"/>
                <w:color w:val="auto"/>
              </w:rPr>
            </w:pPr>
            <w:r>
              <w:rPr>
                <w:rFonts w:ascii="Arial" w:cs="Arial" w:eastAsia="Arial" w:hAnsi="Arial"/>
                <w:sz w:val="18"/>
                <w:szCs w:val="18"/>
                <w:color w:val="auto"/>
              </w:rPr>
              <w:t>2,190,541</w:t>
            </w:r>
          </w:p>
        </w:tc>
        <w:tc>
          <w:tcPr>
            <w:tcW w:w="1860" w:type="dxa"/>
            <w:vAlign w:val="bottom"/>
          </w:tcPr>
          <w:p>
            <w:pPr>
              <w:jc w:val="center"/>
              <w:ind w:right="103"/>
              <w:spacing w:after="0"/>
              <w:rPr>
                <w:sz w:val="20"/>
                <w:szCs w:val="20"/>
                <w:color w:val="auto"/>
              </w:rPr>
            </w:pPr>
            <w:r>
              <w:rPr>
                <w:rFonts w:ascii="Arial" w:cs="Arial" w:eastAsia="Arial" w:hAnsi="Arial"/>
                <w:sz w:val="18"/>
                <w:szCs w:val="18"/>
                <w:color w:val="auto"/>
              </w:rPr>
              <w:t>$28.28</w:t>
            </w:r>
          </w:p>
        </w:tc>
        <w:tc>
          <w:tcPr>
            <w:tcW w:w="2080" w:type="dxa"/>
            <w:vAlign w:val="bottom"/>
          </w:tcPr>
          <w:p>
            <w:pPr>
              <w:jc w:val="right"/>
              <w:ind w:right="624"/>
              <w:spacing w:after="0"/>
              <w:rPr>
                <w:sz w:val="20"/>
                <w:szCs w:val="20"/>
                <w:color w:val="auto"/>
              </w:rPr>
            </w:pPr>
            <w:r>
              <w:rPr>
                <w:rFonts w:ascii="Arial" w:cs="Arial" w:eastAsia="Arial" w:hAnsi="Arial"/>
                <w:sz w:val="18"/>
                <w:szCs w:val="18"/>
                <w:color w:val="auto"/>
              </w:rPr>
              <w:t>—</w:t>
            </w:r>
          </w:p>
        </w:tc>
      </w:tr>
      <w:tr>
        <w:trPr>
          <w:trHeight w:val="50"/>
        </w:trPr>
        <w:tc>
          <w:tcPr>
            <w:tcW w:w="1680" w:type="dxa"/>
            <w:vAlign w:val="bottom"/>
            <w:tcBorders>
              <w:bottom w:val="single" w:sz="8" w:color="0071CE"/>
            </w:tcBorders>
          </w:tcPr>
          <w:p>
            <w:pPr>
              <w:spacing w:after="0"/>
              <w:rPr>
                <w:sz w:val="4"/>
                <w:szCs w:val="4"/>
                <w:color w:val="auto"/>
              </w:rPr>
            </w:pPr>
          </w:p>
        </w:tc>
        <w:tc>
          <w:tcPr>
            <w:tcW w:w="1860" w:type="dxa"/>
            <w:vAlign w:val="bottom"/>
            <w:tcBorders>
              <w:bottom w:val="single" w:sz="8" w:color="0071CE"/>
            </w:tcBorders>
          </w:tcPr>
          <w:p>
            <w:pPr>
              <w:spacing w:after="0"/>
              <w:rPr>
                <w:sz w:val="4"/>
                <w:szCs w:val="4"/>
                <w:color w:val="auto"/>
              </w:rPr>
            </w:pPr>
          </w:p>
        </w:tc>
        <w:tc>
          <w:tcPr>
            <w:tcW w:w="2080" w:type="dxa"/>
            <w:vAlign w:val="bottom"/>
            <w:tcBorders>
              <w:bottom w:val="single" w:sz="8" w:color="0071CE"/>
            </w:tcBorders>
          </w:tcPr>
          <w:p>
            <w:pPr>
              <w:spacing w:after="0"/>
              <w:rPr>
                <w:sz w:val="4"/>
                <w:szCs w:val="4"/>
                <w:color w:val="auto"/>
              </w:rPr>
            </w:pPr>
          </w:p>
        </w:tc>
      </w:tr>
      <w:tr>
        <w:trPr>
          <w:trHeight w:val="268"/>
        </w:trPr>
        <w:tc>
          <w:tcPr>
            <w:tcW w:w="1680" w:type="dxa"/>
            <w:vAlign w:val="bottom"/>
            <w:shd w:val="clear" w:color="auto" w:fill="E5E5E5"/>
          </w:tcPr>
          <w:p>
            <w:pPr>
              <w:ind w:left="540"/>
              <w:spacing w:after="0"/>
              <w:rPr>
                <w:sz w:val="20"/>
                <w:szCs w:val="20"/>
                <w:color w:val="auto"/>
              </w:rPr>
            </w:pPr>
            <w:r>
              <w:rPr>
                <w:rFonts w:ascii="Arial" w:cs="Arial" w:eastAsia="Arial" w:hAnsi="Arial"/>
                <w:sz w:val="18"/>
                <w:szCs w:val="18"/>
                <w:color w:val="auto"/>
              </w:rPr>
              <w:t>8,063,428</w:t>
            </w:r>
          </w:p>
        </w:tc>
        <w:tc>
          <w:tcPr>
            <w:tcW w:w="1860" w:type="dxa"/>
            <w:vAlign w:val="bottom"/>
            <w:shd w:val="clear" w:color="auto" w:fill="E5E5E5"/>
          </w:tcPr>
          <w:p>
            <w:pPr>
              <w:jc w:val="center"/>
              <w:ind w:right="103"/>
              <w:spacing w:after="0"/>
              <w:rPr>
                <w:sz w:val="20"/>
                <w:szCs w:val="20"/>
                <w:color w:val="auto"/>
              </w:rPr>
            </w:pPr>
            <w:r>
              <w:rPr>
                <w:rFonts w:ascii="Arial" w:cs="Arial" w:eastAsia="Arial" w:hAnsi="Arial"/>
                <w:sz w:val="18"/>
                <w:szCs w:val="18"/>
                <w:color w:val="auto"/>
              </w:rPr>
              <w:t>$16.67</w:t>
            </w:r>
          </w:p>
        </w:tc>
        <w:tc>
          <w:tcPr>
            <w:tcW w:w="2080" w:type="dxa"/>
            <w:vAlign w:val="bottom"/>
            <w:shd w:val="clear" w:color="auto" w:fill="E5E5E5"/>
          </w:tcPr>
          <w:p>
            <w:pPr>
              <w:jc w:val="right"/>
              <w:ind w:right="524"/>
              <w:spacing w:after="0"/>
              <w:rPr>
                <w:sz w:val="20"/>
                <w:szCs w:val="20"/>
                <w:color w:val="auto"/>
              </w:rPr>
            </w:pPr>
            <w:r>
              <w:rPr>
                <w:rFonts w:ascii="Arial" w:cs="Arial" w:eastAsia="Arial" w:hAnsi="Arial"/>
                <w:sz w:val="18"/>
                <w:szCs w:val="18"/>
                <w:color w:val="auto"/>
              </w:rPr>
              <w:t>398,720</w:t>
            </w:r>
          </w:p>
        </w:tc>
      </w:tr>
      <w:tr>
        <w:trPr>
          <w:trHeight w:val="50"/>
        </w:trPr>
        <w:tc>
          <w:tcPr>
            <w:tcW w:w="1680" w:type="dxa"/>
            <w:vAlign w:val="bottom"/>
            <w:shd w:val="clear" w:color="auto" w:fill="E5E5E5"/>
          </w:tcPr>
          <w:p>
            <w:pPr>
              <w:spacing w:after="0"/>
              <w:rPr>
                <w:sz w:val="4"/>
                <w:szCs w:val="4"/>
                <w:color w:val="auto"/>
              </w:rPr>
            </w:pPr>
          </w:p>
        </w:tc>
        <w:tc>
          <w:tcPr>
            <w:tcW w:w="1860" w:type="dxa"/>
            <w:vAlign w:val="bottom"/>
            <w:shd w:val="clear" w:color="auto" w:fill="E5E5E5"/>
          </w:tcPr>
          <w:p>
            <w:pPr>
              <w:spacing w:after="0"/>
              <w:rPr>
                <w:sz w:val="4"/>
                <w:szCs w:val="4"/>
                <w:color w:val="auto"/>
              </w:rPr>
            </w:pPr>
          </w:p>
        </w:tc>
        <w:tc>
          <w:tcPr>
            <w:tcW w:w="2080" w:type="dxa"/>
            <w:vAlign w:val="bottom"/>
            <w:shd w:val="clear" w:color="auto" w:fill="E5E5E5"/>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260" w:space="260"/>
            <w:col w:w="5620"/>
          </w:cols>
          <w:pgMar w:left="320" w:top="455" w:right="439" w:bottom="1440" w:gutter="0" w:footer="0" w:header="0"/>
          <w:type w:val="continuous"/>
        </w:sectPr>
      </w:pPr>
    </w:p>
    <w:p>
      <w:pPr>
        <w:ind w:left="540" w:right="500" w:hanging="424"/>
        <w:spacing w:after="0" w:line="291"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outstanding representing 673,262 and 2,611,625 shares of Common Stock under the 2004 Equity Incentive Plan and the 2013 Incentive Plan, respectively. Also includes 2,588,000 restricted stock units subject to the 2013 Incentive Plan.</w:t>
      </w:r>
    </w:p>
    <w:p>
      <w:pPr>
        <w:spacing w:after="0" w:line="14" w:lineRule="exact"/>
        <w:rPr>
          <w:rFonts w:ascii="Arial" w:cs="Arial" w:eastAsia="Arial" w:hAnsi="Arial"/>
          <w:sz w:val="14"/>
          <w:szCs w:val="14"/>
          <w:color w:val="auto"/>
        </w:rPr>
      </w:pPr>
    </w:p>
    <w:p>
      <w:pPr>
        <w:ind w:left="540" w:hanging="424"/>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1,254,516 inducement option grants and 936,025 inducement restricted stock unit grants issued to newly hired employees.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names, ages and positions of our current executive officers serving as of January 14, 2021 are provided below. Biographical information regarding these officers is set forth under the following table, except for Dr. Anzalone, whose biography is set forth above with our other directors.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345"/>
        </w:trPr>
        <w:tc>
          <w:tcPr>
            <w:tcW w:w="308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Name</w:t>
            </w:r>
          </w:p>
        </w:tc>
        <w:tc>
          <w:tcPr>
            <w:tcW w:w="760" w:type="dxa"/>
            <w:vAlign w:val="bottom"/>
            <w:tcBorders>
              <w:bottom w:val="single" w:sz="8" w:color="0071CE"/>
            </w:tcBorders>
            <w:shd w:val="clear" w:color="auto" w:fill="0071CE"/>
          </w:tcPr>
          <w:p>
            <w:pPr>
              <w:jc w:val="right"/>
              <w:ind w:right="213"/>
              <w:spacing w:after="0"/>
              <w:rPr>
                <w:sz w:val="20"/>
                <w:szCs w:val="20"/>
                <w:color w:val="auto"/>
              </w:rPr>
            </w:pPr>
            <w:r>
              <w:rPr>
                <w:rFonts w:ascii="Arial" w:cs="Arial" w:eastAsia="Arial" w:hAnsi="Arial"/>
                <w:sz w:val="14"/>
                <w:szCs w:val="14"/>
                <w:b w:val="1"/>
                <w:bCs w:val="1"/>
                <w:color w:val="FFFFFF"/>
              </w:rPr>
              <w:t>Age</w:t>
            </w:r>
          </w:p>
        </w:tc>
        <w:tc>
          <w:tcPr>
            <w:tcW w:w="7180" w:type="dxa"/>
            <w:vAlign w:val="bottom"/>
            <w:tcBorders>
              <w:bottom w:val="single" w:sz="8" w:color="0071CE"/>
            </w:tcBorders>
            <w:shd w:val="clear" w:color="auto" w:fill="0071CE"/>
          </w:tcPr>
          <w:p>
            <w:pPr>
              <w:ind w:left="2800"/>
              <w:spacing w:after="0"/>
              <w:rPr>
                <w:sz w:val="20"/>
                <w:szCs w:val="20"/>
                <w:color w:val="auto"/>
              </w:rPr>
            </w:pPr>
            <w:r>
              <w:rPr>
                <w:rFonts w:ascii="Arial" w:cs="Arial" w:eastAsia="Arial" w:hAnsi="Arial"/>
                <w:sz w:val="14"/>
                <w:szCs w:val="14"/>
                <w:b w:val="1"/>
                <w:bCs w:val="1"/>
                <w:color w:val="FFFFFF"/>
              </w:rPr>
              <w:t>Position with Arrowhead</w:t>
            </w:r>
          </w:p>
        </w:tc>
      </w:tr>
      <w:tr>
        <w:trPr>
          <w:trHeight w:val="277"/>
        </w:trPr>
        <w:tc>
          <w:tcPr>
            <w:tcW w:w="30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Christopher Anzalone</w:t>
            </w:r>
          </w:p>
        </w:tc>
        <w:tc>
          <w:tcPr>
            <w:tcW w:w="760" w:type="dxa"/>
            <w:vAlign w:val="bottom"/>
            <w:tcBorders>
              <w:bottom w:val="single" w:sz="8" w:color="E5E5E5"/>
            </w:tcBorders>
            <w:shd w:val="clear" w:color="auto" w:fill="E5E5E5"/>
          </w:tcPr>
          <w:p>
            <w:pPr>
              <w:jc w:val="right"/>
              <w:ind w:right="113"/>
              <w:spacing w:after="0"/>
              <w:rPr>
                <w:sz w:val="20"/>
                <w:szCs w:val="20"/>
                <w:color w:val="auto"/>
              </w:rPr>
            </w:pPr>
            <w:r>
              <w:rPr>
                <w:rFonts w:ascii="Arial" w:cs="Arial" w:eastAsia="Arial" w:hAnsi="Arial"/>
                <w:sz w:val="18"/>
                <w:szCs w:val="18"/>
                <w:color w:val="auto"/>
              </w:rPr>
              <w:t>51</w:t>
            </w:r>
          </w:p>
        </w:tc>
        <w:tc>
          <w:tcPr>
            <w:tcW w:w="7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Chief Executive Officer &amp; President and Director</w:t>
            </w:r>
          </w:p>
        </w:tc>
      </w:tr>
      <w:tr>
        <w:trPr>
          <w:trHeight w:val="260"/>
        </w:trPr>
        <w:tc>
          <w:tcPr>
            <w:tcW w:w="3080" w:type="dxa"/>
            <w:vAlign w:val="bottom"/>
          </w:tcPr>
          <w:p>
            <w:pPr>
              <w:ind w:left="60"/>
              <w:spacing w:after="0"/>
              <w:rPr>
                <w:sz w:val="20"/>
                <w:szCs w:val="20"/>
                <w:color w:val="auto"/>
              </w:rPr>
            </w:pPr>
            <w:r>
              <w:rPr>
                <w:rFonts w:ascii="Arial" w:cs="Arial" w:eastAsia="Arial" w:hAnsi="Arial"/>
                <w:sz w:val="18"/>
                <w:szCs w:val="18"/>
                <w:color w:val="auto"/>
              </w:rPr>
              <w:t>Kenneth A. Myszkowski</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54</w:t>
            </w:r>
          </w:p>
        </w:tc>
        <w:tc>
          <w:tcPr>
            <w:tcW w:w="71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37"/>
        </w:trPr>
        <w:tc>
          <w:tcPr>
            <w:tcW w:w="3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180" w:type="dxa"/>
            <w:vAlign w:val="bottom"/>
          </w:tcPr>
          <w:p>
            <w:pPr>
              <w:spacing w:after="0"/>
              <w:rPr>
                <w:sz w:val="3"/>
                <w:szCs w:val="3"/>
                <w:color w:val="auto"/>
              </w:rPr>
            </w:pPr>
          </w:p>
        </w:tc>
      </w:tr>
      <w:tr>
        <w:trPr>
          <w:trHeight w:val="277"/>
        </w:trPr>
        <w:tc>
          <w:tcPr>
            <w:tcW w:w="30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Javier San Martin</w:t>
            </w:r>
          </w:p>
        </w:tc>
        <w:tc>
          <w:tcPr>
            <w:tcW w:w="760" w:type="dxa"/>
            <w:vAlign w:val="bottom"/>
            <w:tcBorders>
              <w:bottom w:val="single" w:sz="8" w:color="E5E5E5"/>
            </w:tcBorders>
            <w:shd w:val="clear" w:color="auto" w:fill="E5E5E5"/>
          </w:tcPr>
          <w:p>
            <w:pPr>
              <w:jc w:val="right"/>
              <w:ind w:right="113"/>
              <w:spacing w:after="0"/>
              <w:rPr>
                <w:sz w:val="20"/>
                <w:szCs w:val="20"/>
                <w:color w:val="auto"/>
              </w:rPr>
            </w:pPr>
            <w:r>
              <w:rPr>
                <w:rFonts w:ascii="Arial" w:cs="Arial" w:eastAsia="Arial" w:hAnsi="Arial"/>
                <w:sz w:val="18"/>
                <w:szCs w:val="18"/>
                <w:color w:val="auto"/>
              </w:rPr>
              <w:t>55</w:t>
            </w:r>
          </w:p>
        </w:tc>
        <w:tc>
          <w:tcPr>
            <w:tcW w:w="7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Chief Medical Officer</w:t>
            </w:r>
          </w:p>
        </w:tc>
      </w:tr>
      <w:tr>
        <w:trPr>
          <w:trHeight w:val="260"/>
        </w:trPr>
        <w:tc>
          <w:tcPr>
            <w:tcW w:w="3080" w:type="dxa"/>
            <w:vAlign w:val="bottom"/>
          </w:tcPr>
          <w:p>
            <w:pPr>
              <w:ind w:left="60"/>
              <w:spacing w:after="0"/>
              <w:rPr>
                <w:sz w:val="20"/>
                <w:szCs w:val="20"/>
                <w:color w:val="auto"/>
              </w:rPr>
            </w:pPr>
            <w:r>
              <w:rPr>
                <w:rFonts w:ascii="Arial" w:cs="Arial" w:eastAsia="Arial" w:hAnsi="Arial"/>
                <w:sz w:val="18"/>
                <w:szCs w:val="18"/>
                <w:color w:val="auto"/>
              </w:rPr>
              <w:t>James Hassard</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54</w:t>
            </w:r>
          </w:p>
        </w:tc>
        <w:tc>
          <w:tcPr>
            <w:tcW w:w="7180" w:type="dxa"/>
            <w:vAlign w:val="bottom"/>
          </w:tcPr>
          <w:p>
            <w:pPr>
              <w:ind w:left="200"/>
              <w:spacing w:after="0"/>
              <w:rPr>
                <w:sz w:val="20"/>
                <w:szCs w:val="20"/>
                <w:color w:val="auto"/>
              </w:rPr>
            </w:pPr>
            <w:r>
              <w:rPr>
                <w:rFonts w:ascii="Arial" w:cs="Arial" w:eastAsia="Arial" w:hAnsi="Arial"/>
                <w:sz w:val="18"/>
                <w:szCs w:val="18"/>
                <w:color w:val="auto"/>
              </w:rPr>
              <w:t>Chief Commercial Officer</w:t>
            </w:r>
          </w:p>
        </w:tc>
      </w:tr>
      <w:tr>
        <w:trPr>
          <w:trHeight w:val="37"/>
        </w:trPr>
        <w:tc>
          <w:tcPr>
            <w:tcW w:w="3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180" w:type="dxa"/>
            <w:vAlign w:val="bottom"/>
          </w:tcPr>
          <w:p>
            <w:pPr>
              <w:spacing w:after="0"/>
              <w:rPr>
                <w:sz w:val="3"/>
                <w:szCs w:val="3"/>
                <w:color w:val="auto"/>
              </w:rPr>
            </w:pPr>
          </w:p>
        </w:tc>
      </w:tr>
      <w:tr>
        <w:trPr>
          <w:trHeight w:val="277"/>
        </w:trPr>
        <w:tc>
          <w:tcPr>
            <w:tcW w:w="30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James Hamilton</w:t>
            </w:r>
          </w:p>
        </w:tc>
        <w:tc>
          <w:tcPr>
            <w:tcW w:w="760" w:type="dxa"/>
            <w:vAlign w:val="bottom"/>
            <w:tcBorders>
              <w:bottom w:val="single" w:sz="8" w:color="E5E5E5"/>
            </w:tcBorders>
            <w:shd w:val="clear" w:color="auto" w:fill="E5E5E5"/>
          </w:tcPr>
          <w:p>
            <w:pPr>
              <w:jc w:val="right"/>
              <w:ind w:right="113"/>
              <w:spacing w:after="0"/>
              <w:rPr>
                <w:sz w:val="20"/>
                <w:szCs w:val="20"/>
                <w:color w:val="auto"/>
              </w:rPr>
            </w:pPr>
            <w:r>
              <w:rPr>
                <w:rFonts w:ascii="Arial" w:cs="Arial" w:eastAsia="Arial" w:hAnsi="Arial"/>
                <w:sz w:val="18"/>
                <w:szCs w:val="18"/>
                <w:color w:val="auto"/>
              </w:rPr>
              <w:t>43</w:t>
            </w:r>
          </w:p>
        </w:tc>
        <w:tc>
          <w:tcPr>
            <w:tcW w:w="7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Senior Vice President, Discovery and Translational Medicine</w:t>
            </w:r>
          </w:p>
        </w:tc>
      </w:tr>
      <w:tr>
        <w:trPr>
          <w:trHeight w:val="260"/>
        </w:trPr>
        <w:tc>
          <w:tcPr>
            <w:tcW w:w="3080" w:type="dxa"/>
            <w:vAlign w:val="bottom"/>
          </w:tcPr>
          <w:p>
            <w:pPr>
              <w:ind w:left="60"/>
              <w:spacing w:after="0"/>
              <w:rPr>
                <w:sz w:val="20"/>
                <w:szCs w:val="20"/>
                <w:color w:val="auto"/>
              </w:rPr>
            </w:pPr>
            <w:r>
              <w:rPr>
                <w:rFonts w:ascii="Arial" w:cs="Arial" w:eastAsia="Arial" w:hAnsi="Arial"/>
                <w:sz w:val="18"/>
                <w:szCs w:val="18"/>
                <w:color w:val="auto"/>
              </w:rPr>
              <w:t>Patrick O’Brien</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57</w:t>
            </w:r>
          </w:p>
        </w:tc>
        <w:tc>
          <w:tcPr>
            <w:tcW w:w="7180" w:type="dxa"/>
            <w:vAlign w:val="bottom"/>
          </w:tcPr>
          <w:p>
            <w:pPr>
              <w:ind w:left="200"/>
              <w:spacing w:after="0"/>
              <w:rPr>
                <w:sz w:val="20"/>
                <w:szCs w:val="20"/>
                <w:color w:val="auto"/>
              </w:rPr>
            </w:pPr>
            <w:r>
              <w:rPr>
                <w:rFonts w:ascii="Arial" w:cs="Arial" w:eastAsia="Arial" w:hAnsi="Arial"/>
                <w:sz w:val="18"/>
                <w:szCs w:val="18"/>
                <w:color w:val="auto"/>
              </w:rPr>
              <w:t>General Counsel, Corporate Secretary, and Chief Compliance Officer</w:t>
            </w:r>
          </w:p>
        </w:tc>
      </w:tr>
      <w:tr>
        <w:trPr>
          <w:trHeight w:val="37"/>
        </w:trPr>
        <w:tc>
          <w:tcPr>
            <w:tcW w:w="3080" w:type="dxa"/>
            <w:vAlign w:val="bottom"/>
            <w:tcBorders>
              <w:bottom w:val="single" w:sz="8" w:color="0071CE"/>
            </w:tcBorders>
          </w:tcPr>
          <w:p>
            <w:pPr>
              <w:spacing w:after="0"/>
              <w:rPr>
                <w:sz w:val="3"/>
                <w:szCs w:val="3"/>
                <w:color w:val="auto"/>
              </w:rPr>
            </w:pPr>
          </w:p>
        </w:tc>
        <w:tc>
          <w:tcPr>
            <w:tcW w:w="760" w:type="dxa"/>
            <w:vAlign w:val="bottom"/>
            <w:tcBorders>
              <w:bottom w:val="single" w:sz="8" w:color="0071CE"/>
            </w:tcBorders>
          </w:tcPr>
          <w:p>
            <w:pPr>
              <w:spacing w:after="0"/>
              <w:rPr>
                <w:sz w:val="3"/>
                <w:szCs w:val="3"/>
                <w:color w:val="auto"/>
              </w:rPr>
            </w:pPr>
          </w:p>
        </w:tc>
        <w:tc>
          <w:tcPr>
            <w:tcW w:w="7180" w:type="dxa"/>
            <w:vAlign w:val="bottom"/>
            <w:tcBorders>
              <w:bottom w:val="single" w:sz="8" w:color="0071CE"/>
            </w:tcBorders>
          </w:tcPr>
          <w:p>
            <w:pPr>
              <w:spacing w:after="0"/>
              <w:rPr>
                <w:sz w:val="3"/>
                <w:szCs w:val="3"/>
                <w:color w:val="auto"/>
              </w:rPr>
            </w:pPr>
          </w:p>
        </w:tc>
      </w:tr>
    </w:tbl>
    <w:p>
      <w:pPr>
        <w:spacing w:after="0" w:line="196"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the Company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ind w:left="120" w:right="120"/>
        <w:spacing w:after="0" w:line="251"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81915</wp:posOffset>
            </wp:positionV>
            <wp:extent cx="98615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50</w:t>
      </w:r>
    </w:p>
    <w:p>
      <w:pPr>
        <w:sectPr>
          <w:pgSz w:w="11900" w:h="16838" w:orient="portrait"/>
          <w:cols w:equalWidth="0" w:num="1">
            <w:col w:w="11140"/>
          </w:cols>
          <w:pgMar w:left="320" w:top="455" w:right="4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6560"/>
        <w:spacing w:after="0"/>
        <w:tabs>
          <w:tab w:leader="none" w:pos="846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45" w:lineRule="exact"/>
        <w:rPr>
          <w:sz w:val="20"/>
          <w:szCs w:val="20"/>
          <w:color w:val="auto"/>
        </w:rPr>
      </w:pPr>
    </w:p>
    <w:p>
      <w:pPr>
        <w:ind w:left="120" w:right="160"/>
        <w:spacing w:after="0" w:line="252"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General Counsel, Corporate Secretary, and Chief Compliance Officer, joined the Company in December 2014. Mr. O’Brien has</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practiced in the healthcare legal field for over 25 years. Before joining the Company, from 2012 to 2014, Mr. O’Brien was with Shire, as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to 2010, Mr. O’Brien was a partner in Burke O’Neil LLC. From 2001 to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78"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b w:val="1"/>
          <w:bCs w:val="1"/>
          <w:color w:val="auto"/>
        </w:rPr>
        <w:t xml:space="preserve">Javier San Martin, </w:t>
      </w:r>
      <w:r>
        <w:rPr>
          <w:rFonts w:ascii="Arial" w:cs="Arial" w:eastAsia="Arial" w:hAnsi="Arial"/>
          <w:sz w:val="16"/>
          <w:szCs w:val="16"/>
          <w:color w:val="auto"/>
        </w:rPr>
        <w:t>Chief Medical Officer, joined the Company in November 2019. Dr. San Martin previously served as Senior Vice President and Head</w:t>
      </w:r>
      <w:r>
        <w:rPr>
          <w:rFonts w:ascii="Arial" w:cs="Arial" w:eastAsia="Arial" w:hAnsi="Arial"/>
          <w:sz w:val="16"/>
          <w:szCs w:val="16"/>
          <w:b w:val="1"/>
          <w:bCs w:val="1"/>
          <w:color w:val="auto"/>
        </w:rPr>
        <w:t xml:space="preserve"> </w:t>
      </w:r>
      <w:r>
        <w:rPr>
          <w:rFonts w:ascii="Arial" w:cs="Arial" w:eastAsia="Arial" w:hAnsi="Arial"/>
          <w:sz w:val="16"/>
          <w:szCs w:val="16"/>
          <w:color w:val="auto"/>
        </w:rPr>
        <w:t>of Global Clinical Development at Ultragenyx from 2013 until November 2019. At Ultragenyx he led the development of burosumab, a novel drug for the treatment of X-Linked Hypophosphatemia approved across major regions including the United States, the European Union, and Canada. Before his tenure at Ultragenyx, he served as Senior Vice President of Clinical Development at Alder Biopharmaceuticals, where he was responsible for managing the medical, regulatory, and clinical operations group focused on early clinical programs. From 2006 to 2011, Dr. San Martin was a Global Development Leader at Amgen, Inc., where he was responsible for two major development programs. He directed the romosozumab clinical program through the end of phase II, and before that, was responsible for the development and approval of denosumab, the largest branded anti-osteoporosis treatment for postmenopausal osteoporosis and the first monoclonal antibody to address a very prevalent disease treated by primary care physicians. Prior to his time at Amgen, he spent seven years at Eli Lilly and Company, supporting late stage clinical development as well as medical affairs activities, including the successful launch of Evista and Forteo. He received his medical degree from the University of Buenos Aires Medical School and completed his residence in internal medicine at CEMIC University Hospital in Buenos Aires, Argentina, serving as Chief Resident, and, thereafter, as Attending Physician responsible for the internal medicine ward.</w:t>
      </w:r>
    </w:p>
    <w:p>
      <w:pPr>
        <w:spacing w:after="0" w:line="184"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b w:val="1"/>
          <w:bCs w:val="1"/>
          <w:color w:val="auto"/>
        </w:rPr>
        <w:t xml:space="preserve">James Hamilton, </w:t>
      </w:r>
      <w:r>
        <w:rPr>
          <w:rFonts w:ascii="Arial" w:cs="Arial" w:eastAsia="Arial" w:hAnsi="Arial"/>
          <w:sz w:val="16"/>
          <w:szCs w:val="16"/>
          <w:color w:val="auto"/>
        </w:rPr>
        <w:t>Senior Vice President, Discovery &amp; Translational Medicine, joined the Company in 2014. He is responsible for target discovery as well</w:t>
      </w:r>
      <w:r>
        <w:rPr>
          <w:rFonts w:ascii="Arial" w:cs="Arial" w:eastAsia="Arial" w:hAnsi="Arial"/>
          <w:sz w:val="16"/>
          <w:szCs w:val="16"/>
          <w:b w:val="1"/>
          <w:bCs w:val="1"/>
          <w:color w:val="auto"/>
        </w:rPr>
        <w:t xml:space="preserve"> </w:t>
      </w:r>
      <w:r>
        <w:rPr>
          <w:rFonts w:ascii="Arial" w:cs="Arial" w:eastAsia="Arial" w:hAnsi="Arial"/>
          <w:sz w:val="16"/>
          <w:szCs w:val="16"/>
          <w:color w:val="auto"/>
        </w:rPr>
        <w:t>as non-clinical and early clinical development. Previously, Dr. Hamilton served as Vice President, Clinical Development, responsible for clinical strategy, clinical trial design and execution including early translational and mid-stage development of all Arrowhead programs. He is experienced in multiple disease areas including virology, hepatology, cardiovascular disease, rare disease and oncology. Dr. Hamilton led the clinical development of ARO-HBV (now JNJ-3989), which was licensed to Janssen Pharmaceuticals. In parallel, Dr. Hamilton served as Head of Corporate Development and led Arrowhead’s in-licensing transaction of Novartis’ RNAi assets, as well as the out-licensing of ARO-LPA (now AMG890) to Amgen and the ARO-AAT partnership with Takeda. Dr. Hamilton started his employment at Arrowhead as Medical Director and Head of Corporate development. He holds both MD and MBA degrees from The Ohio State University. He is a licensed physician and completed residency training with board certification in emergency medicine.</w:t>
      </w:r>
    </w:p>
    <w:p>
      <w:pPr>
        <w:spacing w:after="0" w:line="178"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b w:val="1"/>
          <w:bCs w:val="1"/>
          <w:color w:val="auto"/>
        </w:rPr>
        <w:t xml:space="preserve">James Hassard, </w:t>
      </w:r>
      <w:r>
        <w:rPr>
          <w:rFonts w:ascii="Arial" w:cs="Arial" w:eastAsia="Arial" w:hAnsi="Arial"/>
          <w:sz w:val="16"/>
          <w:szCs w:val="16"/>
          <w:color w:val="auto"/>
        </w:rPr>
        <w:t>Chief Commercial Officer, joined the Company in January 2020. Mr. Hassard served as Senior Vice President of Marketing and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Access at Coherus BioSciences from 2016 to December 2019, where he was instrumental in building the commercial organization and commercial capabilities. He co-led the launch of Coherus’ first product, a biosimilar, pegfilgrastim; one of the most successful pharmaceutical launches of 2019. Prior to his tenure at Coherus, Mr. Hassard served as Vice President of Marketing at Medivation, prior to and through its acquisition by Pfizer Pharmaceuticals. From 1999 to 2016, he held multiple increasingly senior commercial roles at Amgen, Inc., across sales and marketing, domestic and international, including an assignment as General Manager of Amgen Portugal. He was responsible for the launch, growth, and subsequent life-cycle management of several oncology and nephrology products, including darbepoetin alfa and cinacalcet. Prior to Amgen, Mr. Hassard spent several years at Schering-Plough Canada, in sales and marketing roles, in the therapeutic areas of oncology, cardiovascular and hepatitis. He received his Bachelor of Science in pharmacology from the University of Toronto and a master’s in business administration from Nova Southeastern University, Florida.</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2020, all of its officers, directors and significant stockholders complied with all applicable filing requirements under Section 16(a), except that, due to administrative error, Marianne De Backer filed a late Form 4 on June 24, 2020 with respect to 8 open market purchases that occurred between January 13, 2020 and 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81280</wp:posOffset>
            </wp:positionV>
            <wp:extent cx="98615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7"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51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58"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auto"/>
        </w:rPr>
        <w:t>Our Board has adopted written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7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83"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81915</wp:posOffset>
            </wp:positionV>
            <wp:extent cx="98615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52</w:t>
      </w:r>
    </w:p>
    <w:p>
      <w:pPr>
        <w:sectPr>
          <w:pgSz w:w="11900" w:h="16838" w:orient="portrait"/>
          <w:cols w:equalWidth="0" w:num="1">
            <w:col w:w="11080"/>
          </w:cols>
          <w:pgMar w:left="320" w:top="455"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4000"/>
        <w:spacing w:after="0"/>
        <w:tabs>
          <w:tab w:leader="none" w:pos="59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123" w:lineRule="exact"/>
        <w:rPr>
          <w:sz w:val="20"/>
          <w:szCs w:val="20"/>
          <w:color w:val="auto"/>
        </w:rPr>
      </w:pPr>
    </w:p>
    <w:p>
      <w:pPr>
        <w:ind w:left="120" w:right="1580"/>
        <w:spacing w:after="0" w:line="306" w:lineRule="auto"/>
        <w:rPr>
          <w:sz w:val="20"/>
          <w:szCs w:val="20"/>
          <w:color w:val="auto"/>
        </w:rPr>
      </w:pPr>
      <w:r>
        <w:rPr>
          <w:rFonts w:ascii="Arial" w:cs="Arial" w:eastAsia="Arial" w:hAnsi="Arial"/>
          <w:sz w:val="32"/>
          <w:szCs w:val="32"/>
          <w:b w:val="1"/>
          <w:bCs w:val="1"/>
          <w:color w:val="0071CE"/>
        </w:rPr>
        <w:t>Certain Relationships and Related Transactions, and Director Independence</w:t>
      </w:r>
    </w:p>
    <w:p>
      <w:pPr>
        <w:spacing w:after="0" w:line="166" w:lineRule="exact"/>
        <w:rPr>
          <w:sz w:val="20"/>
          <w:szCs w:val="20"/>
          <w:color w:val="auto"/>
        </w:rPr>
      </w:pPr>
    </w:p>
    <w:p>
      <w:pPr>
        <w:ind w:left="120" w:right="200"/>
        <w:spacing w:after="0" w:line="261" w:lineRule="auto"/>
        <w:rPr>
          <w:sz w:val="20"/>
          <w:szCs w:val="20"/>
          <w:color w:val="auto"/>
        </w:rPr>
      </w:pPr>
      <w:r>
        <w:rPr>
          <w:rFonts w:ascii="Arial" w:cs="Arial" w:eastAsia="Arial" w:hAnsi="Arial"/>
          <w:sz w:val="16"/>
          <w:szCs w:val="16"/>
          <w:color w:val="auto"/>
        </w:rPr>
        <w:t>As of September 30, 2020,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former Chief Operating Officer. Non-employee directors do not receive consulting, legal or other fees from the Company, other than Board compensation.</w:t>
      </w:r>
    </w:p>
    <w:p>
      <w:pPr>
        <w:spacing w:after="0" w:line="172"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Chief Executive Officer. Vincent Anzalone earned base salary and bonus of $290,367 during fiscal year 2020. His current base salary is $252,206. In January 2020, Mr. Anzalone was awarded 32,000 restricted stock units, and this award vests in four annual tranches from the grant date. The grant date fair value of this award is $2,029,760.</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Company will mail, without charge to any stockholder upon written request, a copy of the Company’s Annual Report on Form 10-K for the year ended September 30, 2020 including the financial statements, schedules and a list of exhibits. Requests should be sent to Arrowhead Pharmaceuticals, Inc., 177 E. Colorado Blvd., Suite 700, Pasadena, CA 91105, Attn: Corporate Secretary, Phone (626) 304-3400.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7"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Arrowhead Pharmaceuticals, Inc.</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177 E. Colorado Blvd., Suite 700</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Pasadena CA 91105</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Attn: 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Phone (626) 304-3400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Patrick O’Brien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Patrick O’Brien,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Secretary</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Pasadena, California</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96520</wp:posOffset>
            </wp:positionV>
            <wp:extent cx="98615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61"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53</w:t>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ARROWHEAD PHARMACEUTICALS, INC.</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2021 INCENTIVE PLAN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1.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i w:val="1"/>
          <w:iCs w:val="1"/>
          <w:u w:val="single" w:color="auto"/>
          <w:color w:val="auto"/>
        </w:rPr>
        <w:t>Exhibit A</w:t>
      </w:r>
      <w:r>
        <w:rPr>
          <w:rFonts w:ascii="Arial" w:cs="Arial" w:eastAsia="Arial" w:hAnsi="Arial"/>
          <w:sz w:val="16"/>
          <w:szCs w:val="16"/>
          <w:color w:val="auto"/>
        </w:rPr>
        <w:t>, which is incorporated by reference, defines the terms used in the Plan and sets forth certain operational rules related to those terms.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2.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The Plan has been established to advance the interests of the Company by providing for the grant to Participants of Stock-based and other incentive Awards.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3.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determine whether Awards should be settled in cash and/or shares of Stock; and otherwise do all things necessary or appropriate to carry out the purposes of the Plan. Determinations of the Administrator made under the Plan will be conclusive and will bind all parties.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4. LIMITS ON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right="20" w:hanging="4"/>
        <w:spacing w:after="0" w:line="249" w:lineRule="auto"/>
        <w:tabs>
          <w:tab w:leader="none" w:pos="363" w:val="left"/>
        </w:tabs>
        <w:numPr>
          <w:ilvl w:val="0"/>
          <w:numId w:val="67"/>
        </w:numPr>
        <w:rPr>
          <w:rFonts w:ascii="Arial" w:cs="Arial" w:eastAsia="Arial" w:hAnsi="Arial"/>
          <w:sz w:val="16"/>
          <w:szCs w:val="16"/>
          <w:color w:val="auto"/>
        </w:rPr>
      </w:pP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maximum number of shares of Stock that may be delivered in satisfaction of Awards under the Plan is 8,000,000, reduced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any shares of Common Stock subject to awards made under the Prior Plan after January 1, 2021. Shares of Stock subject to outstanding awards under the Prior Plans as of January 1, 2021 that, after January 1, 2021, are canceled, expired, forfeited or otherwise not issued under such award (other than as a result of being tendered or withheld to pay the exercise price or withholding taxes in connection with any such awards) or settled in cash shall be added to the number of shares of Stock issuable under the Plan. No more than 8,000,000 shares of Stock may be delivered in satisfaction of ISOs awarded under the Plan. Nothing in this Section 4(a) will be construed as requiring that any, or any fixed number of, ISOs be awarded under the Plan. For purposes of this Section 4(a), the number of shares of Stock delivered in satisfaction of Awards will be determined (i) by treating as having been delivered any shares of Stock underlying the portion of any Award that is settled in Stock, (ii) by treating as having been delivered any shares of Stock tendered to or withheld by the Company from any Award in payment of the exercise price of any Award requiring exercise or in satisfaction of the tax withholding requirements with respect to any Award, and (iii) by treating as having been delivered any shares of Stock purchased by the Company with proceeds from the exercise of Stock Options. Stock underlying the portion of any Award that expires, terminates or is forfeited or is settled in cash prior to the issuance of Stock thereunder shall not be counted as having been delivered under the Plan. To the extent consistent with the requirements of Section 422 and the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w:t>
      </w:r>
    </w:p>
    <w:p>
      <w:pPr>
        <w:spacing w:after="0" w:line="187" w:lineRule="exact"/>
        <w:rPr>
          <w:rFonts w:ascii="Arial" w:cs="Arial" w:eastAsia="Arial" w:hAnsi="Arial"/>
          <w:sz w:val="16"/>
          <w:szCs w:val="16"/>
          <w:color w:val="auto"/>
        </w:rPr>
      </w:pPr>
    </w:p>
    <w:p>
      <w:pPr>
        <w:ind w:left="120" w:right="300" w:hanging="4"/>
        <w:spacing w:after="0" w:line="291" w:lineRule="auto"/>
        <w:tabs>
          <w:tab w:leader="none" w:pos="363" w:val="left"/>
        </w:tabs>
        <w:numPr>
          <w:ilvl w:val="0"/>
          <w:numId w:val="67"/>
        </w:numPr>
        <w:rPr>
          <w:rFonts w:ascii="Arial" w:cs="Arial" w:eastAsia="Arial" w:hAnsi="Arial"/>
          <w:sz w:val="16"/>
          <w:szCs w:val="16"/>
          <w:color w:val="auto"/>
        </w:rPr>
      </w:pPr>
      <w:r>
        <w:rPr>
          <w:rFonts w:ascii="Arial" w:cs="Arial" w:eastAsia="Arial" w:hAnsi="Arial"/>
          <w:sz w:val="16"/>
          <w:szCs w:val="16"/>
          <w:i w:val="1"/>
          <w:iCs w:val="1"/>
          <w:u w:val="single" w:color="auto"/>
          <w:color w:val="auto"/>
        </w:rPr>
        <w:t>Type of Shares</w:t>
      </w:r>
      <w:r>
        <w:rPr>
          <w:rFonts w:ascii="Arial" w:cs="Arial" w:eastAsia="Arial" w:hAnsi="Arial"/>
          <w:sz w:val="16"/>
          <w:szCs w:val="16"/>
          <w:color w:val="auto"/>
        </w:rPr>
        <w:t>. Stock delivered by the Company under the Plan may be authorized but unissued Stock or previously issued Stock acquired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No fractional shares of Stock will be delivered under the Plan.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5. ELIGIBILITY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7" w:lineRule="exact"/>
        <w:rPr>
          <w:sz w:val="20"/>
          <w:szCs w:val="20"/>
          <w:color w:val="auto"/>
        </w:rPr>
      </w:pPr>
    </w:p>
    <w:p>
      <w:pPr>
        <w:ind w:left="120" w:right="100"/>
        <w:spacing w:after="0" w:line="257" w:lineRule="auto"/>
        <w:rPr>
          <w:sz w:val="20"/>
          <w:szCs w:val="20"/>
          <w:color w:val="auto"/>
        </w:rPr>
      </w:pPr>
      <w:r>
        <w:rPr>
          <w:rFonts w:ascii="Arial" w:cs="Arial" w:eastAsia="Arial" w:hAnsi="Arial"/>
          <w:sz w:val="16"/>
          <w:szCs w:val="16"/>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either the Company or to a subsidiary of the Company that would be described in the first sentence of Treas. Regs. §1.409A-1(b)(5)(iii)(E).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80645</wp:posOffset>
            </wp:positionV>
            <wp:extent cx="98615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54</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6. RULES APPLICABLE TO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left="360" w:hanging="244"/>
        <w:spacing w:after="0"/>
        <w:tabs>
          <w:tab w:leader="none" w:pos="360" w:val="left"/>
        </w:tabs>
        <w:numPr>
          <w:ilvl w:val="0"/>
          <w:numId w:val="68"/>
        </w:numPr>
        <w:rPr>
          <w:rFonts w:ascii="Arial" w:cs="Arial" w:eastAsia="Arial" w:hAnsi="Arial"/>
          <w:sz w:val="16"/>
          <w:szCs w:val="16"/>
          <w:color w:val="auto"/>
        </w:rPr>
      </w:pPr>
      <w:r>
        <w:rPr>
          <w:rFonts w:ascii="Arial" w:cs="Arial" w:eastAsia="Arial" w:hAnsi="Arial"/>
          <w:sz w:val="16"/>
          <w:szCs w:val="16"/>
          <w:i w:val="1"/>
          <w:iCs w:val="1"/>
          <w:u w:val="single" w:color="auto"/>
          <w:color w:val="auto"/>
        </w:rPr>
        <w:t>All Awards</w:t>
      </w:r>
      <w:r>
        <w:rPr>
          <w:rFonts w:ascii="Arial" w:cs="Arial" w:eastAsia="Arial" w:hAnsi="Arial"/>
          <w:sz w:val="16"/>
          <w:szCs w:val="16"/>
          <w:color w:val="auto"/>
        </w:rPr>
        <w:t>.</w:t>
      </w:r>
    </w:p>
    <w:p>
      <w:pPr>
        <w:spacing w:after="0" w:line="221" w:lineRule="exact"/>
        <w:rPr>
          <w:sz w:val="20"/>
          <w:szCs w:val="20"/>
          <w:color w:val="auto"/>
        </w:rPr>
      </w:pPr>
    </w:p>
    <w:p>
      <w:pPr>
        <w:ind w:left="120" w:right="40" w:hanging="4"/>
        <w:spacing w:after="0" w:line="257" w:lineRule="auto"/>
        <w:tabs>
          <w:tab w:leader="none" w:pos="363"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Award Provisions</w:t>
      </w:r>
      <w:r>
        <w:rPr>
          <w:rFonts w:ascii="Arial" w:cs="Arial" w:eastAsia="Arial" w:hAnsi="Arial"/>
          <w:sz w:val="16"/>
          <w:szCs w:val="16"/>
          <w:color w:val="auto"/>
        </w:rPr>
        <w:t>. The Administrator will determine the terms of all Awards, subject to the limitations provided herein. By accepting (or, under such</w:t>
      </w:r>
      <w:r>
        <w:rPr>
          <w:rFonts w:ascii="Arial" w:cs="Arial" w:eastAsia="Arial" w:hAnsi="Arial"/>
          <w:sz w:val="16"/>
          <w:szCs w:val="16"/>
          <w:i w:val="1"/>
          <w:iCs w:val="1"/>
          <w:color w:val="auto"/>
        </w:rPr>
        <w:t xml:space="preserve"> </w:t>
      </w:r>
      <w:r>
        <w:rPr>
          <w:rFonts w:ascii="Arial" w:cs="Arial" w:eastAsia="Arial" w:hAnsi="Arial"/>
          <w:sz w:val="16"/>
          <w:szCs w:val="16"/>
          <w:color w:val="auto"/>
        </w:rPr>
        <w:t>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175" w:lineRule="exact"/>
        <w:rPr>
          <w:rFonts w:ascii="Arial" w:cs="Arial" w:eastAsia="Arial" w:hAnsi="Arial"/>
          <w:sz w:val="16"/>
          <w:szCs w:val="16"/>
          <w:color w:val="auto"/>
        </w:rPr>
      </w:pPr>
    </w:p>
    <w:p>
      <w:pPr>
        <w:ind w:left="120" w:right="300" w:hanging="4"/>
        <w:spacing w:after="0" w:line="291" w:lineRule="auto"/>
        <w:tabs>
          <w:tab w:leader="none" w:pos="363"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Term of Plan</w:t>
      </w:r>
      <w:r>
        <w:rPr>
          <w:rFonts w:ascii="Arial" w:cs="Arial" w:eastAsia="Arial" w:hAnsi="Arial"/>
          <w:sz w:val="16"/>
          <w:szCs w:val="16"/>
          <w:color w:val="auto"/>
        </w:rPr>
        <w:t>. No Awards may be made after ten years from the Date of Adoption, but previously granted Awards may continue beyond that date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their terms.</w:t>
      </w:r>
    </w:p>
    <w:p>
      <w:pPr>
        <w:spacing w:after="0" w:line="147" w:lineRule="exact"/>
        <w:rPr>
          <w:rFonts w:ascii="Arial" w:cs="Arial" w:eastAsia="Arial" w:hAnsi="Arial"/>
          <w:sz w:val="16"/>
          <w:szCs w:val="16"/>
          <w:color w:val="auto"/>
        </w:rPr>
      </w:pPr>
    </w:p>
    <w:p>
      <w:pPr>
        <w:ind w:left="360" w:hanging="244"/>
        <w:spacing w:after="0"/>
        <w:tabs>
          <w:tab w:leader="none" w:pos="360"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Transferability</w:t>
      </w:r>
      <w:r>
        <w:rPr>
          <w:rFonts w:ascii="Arial" w:cs="Arial" w:eastAsia="Arial" w:hAnsi="Arial"/>
          <w:sz w:val="16"/>
          <w:szCs w:val="16"/>
          <w:color w:val="auto"/>
        </w:rPr>
        <w:t>. Neither ISOs nor, except as the Administrator otherwise expressly provides in accordance with the third sentence of this Section 6(a)</w:t>
      </w:r>
    </w:p>
    <w:p>
      <w:pPr>
        <w:spacing w:after="0" w:line="25" w:lineRule="exact"/>
        <w:rPr>
          <w:rFonts w:ascii="Arial" w:cs="Arial" w:eastAsia="Arial" w:hAnsi="Arial"/>
          <w:sz w:val="16"/>
          <w:szCs w:val="16"/>
          <w:color w:val="auto"/>
        </w:rPr>
      </w:pPr>
    </w:p>
    <w:p>
      <w:pPr>
        <w:ind w:left="120" w:right="80"/>
        <w:spacing w:after="0" w:line="252" w:lineRule="auto"/>
        <w:rPr>
          <w:rFonts w:ascii="Arial" w:cs="Arial" w:eastAsia="Arial" w:hAnsi="Arial"/>
          <w:sz w:val="16"/>
          <w:szCs w:val="16"/>
          <w:color w:val="auto"/>
        </w:rPr>
      </w:pPr>
      <w:r>
        <w:rPr>
          <w:rFonts w:ascii="Arial" w:cs="Arial" w:eastAsia="Arial" w:hAnsi="Arial"/>
          <w:sz w:val="16"/>
          <w:szCs w:val="16"/>
          <w:color w:val="auto"/>
        </w:rPr>
        <w:t>(3), other Awards may be transferred other than by will or by the laws of descent and distribution. During a Participant’s lifetime, ISOs (and, except as the Administrator otherwise expressly provides in accordance with the third sentence of this Section 6(a)(3), SARs and NSOs) may be exercised only by the Participant. The Administrator may permit the gratuitous transfer (</w:t>
      </w:r>
      <w:r>
        <w:rPr>
          <w:rFonts w:ascii="Arial" w:cs="Arial" w:eastAsia="Arial" w:hAnsi="Arial"/>
          <w:sz w:val="16"/>
          <w:szCs w:val="16"/>
          <w:i w:val="1"/>
          <w:iCs w:val="1"/>
          <w:color w:val="auto"/>
        </w:rPr>
        <w:t>i.e.</w:t>
      </w:r>
      <w:r>
        <w:rPr>
          <w:rFonts w:ascii="Arial" w:cs="Arial" w:eastAsia="Arial" w:hAnsi="Arial"/>
          <w:sz w:val="16"/>
          <w:szCs w:val="16"/>
          <w:color w:val="auto"/>
        </w:rPr>
        <w:t>, transfer not for value) of Awards other than ISOs to any transferee eligible to be covered by the provisions of Form S-8 (under the Securities Act of 1933, as amended), subject to such limitations as the Administrator may impose.</w:t>
      </w:r>
    </w:p>
    <w:p>
      <w:pPr>
        <w:spacing w:after="0" w:line="179" w:lineRule="exact"/>
        <w:rPr>
          <w:rFonts w:ascii="Arial" w:cs="Arial" w:eastAsia="Arial" w:hAnsi="Arial"/>
          <w:sz w:val="16"/>
          <w:szCs w:val="16"/>
          <w:color w:val="auto"/>
        </w:rPr>
      </w:pPr>
    </w:p>
    <w:p>
      <w:pPr>
        <w:ind w:left="120" w:right="100" w:hanging="4"/>
        <w:spacing w:after="0" w:line="261" w:lineRule="auto"/>
        <w:tabs>
          <w:tab w:leader="none" w:pos="363"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etc</w:t>
      </w:r>
      <w:r>
        <w:rPr>
          <w:rFonts w:ascii="Arial" w:cs="Arial" w:eastAsia="Arial" w:hAnsi="Arial"/>
          <w:sz w:val="16"/>
          <w:szCs w:val="16"/>
          <w:color w:val="auto"/>
        </w:rPr>
        <w:t>. Subject to Section 6(a)(5), the Administrator will determine the time or times at which an Award will vest or become exercisable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172" w:lineRule="exact"/>
        <w:rPr>
          <w:sz w:val="20"/>
          <w:szCs w:val="20"/>
          <w:color w:val="auto"/>
        </w:rPr>
      </w:pPr>
    </w:p>
    <w:p>
      <w:pPr>
        <w:ind w:left="120" w:right="20" w:hanging="4"/>
        <w:spacing w:after="0" w:line="269" w:lineRule="auto"/>
        <w:tabs>
          <w:tab w:leader="none" w:pos="381" w:val="left"/>
        </w:tabs>
        <w:numPr>
          <w:ilvl w:val="0"/>
          <w:numId w:val="70"/>
        </w:numPr>
        <w:rPr>
          <w:rFonts w:ascii="Arial" w:cs="Arial" w:eastAsia="Arial" w:hAnsi="Arial"/>
          <w:sz w:val="16"/>
          <w:szCs w:val="16"/>
          <w:color w:val="auto"/>
        </w:rPr>
      </w:pPr>
      <w:r>
        <w:rPr>
          <w:rFonts w:ascii="Arial" w:cs="Arial" w:eastAsia="Arial" w:hAnsi="Arial"/>
          <w:sz w:val="16"/>
          <w:szCs w:val="16"/>
          <w:color w:val="auto"/>
        </w:rPr>
        <w:t>Immediately upon the cessation of the Participant’s Employment and except as provided in (B), (C), and (D)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64" w:lineRule="exact"/>
        <w:rPr>
          <w:rFonts w:ascii="Arial" w:cs="Arial" w:eastAsia="Arial" w:hAnsi="Arial"/>
          <w:sz w:val="16"/>
          <w:szCs w:val="16"/>
          <w:color w:val="auto"/>
        </w:rPr>
      </w:pPr>
    </w:p>
    <w:p>
      <w:pPr>
        <w:ind w:left="120" w:right="60" w:hanging="4"/>
        <w:spacing w:after="0" w:line="261" w:lineRule="auto"/>
        <w:tabs>
          <w:tab w:leader="none" w:pos="381"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Subject to (C), (D) and (E) below, all Stock Options and SARs held by the Participant or the Participant’s permitted transferees, if any, immediately prior to the cessation of the Participant’s Employment, to the extent then exercisable, will remain exercisable for the lesser of (i) a period of three months and (ii) the period ending on the latest date on which such Stock Option or SAR could have been exercised without regard to this Section 6(a)(4), and will thereupon immediately terminate.</w:t>
      </w:r>
    </w:p>
    <w:p>
      <w:pPr>
        <w:spacing w:after="0" w:line="171" w:lineRule="exact"/>
        <w:rPr>
          <w:rFonts w:ascii="Arial" w:cs="Arial" w:eastAsia="Arial" w:hAnsi="Arial"/>
          <w:sz w:val="16"/>
          <w:szCs w:val="16"/>
          <w:color w:val="auto"/>
        </w:rPr>
      </w:pPr>
    </w:p>
    <w:p>
      <w:pPr>
        <w:ind w:left="120" w:right="60" w:hanging="4"/>
        <w:spacing w:after="0" w:line="261" w:lineRule="auto"/>
        <w:tabs>
          <w:tab w:leader="none" w:pos="39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Stock Options and SARs held by a Participant or the Participant’s permitted transferees, if any, immediately prior to the cessation of the Participant’s Employment due to his or her death, to the extent then exercisable, will remain exercisable for the lesser of (i) a period of twelve months and (ii) the period ending on the latest date on which such Stock Option or SAR could have been exercised without regard to this Section 6(a)(4), and will thereupon immediately terminate.</w:t>
      </w:r>
    </w:p>
    <w:p>
      <w:pPr>
        <w:spacing w:after="0" w:line="171" w:lineRule="exact"/>
        <w:rPr>
          <w:rFonts w:ascii="Arial" w:cs="Arial" w:eastAsia="Arial" w:hAnsi="Arial"/>
          <w:sz w:val="16"/>
          <w:szCs w:val="16"/>
          <w:color w:val="auto"/>
        </w:rPr>
      </w:pPr>
    </w:p>
    <w:p>
      <w:pPr>
        <w:ind w:left="120" w:right="140" w:hanging="4"/>
        <w:spacing w:after="0" w:line="261" w:lineRule="auto"/>
        <w:tabs>
          <w:tab w:leader="none" w:pos="39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Stock Options and SARs held by a Participant or the Participant’s permitted transferees, if any, immediately prior to the cessation of the Participant’s Employment due to his or her “permanent and total disability” (within the meaning of Section 22(e)(3) of the Code, to the extent then exercisable, will remain exercisable for the lesser of (i) a period of six months and (ii) the period ending on the latest date on which such Stock Option or SAR could have been exercised without regard to this Section 6(a)(4), and will thereupon immediately terminate.</w:t>
      </w:r>
    </w:p>
    <w:p>
      <w:pPr>
        <w:spacing w:after="0" w:line="171" w:lineRule="exact"/>
        <w:rPr>
          <w:rFonts w:ascii="Arial" w:cs="Arial" w:eastAsia="Arial" w:hAnsi="Arial"/>
          <w:sz w:val="16"/>
          <w:szCs w:val="16"/>
          <w:color w:val="auto"/>
        </w:rPr>
      </w:pPr>
    </w:p>
    <w:p>
      <w:pPr>
        <w:jc w:val="both"/>
        <w:ind w:left="120" w:right="60" w:hanging="4"/>
        <w:spacing w:after="0" w:line="269" w:lineRule="auto"/>
        <w:tabs>
          <w:tab w:leader="none" w:pos="381"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Awards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w:t>
      </w:r>
    </w:p>
    <w:p>
      <w:pPr>
        <w:spacing w:after="0" w:line="164" w:lineRule="exact"/>
        <w:rPr>
          <w:sz w:val="20"/>
          <w:szCs w:val="20"/>
          <w:color w:val="auto"/>
        </w:rPr>
      </w:pPr>
    </w:p>
    <w:p>
      <w:pPr>
        <w:ind w:left="120" w:right="60" w:hanging="4"/>
        <w:spacing w:after="0" w:line="261" w:lineRule="auto"/>
        <w:tabs>
          <w:tab w:leader="none" w:pos="363" w:val="left"/>
        </w:tabs>
        <w:numPr>
          <w:ilvl w:val="0"/>
          <w:numId w:val="71"/>
        </w:numPr>
        <w:rPr>
          <w:rFonts w:ascii="Arial" w:cs="Arial" w:eastAsia="Arial" w:hAnsi="Arial"/>
          <w:sz w:val="16"/>
          <w:szCs w:val="16"/>
          <w:color w:val="auto"/>
        </w:rPr>
      </w:pPr>
      <w:r>
        <w:rPr>
          <w:rFonts w:ascii="Arial" w:cs="Arial" w:eastAsia="Arial" w:hAnsi="Arial"/>
          <w:sz w:val="16"/>
          <w:szCs w:val="16"/>
          <w:i w:val="1"/>
          <w:iCs w:val="1"/>
          <w:u w:val="single" w:color="auto"/>
          <w:color w:val="auto"/>
        </w:rPr>
        <w:t>Minimum Vesting; Holding Period</w:t>
      </w:r>
      <w:r>
        <w:rPr>
          <w:rFonts w:ascii="Arial" w:cs="Arial" w:eastAsia="Arial" w:hAnsi="Arial"/>
          <w:sz w:val="16"/>
          <w:szCs w:val="16"/>
          <w:color w:val="auto"/>
        </w:rPr>
        <w:t>. Except as otherwise provided in this Section 6(a)(5), no Award shall be granted with terms providing for any right of</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exercise or lapse of vesting requirements earlier than a date that is at least one (1) year following the date of grant (or, in the case of vesting based upon performance objectives, exercise and vesting restrictions cannot lapse earlier than the one (1) year anniversary measured from the date of the commencement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77470</wp:posOffset>
            </wp:positionV>
            <wp:extent cx="986155"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1"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6"/>
          <w:szCs w:val="16"/>
          <w:color w:val="auto"/>
        </w:rPr>
        <w:t>over which performance is measured). Notwithstanding the foregoing, the Administrator may grant up to a maximum of five percent (5%) of the aggregate number of shares available for issuance under the Plan (for purposes of counting shares against the five percent (5%) limitation, the share counting rules under Section 4(a) shall apply) that do not comply with the one (1) year minimum vesting and exercise requirements set forth in the preceding sentence.</w:t>
      </w:r>
    </w:p>
    <w:p>
      <w:pPr>
        <w:spacing w:after="0" w:line="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addition, Awards granted to non-employee directors need not comply with the one (1) year minimum vesting and exercise requirements so long as the Awards provide for a right of exercise or lapse of any vesting obligations no earlier than the next annual stockholder meeting date following the grant date. In addition to the minimum vesting and exercise requirements in this Section 6(a)(5), any Awards granted to the Company’s Chief Executive Officer shall be granted with terms providing that the shares issued upon exercise or settlement of any such Award (net of tax withholding) may not be transferred or otherwise disposed of by the Company’s Chief Executive Officer for at least twelve (12) months following the date of such exercise or settlement.</w:t>
      </w:r>
    </w:p>
    <w:p>
      <w:pPr>
        <w:spacing w:after="0" w:line="179" w:lineRule="exact"/>
        <w:rPr>
          <w:sz w:val="20"/>
          <w:szCs w:val="20"/>
          <w:color w:val="auto"/>
        </w:rPr>
      </w:pPr>
    </w:p>
    <w:p>
      <w:pPr>
        <w:ind w:left="120" w:right="100" w:hanging="4"/>
        <w:spacing w:after="0" w:line="255" w:lineRule="auto"/>
        <w:tabs>
          <w:tab w:leader="none" w:pos="363" w:val="left"/>
        </w:tabs>
        <w:numPr>
          <w:ilvl w:val="0"/>
          <w:numId w:val="72"/>
        </w:numPr>
        <w:rPr>
          <w:rFonts w:ascii="Arial" w:cs="Arial" w:eastAsia="Arial" w:hAnsi="Arial"/>
          <w:sz w:val="16"/>
          <w:szCs w:val="16"/>
          <w:color w:val="auto"/>
        </w:rPr>
      </w:pPr>
      <w:r>
        <w:rPr>
          <w:rFonts w:ascii="Arial" w:cs="Arial" w:eastAsia="Arial" w:hAnsi="Arial"/>
          <w:sz w:val="16"/>
          <w:szCs w:val="16"/>
          <w:i w:val="1"/>
          <w:iCs w:val="1"/>
          <w:u w:val="single" w:color="auto"/>
          <w:color w:val="auto"/>
        </w:rPr>
        <w:t>Additional Restrictions</w:t>
      </w:r>
      <w:r>
        <w:rPr>
          <w:rFonts w:ascii="Arial" w:cs="Arial" w:eastAsia="Arial" w:hAnsi="Arial"/>
          <w:sz w:val="16"/>
          <w:szCs w:val="16"/>
          <w:color w:val="auto"/>
        </w:rPr>
        <w:t>. The Administrator may cancel, rescind, withhold or otherwise limit or restrict any Award at any time if the Participant is not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under or gain in respect of any Award in accordance with any applicable Company clawback or recoupment policy, as such policy may be amended and in effect from time to time, or as otherwise required by law or applicable stock exchange listing standards, including, without limitation, Section 10D of the Exchange Act, or any stock exchange or similar rule adopted under said Section.</w:t>
      </w:r>
    </w:p>
    <w:p>
      <w:pPr>
        <w:spacing w:after="0" w:line="177" w:lineRule="exact"/>
        <w:rPr>
          <w:rFonts w:ascii="Arial" w:cs="Arial" w:eastAsia="Arial" w:hAnsi="Arial"/>
          <w:sz w:val="16"/>
          <w:szCs w:val="16"/>
          <w:color w:val="auto"/>
        </w:rPr>
      </w:pPr>
    </w:p>
    <w:p>
      <w:pPr>
        <w:ind w:left="120" w:right="40" w:hanging="4"/>
        <w:spacing w:after="0" w:line="257" w:lineRule="auto"/>
        <w:tabs>
          <w:tab w:leader="none" w:pos="363" w:val="left"/>
        </w:tabs>
        <w:numPr>
          <w:ilvl w:val="0"/>
          <w:numId w:val="72"/>
        </w:numPr>
        <w:rPr>
          <w:rFonts w:ascii="Arial" w:cs="Arial" w:eastAsia="Arial" w:hAnsi="Arial"/>
          <w:sz w:val="16"/>
          <w:szCs w:val="16"/>
          <w:color w:val="auto"/>
        </w:rPr>
      </w:pPr>
      <w:r>
        <w:rPr>
          <w:rFonts w:ascii="Arial" w:cs="Arial" w:eastAsia="Arial" w:hAnsi="Arial"/>
          <w:sz w:val="16"/>
          <w:szCs w:val="16"/>
          <w:i w:val="1"/>
          <w:iCs w:val="1"/>
          <w:u w:val="single" w:color="auto"/>
          <w:color w:val="auto"/>
        </w:rPr>
        <w:t>Taxes</w:t>
      </w:r>
      <w:r>
        <w:rPr>
          <w:rFonts w:ascii="Arial" w:cs="Arial" w:eastAsia="Arial" w:hAnsi="Arial"/>
          <w:sz w:val="16"/>
          <w:szCs w:val="16"/>
          <w:color w:val="auto"/>
        </w:rPr>
        <w:t>. The grant of an Award and the delivery, vesting and retention of Stock, cash or other property under an Award are conditioned upon full</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by the Participant of all tax withholding requirements with respect to the Award. The Administrator will prescribe such rules for the withholding of taxes as it deems necessary or appropriate. The Administrator may, but need not, hold back shares of Stock from an Award or permit a Participant to tender previously owned shares of Stock in satisfaction of tax withholding requirements (only up to the amount permitted that will not cause an adverse accounting consequence or cost).</w:t>
      </w:r>
    </w:p>
    <w:p>
      <w:pPr>
        <w:spacing w:after="0" w:line="175" w:lineRule="exact"/>
        <w:rPr>
          <w:rFonts w:ascii="Arial" w:cs="Arial" w:eastAsia="Arial" w:hAnsi="Arial"/>
          <w:sz w:val="16"/>
          <w:szCs w:val="16"/>
          <w:color w:val="auto"/>
        </w:rPr>
      </w:pPr>
    </w:p>
    <w:p>
      <w:pPr>
        <w:ind w:left="120" w:right="120" w:hanging="4"/>
        <w:spacing w:after="0" w:line="255" w:lineRule="auto"/>
        <w:tabs>
          <w:tab w:leader="none" w:pos="363" w:val="left"/>
        </w:tabs>
        <w:numPr>
          <w:ilvl w:val="0"/>
          <w:numId w:val="72"/>
        </w:numPr>
        <w:rPr>
          <w:rFonts w:ascii="Arial" w:cs="Arial" w:eastAsia="Arial" w:hAnsi="Arial"/>
          <w:sz w:val="16"/>
          <w:szCs w:val="16"/>
          <w:color w:val="auto"/>
        </w:rPr>
      </w:pPr>
      <w:r>
        <w:rPr>
          <w:rFonts w:ascii="Arial" w:cs="Arial" w:eastAsia="Arial" w:hAnsi="Arial"/>
          <w:sz w:val="16"/>
          <w:szCs w:val="16"/>
          <w:i w:val="1"/>
          <w:iCs w:val="1"/>
          <w:u w:val="single" w:color="auto"/>
          <w:color w:val="auto"/>
        </w:rPr>
        <w:t>Dividend Equivalents, Etc</w:t>
      </w:r>
      <w:r>
        <w:rPr>
          <w:rFonts w:ascii="Arial" w:cs="Arial" w:eastAsia="Arial" w:hAnsi="Arial"/>
          <w:sz w:val="16"/>
          <w:szCs w:val="16"/>
          <w:color w:val="auto"/>
        </w:rPr>
        <w:t>. The Administrator may provide for the payment of amounts (on terms and subject to conditions established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will be subject to the same vesting and forfeiture restrictions as apply to the Awards to which they relate.</w:t>
      </w:r>
    </w:p>
    <w:p>
      <w:pPr>
        <w:spacing w:after="0" w:line="177" w:lineRule="exact"/>
        <w:rPr>
          <w:rFonts w:ascii="Arial" w:cs="Arial" w:eastAsia="Arial" w:hAnsi="Arial"/>
          <w:sz w:val="16"/>
          <w:szCs w:val="16"/>
          <w:color w:val="auto"/>
        </w:rPr>
      </w:pPr>
    </w:p>
    <w:p>
      <w:pPr>
        <w:ind w:left="120" w:right="40" w:hanging="4"/>
        <w:spacing w:after="0" w:line="257" w:lineRule="auto"/>
        <w:tabs>
          <w:tab w:leader="none" w:pos="363" w:val="left"/>
        </w:tabs>
        <w:numPr>
          <w:ilvl w:val="0"/>
          <w:numId w:val="72"/>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Rights Limited</w:t>
      </w:r>
      <w:r>
        <w:rPr>
          <w:rFonts w:ascii="Arial" w:cs="Arial" w:eastAsia="Arial" w:hAnsi="Arial"/>
          <w:sz w:val="16"/>
          <w:szCs w:val="16"/>
          <w:color w:val="auto"/>
        </w:rPr>
        <w:t>. Nothing in the Plan or in any Award will be construed as giving any person the right to continued employment or service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its Affiliates, or any rights as a stockholder except as to shares of Stock actually issued under the Plan; nor will anything in the Plan or in any Award affect the right of the Company or its Affiliates to discharge or discipline a Participant at any time.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75" w:lineRule="exact"/>
        <w:rPr>
          <w:rFonts w:ascii="Arial" w:cs="Arial" w:eastAsia="Arial" w:hAnsi="Arial"/>
          <w:sz w:val="16"/>
          <w:szCs w:val="16"/>
          <w:color w:val="auto"/>
        </w:rPr>
      </w:pPr>
    </w:p>
    <w:p>
      <w:pPr>
        <w:ind w:left="120" w:right="40" w:hanging="4"/>
        <w:spacing w:after="0" w:line="257" w:lineRule="auto"/>
        <w:tabs>
          <w:tab w:leader="none" w:pos="453" w:val="left"/>
        </w:tabs>
        <w:numPr>
          <w:ilvl w:val="0"/>
          <w:numId w:val="72"/>
        </w:numPr>
        <w:rPr>
          <w:rFonts w:ascii="Arial" w:cs="Arial" w:eastAsia="Arial" w:hAnsi="Arial"/>
          <w:sz w:val="16"/>
          <w:szCs w:val="16"/>
          <w:color w:val="auto"/>
        </w:rPr>
      </w:pPr>
      <w:r>
        <w:rPr>
          <w:rFonts w:ascii="Arial" w:cs="Arial" w:eastAsia="Arial" w:hAnsi="Arial"/>
          <w:sz w:val="16"/>
          <w:szCs w:val="16"/>
          <w:i w:val="1"/>
          <w:iCs w:val="1"/>
          <w:u w:val="single" w:color="auto"/>
          <w:color w:val="auto"/>
        </w:rPr>
        <w:t>Coordination with Other Plans</w:t>
      </w:r>
      <w:r>
        <w:rPr>
          <w:rFonts w:ascii="Arial" w:cs="Arial" w:eastAsia="Arial" w:hAnsi="Arial"/>
          <w:sz w:val="16"/>
          <w:szCs w:val="16"/>
          <w:color w:val="auto"/>
        </w:rPr>
        <w:t>. Awards under the Plan may be granted in tandem with, or in satisfaction of or substitution for, other Awards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w:t>
      </w:r>
    </w:p>
    <w:p>
      <w:pPr>
        <w:spacing w:after="0" w:line="175" w:lineRule="exact"/>
        <w:rPr>
          <w:rFonts w:ascii="Arial" w:cs="Arial" w:eastAsia="Arial" w:hAnsi="Arial"/>
          <w:sz w:val="16"/>
          <w:szCs w:val="16"/>
          <w:color w:val="auto"/>
        </w:rPr>
      </w:pPr>
    </w:p>
    <w:p>
      <w:pPr>
        <w:ind w:left="120" w:right="340" w:hanging="4"/>
        <w:spacing w:after="0" w:line="291" w:lineRule="auto"/>
        <w:tabs>
          <w:tab w:leader="none" w:pos="441" w:val="left"/>
        </w:tabs>
        <w:numPr>
          <w:ilvl w:val="0"/>
          <w:numId w:val="72"/>
        </w:numPr>
        <w:rPr>
          <w:rFonts w:ascii="Arial" w:cs="Arial" w:eastAsia="Arial" w:hAnsi="Arial"/>
          <w:sz w:val="16"/>
          <w:szCs w:val="16"/>
          <w:color w:val="auto"/>
        </w:rPr>
      </w:pPr>
      <w:r>
        <w:rPr>
          <w:rFonts w:ascii="Arial" w:cs="Arial" w:eastAsia="Arial" w:hAnsi="Arial"/>
          <w:sz w:val="16"/>
          <w:szCs w:val="16"/>
          <w:i w:val="1"/>
          <w:iCs w:val="1"/>
          <w:u w:val="single" w:color="auto"/>
          <w:color w:val="auto"/>
        </w:rPr>
        <w:t>Section</w:t>
      </w:r>
      <w:r>
        <w:rPr>
          <w:rFonts w:ascii="Arial" w:cs="Arial" w:eastAsia="Arial" w:hAnsi="Arial"/>
          <w:sz w:val="16"/>
          <w:szCs w:val="16"/>
          <w:i w:val="1"/>
          <w:iCs w:val="1"/>
          <w:color w:val="auto"/>
        </w:rPr>
        <w:t xml:space="preserve"> 409A</w:t>
      </w:r>
      <w:r>
        <w:rPr>
          <w:rFonts w:ascii="Arial" w:cs="Arial" w:eastAsia="Arial" w:hAnsi="Arial"/>
          <w:sz w:val="16"/>
          <w:szCs w:val="16"/>
          <w:color w:val="auto"/>
        </w:rPr>
        <w:t>. Each Award will contain such terms as the Administrator determines, and will be construed and administered, such that the Award</w:t>
      </w:r>
      <w:r>
        <w:rPr>
          <w:rFonts w:ascii="Arial" w:cs="Arial" w:eastAsia="Arial" w:hAnsi="Arial"/>
          <w:sz w:val="16"/>
          <w:szCs w:val="16"/>
          <w:i w:val="1"/>
          <w:iCs w:val="1"/>
          <w:color w:val="auto"/>
        </w:rPr>
        <w:t xml:space="preserve"> </w:t>
      </w:r>
      <w:r>
        <w:rPr>
          <w:rFonts w:ascii="Arial" w:cs="Arial" w:eastAsia="Arial" w:hAnsi="Arial"/>
          <w:sz w:val="16"/>
          <w:szCs w:val="16"/>
          <w:color w:val="auto"/>
        </w:rPr>
        <w:t>either qualifies for an exemption from the requirements of Section 409A or satisfies such requirements.</w:t>
      </w:r>
    </w:p>
    <w:p>
      <w:pPr>
        <w:spacing w:after="0" w:line="150" w:lineRule="exact"/>
        <w:rPr>
          <w:sz w:val="20"/>
          <w:szCs w:val="20"/>
          <w:color w:val="auto"/>
        </w:rPr>
      </w:pPr>
    </w:p>
    <w:p>
      <w:pPr>
        <w:ind w:left="360" w:hanging="244"/>
        <w:spacing w:after="0"/>
        <w:tabs>
          <w:tab w:leader="none" w:pos="360" w:val="left"/>
        </w:tabs>
        <w:numPr>
          <w:ilvl w:val="0"/>
          <w:numId w:val="73"/>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Options and SARs</w:t>
      </w:r>
      <w:r>
        <w:rPr>
          <w:rFonts w:ascii="Arial" w:cs="Arial" w:eastAsia="Arial" w:hAnsi="Arial"/>
          <w:sz w:val="16"/>
          <w:szCs w:val="16"/>
          <w:i w:val="1"/>
          <w:iCs w:val="1"/>
          <w:color w:val="auto"/>
        </w:rPr>
        <w:t>.</w:t>
      </w:r>
    </w:p>
    <w:p>
      <w:pPr>
        <w:spacing w:after="0" w:line="219" w:lineRule="exact"/>
        <w:rPr>
          <w:sz w:val="20"/>
          <w:szCs w:val="20"/>
          <w:color w:val="auto"/>
        </w:rPr>
      </w:pPr>
    </w:p>
    <w:p>
      <w:pPr>
        <w:ind w:left="120" w:right="120" w:hanging="4"/>
        <w:spacing w:after="0" w:line="257" w:lineRule="auto"/>
        <w:tabs>
          <w:tab w:leader="none" w:pos="363" w:val="left"/>
        </w:tabs>
        <w:numPr>
          <w:ilvl w:val="0"/>
          <w:numId w:val="74"/>
        </w:numPr>
        <w:rPr>
          <w:rFonts w:ascii="Arial" w:cs="Arial" w:eastAsia="Arial" w:hAnsi="Arial"/>
          <w:sz w:val="16"/>
          <w:szCs w:val="16"/>
          <w:color w:val="auto"/>
        </w:rPr>
      </w:pPr>
      <w:r>
        <w:rPr>
          <w:rFonts w:ascii="Arial" w:cs="Arial" w:eastAsia="Arial" w:hAnsi="Arial"/>
          <w:sz w:val="16"/>
          <w:szCs w:val="16"/>
          <w:i w:val="1"/>
          <w:iCs w:val="1"/>
          <w:u w:val="single" w:color="auto"/>
          <w:color w:val="auto"/>
        </w:rPr>
        <w:t>Time And Manner Of Exercise</w:t>
      </w:r>
      <w:r>
        <w:rPr>
          <w:rFonts w:ascii="Arial" w:cs="Arial" w:eastAsia="Arial" w:hAnsi="Arial"/>
          <w:sz w:val="16"/>
          <w:szCs w:val="16"/>
          <w:color w:val="auto"/>
        </w:rPr>
        <w:t>. Unless the Administrator expressly provides otherwise, no Stock Option or SAR will be deemed to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80645</wp:posOffset>
            </wp:positionV>
            <wp:extent cx="986155"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7" w:lineRule="exact"/>
        <w:rPr>
          <w:sz w:val="20"/>
          <w:szCs w:val="20"/>
          <w:color w:val="auto"/>
        </w:rPr>
      </w:pPr>
    </w:p>
    <w:p>
      <w:pPr>
        <w:ind w:left="120" w:right="40" w:hanging="4"/>
        <w:spacing w:after="0" w:line="251" w:lineRule="auto"/>
        <w:tabs>
          <w:tab w:leader="none" w:pos="363" w:val="left"/>
        </w:tabs>
        <w:numPr>
          <w:ilvl w:val="0"/>
          <w:numId w:val="75"/>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Price</w:t>
      </w:r>
      <w:r>
        <w:rPr>
          <w:rFonts w:ascii="Arial" w:cs="Arial" w:eastAsia="Arial" w:hAnsi="Arial"/>
          <w:sz w:val="16"/>
          <w:szCs w:val="16"/>
          <w:color w:val="auto"/>
        </w:rPr>
        <w:t>. The exercise price (or the base value from which appreciation is to be measured) of each Award requiring exercise will be no less than</w:t>
      </w:r>
      <w:r>
        <w:rPr>
          <w:rFonts w:ascii="Arial" w:cs="Arial" w:eastAsia="Arial" w:hAnsi="Arial"/>
          <w:sz w:val="16"/>
          <w:szCs w:val="16"/>
          <w:i w:val="1"/>
          <w:iCs w:val="1"/>
          <w:color w:val="auto"/>
        </w:rPr>
        <w:t xml:space="preserve"> </w:t>
      </w:r>
      <w:r>
        <w:rPr>
          <w:rFonts w:ascii="Arial" w:cs="Arial" w:eastAsia="Arial" w:hAnsi="Arial"/>
          <w:sz w:val="16"/>
          <w:szCs w:val="16"/>
          <w:color w:val="auto"/>
        </w:rPr>
        <w:t>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Company may not, without obtaining stockholder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w:t>
      </w:r>
    </w:p>
    <w:p>
      <w:pPr>
        <w:spacing w:after="0" w:line="181" w:lineRule="exact"/>
        <w:rPr>
          <w:rFonts w:ascii="Arial" w:cs="Arial" w:eastAsia="Arial" w:hAnsi="Arial"/>
          <w:sz w:val="16"/>
          <w:szCs w:val="16"/>
          <w:color w:val="auto"/>
        </w:rPr>
      </w:pPr>
    </w:p>
    <w:p>
      <w:pPr>
        <w:ind w:left="120" w:right="40" w:hanging="4"/>
        <w:spacing w:after="0" w:line="291" w:lineRule="auto"/>
        <w:tabs>
          <w:tab w:leader="none" w:pos="363" w:val="left"/>
        </w:tabs>
        <w:numPr>
          <w:ilvl w:val="0"/>
          <w:numId w:val="75"/>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Of Exercise Price</w:t>
      </w:r>
      <w:r>
        <w:rPr>
          <w:rFonts w:ascii="Arial" w:cs="Arial" w:eastAsia="Arial" w:hAnsi="Arial"/>
          <w:sz w:val="16"/>
          <w:szCs w:val="16"/>
          <w:color w:val="auto"/>
        </w:rPr>
        <w:t>. Where the exercise of an Award is to be accompanied by payment, payment of the exercise price will be by cash or check</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to the Administrator or by such other legally permissible means, if any, as may be acceptable to the Administrator.</w:t>
      </w:r>
    </w:p>
    <w:p>
      <w:pPr>
        <w:spacing w:after="0" w:line="147" w:lineRule="exact"/>
        <w:rPr>
          <w:rFonts w:ascii="Arial" w:cs="Arial" w:eastAsia="Arial" w:hAnsi="Arial"/>
          <w:sz w:val="16"/>
          <w:szCs w:val="16"/>
          <w:color w:val="auto"/>
        </w:rPr>
      </w:pPr>
    </w:p>
    <w:p>
      <w:pPr>
        <w:ind w:left="120" w:right="20" w:hanging="4"/>
        <w:spacing w:after="0" w:line="229" w:lineRule="auto"/>
        <w:tabs>
          <w:tab w:leader="none" w:pos="363" w:val="left"/>
        </w:tabs>
        <w:numPr>
          <w:ilvl w:val="0"/>
          <w:numId w:val="75"/>
        </w:numPr>
        <w:rPr>
          <w:rFonts w:ascii="Arial" w:cs="Arial" w:eastAsia="Arial" w:hAnsi="Arial"/>
          <w:sz w:val="16"/>
          <w:szCs w:val="16"/>
          <w:color w:val="auto"/>
        </w:rPr>
      </w:pPr>
      <w:r>
        <w:rPr>
          <w:rFonts w:ascii="Arial" w:cs="Arial" w:eastAsia="Arial" w:hAnsi="Arial"/>
          <w:sz w:val="16"/>
          <w:szCs w:val="16"/>
          <w:i w:val="1"/>
          <w:iCs w:val="1"/>
          <w:u w:val="single" w:color="auto"/>
          <w:color w:val="auto"/>
        </w:rPr>
        <w:t>Maximum Term</w:t>
      </w:r>
      <w:r>
        <w:rPr>
          <w:rFonts w:ascii="Arial" w:cs="Arial" w:eastAsia="Arial" w:hAnsi="Arial"/>
          <w:sz w:val="16"/>
          <w:szCs w:val="16"/>
          <w:color w:val="auto"/>
        </w:rPr>
        <w:t>. Stock Options and SARs will have a maximum term not to exceed ten (10) years from the date of grant (or five (5) years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grant in the case of an ISO granted to a ten-percent shareholder described in Section 6(b)(2) above); provided, however, that, if a Participant still holding an outstanding but unexercised NSO or SAR ten (10) years from the date of grant (or, in the case of an NSO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w:t>
      </w:r>
      <w:r>
        <w:rPr>
          <w:rFonts w:ascii="Arial" w:cs="Arial" w:eastAsia="Arial" w:hAnsi="Arial"/>
          <w:sz w:val="27"/>
          <w:szCs w:val="27"/>
          <w:color w:val="auto"/>
          <w:vertAlign w:val="superscript"/>
        </w:rPr>
        <w:t>th</w:t>
      </w:r>
      <w:r>
        <w:rPr>
          <w:rFonts w:ascii="Arial" w:cs="Arial" w:eastAsia="Arial" w:hAnsi="Arial"/>
          <w:sz w:val="16"/>
          <w:szCs w:val="16"/>
          <w:color w:val="auto"/>
        </w:rPr>
        <w:t>) day following the date the Participant is no longer prohibited from engaging in such open market sales.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7. EFFECT OF 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Mergers, etc</w:t>
      </w:r>
      <w:r>
        <w:rPr>
          <w:rFonts w:ascii="Arial" w:cs="Arial" w:eastAsia="Arial" w:hAnsi="Arial"/>
          <w:sz w:val="16"/>
          <w:szCs w:val="16"/>
          <w:color w:val="auto"/>
        </w:rPr>
        <w:t>. Except as otherwise provided in an Award agreement, the following provisions will apply in the event of a Covered Transaction:</w:t>
      </w:r>
    </w:p>
    <w:p>
      <w:pPr>
        <w:spacing w:after="0" w:line="113" w:lineRule="exact"/>
        <w:rPr>
          <w:sz w:val="20"/>
          <w:szCs w:val="20"/>
          <w:color w:val="auto"/>
        </w:rPr>
      </w:pPr>
    </w:p>
    <w:p>
      <w:pPr>
        <w:ind w:left="120" w:right="40" w:hanging="4"/>
        <w:spacing w:after="0" w:line="269" w:lineRule="auto"/>
        <w:tabs>
          <w:tab w:leader="none" w:pos="363" w:val="left"/>
        </w:tabs>
        <w:numPr>
          <w:ilvl w:val="0"/>
          <w:numId w:val="76"/>
        </w:numPr>
        <w:rPr>
          <w:rFonts w:ascii="Arial" w:cs="Arial" w:eastAsia="Arial" w:hAnsi="Arial"/>
          <w:sz w:val="16"/>
          <w:szCs w:val="16"/>
          <w:color w:val="auto"/>
        </w:rPr>
      </w:pPr>
      <w:r>
        <w:rPr>
          <w:rFonts w:ascii="Arial" w:cs="Arial" w:eastAsia="Arial" w:hAnsi="Arial"/>
          <w:sz w:val="16"/>
          <w:szCs w:val="16"/>
          <w:i w:val="1"/>
          <w:iCs w:val="1"/>
          <w:u w:val="single" w:color="auto"/>
          <w:color w:val="auto"/>
        </w:rPr>
        <w:t>Assumption or Substitution</w:t>
      </w:r>
      <w:r>
        <w:rPr>
          <w:rFonts w:ascii="Arial" w:cs="Arial" w:eastAsia="Arial" w:hAnsi="Arial"/>
          <w:sz w:val="16"/>
          <w:szCs w:val="16"/>
          <w:color w:val="auto"/>
        </w:rPr>
        <w:t>. If the Covered Transaction is one in which there is an acquiring or surviving entity, the Administrator may (but,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avoidance of doubt, need not) provide (i) for the assumption or continuation of some or all outstanding Awards or any portion thereof or (ii) for the grant of new awards in substitution therefor by the acquiror or survivor or an affiliate of the acquiror or survivor.</w:t>
      </w:r>
    </w:p>
    <w:p>
      <w:pPr>
        <w:spacing w:after="0" w:line="164" w:lineRule="exact"/>
        <w:rPr>
          <w:rFonts w:ascii="Arial" w:cs="Arial" w:eastAsia="Arial" w:hAnsi="Arial"/>
          <w:sz w:val="16"/>
          <w:szCs w:val="16"/>
          <w:color w:val="auto"/>
        </w:rPr>
      </w:pPr>
    </w:p>
    <w:p>
      <w:pPr>
        <w:ind w:left="360" w:hanging="244"/>
        <w:spacing w:after="0"/>
        <w:tabs>
          <w:tab w:leader="none" w:pos="360" w:val="left"/>
        </w:tabs>
        <w:numPr>
          <w:ilvl w:val="0"/>
          <w:numId w:val="76"/>
        </w:numPr>
        <w:rPr>
          <w:rFonts w:ascii="Arial" w:cs="Arial" w:eastAsia="Arial" w:hAnsi="Arial"/>
          <w:sz w:val="16"/>
          <w:szCs w:val="16"/>
          <w:color w:val="auto"/>
        </w:rPr>
      </w:pPr>
      <w:r>
        <w:rPr>
          <w:rFonts w:ascii="Arial" w:cs="Arial" w:eastAsia="Arial" w:hAnsi="Arial"/>
          <w:sz w:val="16"/>
          <w:szCs w:val="16"/>
          <w:i w:val="1"/>
          <w:iCs w:val="1"/>
          <w:u w:val="single" w:color="auto"/>
          <w:color w:val="auto"/>
        </w:rPr>
        <w:t>Cash-Out of Awards</w:t>
      </w:r>
      <w:r>
        <w:rPr>
          <w:rFonts w:ascii="Arial" w:cs="Arial" w:eastAsia="Arial" w:hAnsi="Arial"/>
          <w:sz w:val="16"/>
          <w:szCs w:val="16"/>
          <w:color w:val="auto"/>
        </w:rPr>
        <w:t>. Subject to Section 7(a)(5) below, the Administrator may (but, for the avoidance of doubt, need not) provide for payment (a</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“cash-out”), with respect to some or all Awards or any portion thereof, equal in the case of each affected Award or portion thereof to the excess, if any, of</w:t>
      </w:r>
    </w:p>
    <w:p>
      <w:pPr>
        <w:spacing w:after="0" w:line="5" w:lineRule="exact"/>
        <w:rPr>
          <w:sz w:val="20"/>
          <w:szCs w:val="20"/>
          <w:color w:val="auto"/>
        </w:rPr>
      </w:pPr>
    </w:p>
    <w:p>
      <w:pPr>
        <w:ind w:left="120" w:right="80" w:hanging="4"/>
        <w:spacing w:after="0" w:line="250" w:lineRule="auto"/>
        <w:tabs>
          <w:tab w:leader="none" w:pos="38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(as determined in accordance with this Section 7(a)(2)), the Award may be cancelled with no payment due hereunder.</w:t>
      </w:r>
    </w:p>
    <w:p>
      <w:pPr>
        <w:spacing w:after="0" w:line="180" w:lineRule="exact"/>
        <w:rPr>
          <w:sz w:val="20"/>
          <w:szCs w:val="20"/>
          <w:color w:val="auto"/>
        </w:rPr>
      </w:pPr>
    </w:p>
    <w:p>
      <w:pPr>
        <w:ind w:left="120" w:right="40" w:hanging="4"/>
        <w:spacing w:after="0" w:line="257" w:lineRule="auto"/>
        <w:tabs>
          <w:tab w:leader="none" w:pos="363" w:val="left"/>
        </w:tabs>
        <w:numPr>
          <w:ilvl w:val="0"/>
          <w:numId w:val="78"/>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 of Certain Awards</w:t>
      </w:r>
      <w:r>
        <w:rPr>
          <w:rFonts w:ascii="Arial" w:cs="Arial" w:eastAsia="Arial" w:hAnsi="Arial"/>
          <w:sz w:val="16"/>
          <w:szCs w:val="16"/>
          <w:color w:val="auto"/>
        </w:rPr>
        <w:t>. Subject to Section 7(a)(7) below, the Administrator may (but, for the avoidance of doubt, need not) provide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75" w:lineRule="exact"/>
        <w:rPr>
          <w:rFonts w:ascii="Arial" w:cs="Arial" w:eastAsia="Arial" w:hAnsi="Arial"/>
          <w:sz w:val="16"/>
          <w:szCs w:val="16"/>
          <w:color w:val="auto"/>
        </w:rPr>
      </w:pPr>
    </w:p>
    <w:p>
      <w:pPr>
        <w:ind w:left="120" w:right="20" w:hanging="4"/>
        <w:spacing w:after="0" w:line="257" w:lineRule="auto"/>
        <w:tabs>
          <w:tab w:leader="none" w:pos="363" w:val="left"/>
        </w:tabs>
        <w:numPr>
          <w:ilvl w:val="0"/>
          <w:numId w:val="78"/>
        </w:numPr>
        <w:rPr>
          <w:rFonts w:ascii="Arial" w:cs="Arial" w:eastAsia="Arial" w:hAnsi="Arial"/>
          <w:sz w:val="16"/>
          <w:szCs w:val="16"/>
          <w:color w:val="auto"/>
        </w:rPr>
      </w:pP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Notwithstanding anything herein to the contrary, unless otherwise expressly provided for in the Award agreement or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including an employment or severance agreement or severance plan, or under the terms of a transaction constituting a Change in Control, in the event of a Change in Control, each outstanding Award will fully vest (which, in the case of Performance Awards shall be to their maximal value) and become exercisable immediately prior to the consummation of such Change in Control, and the Administrator shall notify the Participant in writing or electronically that the Award will be fully vested and exercisable for a period of at least fifteen (15)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80645</wp:posOffset>
            </wp:positionV>
            <wp:extent cx="986155"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36"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57</w:t>
      </w:r>
    </w:p>
    <w:p>
      <w:pPr>
        <w:sectPr>
          <w:pgSz w:w="11900" w:h="16838" w:orient="portrait"/>
          <w:cols w:equalWidth="0" w:num="1">
            <w:col w:w="11140"/>
          </w:cols>
          <w:pgMar w:left="32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from the date of such notice, (which notice may be delivered prior to the consummation of the Change in Control) and the Award will terminate upon the expiration of such period if not otherwise assumed or substituted pursuant to Section 7(a)(1) above or cashed-out pursuant to Section 7(a)(2) above.</w:t>
      </w:r>
    </w:p>
    <w:p>
      <w:pPr>
        <w:spacing w:after="0" w:line="148" w:lineRule="exact"/>
        <w:rPr>
          <w:sz w:val="20"/>
          <w:szCs w:val="20"/>
          <w:color w:val="auto"/>
        </w:rPr>
      </w:pPr>
    </w:p>
    <w:p>
      <w:pPr>
        <w:jc w:val="both"/>
        <w:ind w:left="120" w:right="20" w:hanging="4"/>
        <w:spacing w:after="0" w:line="269" w:lineRule="auto"/>
        <w:tabs>
          <w:tab w:leader="none" w:pos="363" w:val="left"/>
        </w:tabs>
        <w:numPr>
          <w:ilvl w:val="0"/>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of Awards Upon Consummation of Covered Transaction</w:t>
      </w:r>
      <w:r>
        <w:rPr>
          <w:rFonts w:ascii="Arial" w:cs="Arial" w:eastAsia="Arial" w:hAnsi="Arial"/>
          <w:sz w:val="16"/>
          <w:szCs w:val="16"/>
          <w:color w:val="auto"/>
        </w:rPr>
        <w:t>. Except as the Administrator may otherwise determine in any case and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15-day exercise period set forth above in Section 7(a)(4), each Award will automatically terminate (and in the case of outstanding shares of Restricted Stock, will automatically be forfeited) upon consummation of the Covered Transaction, other than Awards assumed pursuant to Section 7(a)(1) above.</w:t>
      </w:r>
    </w:p>
    <w:p>
      <w:pPr>
        <w:spacing w:after="0" w:line="164" w:lineRule="exact"/>
        <w:rPr>
          <w:rFonts w:ascii="Arial" w:cs="Arial" w:eastAsia="Arial" w:hAnsi="Arial"/>
          <w:sz w:val="16"/>
          <w:szCs w:val="16"/>
          <w:color w:val="auto"/>
        </w:rPr>
      </w:pPr>
    </w:p>
    <w:p>
      <w:pPr>
        <w:ind w:left="120" w:hanging="4"/>
        <w:spacing w:after="0" w:line="252" w:lineRule="auto"/>
        <w:tabs>
          <w:tab w:leader="none" w:pos="363" w:val="left"/>
        </w:tabs>
        <w:numPr>
          <w:ilvl w:val="0"/>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Additional Limitations</w:t>
      </w:r>
      <w:r>
        <w:rPr>
          <w:rFonts w:ascii="Arial" w:cs="Arial" w:eastAsia="Arial" w:hAnsi="Arial"/>
          <w:sz w:val="16"/>
          <w:szCs w:val="16"/>
          <w:color w:val="auto"/>
        </w:rPr>
        <w:t>. Any share of Stock and any cash or other property delivered pursuant to Section 7(a)(2) or Section 7(a)(3) above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83" w:lineRule="exact"/>
        <w:rPr>
          <w:sz w:val="20"/>
          <w:szCs w:val="20"/>
          <w:color w:val="auto"/>
        </w:rPr>
      </w:pPr>
    </w:p>
    <w:p>
      <w:pPr>
        <w:ind w:left="360" w:hanging="244"/>
        <w:spacing w:after="0"/>
        <w:tabs>
          <w:tab w:leader="none" w:pos="360" w:val="left"/>
        </w:tabs>
        <w:numPr>
          <w:ilvl w:val="0"/>
          <w:numId w:val="80"/>
        </w:numPr>
        <w:rPr>
          <w:rFonts w:ascii="Arial" w:cs="Arial" w:eastAsia="Arial" w:hAnsi="Arial"/>
          <w:sz w:val="16"/>
          <w:szCs w:val="16"/>
          <w:color w:val="auto"/>
        </w:rPr>
      </w:pPr>
      <w:r>
        <w:rPr>
          <w:rFonts w:ascii="Arial" w:cs="Arial" w:eastAsia="Arial" w:hAnsi="Arial"/>
          <w:sz w:val="16"/>
          <w:szCs w:val="16"/>
          <w:i w:val="1"/>
          <w:iCs w:val="1"/>
          <w:u w:val="single" w:color="auto"/>
          <w:color w:val="auto"/>
        </w:rPr>
        <w:t>Changes in and Distributions With Respect to Stock</w:t>
      </w:r>
      <w:r>
        <w:rPr>
          <w:rFonts w:ascii="Arial" w:cs="Arial" w:eastAsia="Arial" w:hAnsi="Arial"/>
          <w:sz w:val="16"/>
          <w:szCs w:val="16"/>
          <w:color w:val="auto"/>
        </w:rPr>
        <w:t>.</w:t>
      </w:r>
    </w:p>
    <w:p>
      <w:pPr>
        <w:spacing w:after="0" w:line="221" w:lineRule="exact"/>
        <w:rPr>
          <w:sz w:val="20"/>
          <w:szCs w:val="20"/>
          <w:color w:val="auto"/>
        </w:rPr>
      </w:pPr>
    </w:p>
    <w:p>
      <w:pPr>
        <w:ind w:left="120" w:right="20" w:hanging="4"/>
        <w:spacing w:after="0" w:line="255" w:lineRule="auto"/>
        <w:tabs>
          <w:tab w:leader="none" w:pos="363" w:val="left"/>
        </w:tabs>
        <w:numPr>
          <w:ilvl w:val="0"/>
          <w:numId w:val="81"/>
        </w:numPr>
        <w:rPr>
          <w:rFonts w:ascii="Arial" w:cs="Arial" w:eastAsia="Arial" w:hAnsi="Arial"/>
          <w:sz w:val="16"/>
          <w:szCs w:val="16"/>
          <w:color w:val="auto"/>
        </w:rPr>
      </w:pPr>
      <w:r>
        <w:rPr>
          <w:rFonts w:ascii="Arial" w:cs="Arial" w:eastAsia="Arial" w:hAnsi="Arial"/>
          <w:sz w:val="16"/>
          <w:szCs w:val="16"/>
          <w:i w:val="1"/>
          <w:iCs w:val="1"/>
          <w:u w:val="single" w:color="auto"/>
          <w:color w:val="auto"/>
        </w:rPr>
        <w:t>Basic Adjustment Provisions</w:t>
      </w:r>
      <w:r>
        <w:rPr>
          <w:rFonts w:ascii="Arial" w:cs="Arial" w:eastAsia="Arial" w:hAnsi="Arial"/>
          <w:sz w:val="16"/>
          <w:szCs w:val="16"/>
          <w:color w:val="auto"/>
        </w:rPr>
        <w:t>. In the event of a stock dividend, stock split or combination of shares (including a reverse stock split),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or other distribution of the Company’s equity securities without the receipt of consideration by the Company,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w:t>
      </w:r>
    </w:p>
    <w:p>
      <w:pPr>
        <w:spacing w:after="0" w:line="177" w:lineRule="exact"/>
        <w:rPr>
          <w:rFonts w:ascii="Arial" w:cs="Arial" w:eastAsia="Arial" w:hAnsi="Arial"/>
          <w:sz w:val="16"/>
          <w:szCs w:val="16"/>
          <w:color w:val="auto"/>
        </w:rPr>
      </w:pPr>
    </w:p>
    <w:p>
      <w:pPr>
        <w:ind w:left="120" w:right="40" w:hanging="4"/>
        <w:spacing w:after="0" w:line="261" w:lineRule="auto"/>
        <w:tabs>
          <w:tab w:leader="none" w:pos="363" w:val="left"/>
        </w:tabs>
        <w:numPr>
          <w:ilvl w:val="0"/>
          <w:numId w:val="81"/>
        </w:numPr>
        <w:rPr>
          <w:rFonts w:ascii="Arial" w:cs="Arial" w:eastAsia="Arial" w:hAnsi="Arial"/>
          <w:sz w:val="16"/>
          <w:szCs w:val="16"/>
          <w:color w:val="auto"/>
        </w:rPr>
      </w:pPr>
      <w:r>
        <w:rPr>
          <w:rFonts w:ascii="Arial" w:cs="Arial" w:eastAsia="Arial" w:hAnsi="Arial"/>
          <w:sz w:val="16"/>
          <w:szCs w:val="16"/>
          <w:i w:val="1"/>
          <w:iCs w:val="1"/>
          <w:u w:val="single" w:color="auto"/>
          <w:color w:val="auto"/>
        </w:rPr>
        <w:t>Certain Other Adjustments</w:t>
      </w:r>
      <w:r>
        <w:rPr>
          <w:rFonts w:ascii="Arial" w:cs="Arial" w:eastAsia="Arial" w:hAnsi="Arial"/>
          <w:sz w:val="16"/>
          <w:szCs w:val="16"/>
          <w:color w:val="auto"/>
        </w:rPr>
        <w:t>. The Administrator may also make adjustments of the type described in Section 7(b)(1) above to take into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to stockholders other than those provided for in Section 7(a) and 7(b)(1), or any other event, if the Administrator determines that adjustments are appropriate to avoid distortion in the operation of the Plan, having due regard for the qualification of ISOs under Section 422 and the requirements of Section 409A, where applicable.</w:t>
      </w:r>
    </w:p>
    <w:p>
      <w:pPr>
        <w:spacing w:after="0" w:line="171" w:lineRule="exact"/>
        <w:rPr>
          <w:rFonts w:ascii="Arial" w:cs="Arial" w:eastAsia="Arial" w:hAnsi="Arial"/>
          <w:sz w:val="16"/>
          <w:szCs w:val="16"/>
          <w:color w:val="auto"/>
        </w:rPr>
      </w:pPr>
    </w:p>
    <w:p>
      <w:pPr>
        <w:ind w:left="120" w:right="160" w:hanging="4"/>
        <w:spacing w:after="0" w:line="291" w:lineRule="auto"/>
        <w:tabs>
          <w:tab w:leader="none" w:pos="363" w:val="left"/>
        </w:tabs>
        <w:numPr>
          <w:ilvl w:val="0"/>
          <w:numId w:val="81"/>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Continuing Application of Plan Terms</w:t>
      </w:r>
      <w:r>
        <w:rPr>
          <w:rFonts w:ascii="Arial" w:cs="Arial" w:eastAsia="Arial" w:hAnsi="Arial"/>
          <w:sz w:val="16"/>
          <w:szCs w:val="16"/>
          <w:color w:val="auto"/>
        </w:rPr>
        <w:t>. References in the Plan to shares of Stock will be construed to include any stock or securities resulting from an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pursuant to this Section 7.</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8. LEGAL CONDITIONS ON DELIVERY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as amended,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9. AMENDMENT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73025</wp:posOffset>
            </wp:positionV>
            <wp:extent cx="98615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580"/>
        <w:spacing w:after="0"/>
        <w:tabs>
          <w:tab w:leader="none" w:pos="1048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7"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Award so as to affect materially and adversely the Participant’s rights under the Award, unless the Administrator expressly reserved the right to do so at the time the Award was granted or unless the Administrator determines in its sole discretion and prior to the date of any Covered Transaction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Any amendments to the Plan will be conditioned upon stockholder approval only to the extent, if any, such approval is required by law (including the Code and applicable stock exchange requirements), as determined by the Administrator.</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10. OTHER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 existence of the Plan or the grant of any Award will not in any way affect the Company’s right to Award a person bonuses or other compensation in addition to Awards under the Plan.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11.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p>
      <w:pPr>
        <w:ind w:left="120" w:right="120" w:hanging="4"/>
        <w:spacing w:after="0" w:line="252" w:lineRule="auto"/>
        <w:tabs>
          <w:tab w:leader="none" w:pos="363" w:val="left"/>
        </w:tabs>
        <w:numPr>
          <w:ilvl w:val="0"/>
          <w:numId w:val="82"/>
        </w:numPr>
        <w:rPr>
          <w:rFonts w:ascii="Arial" w:cs="Arial" w:eastAsia="Arial" w:hAnsi="Arial"/>
          <w:sz w:val="16"/>
          <w:szCs w:val="16"/>
          <w:color w:val="auto"/>
        </w:rPr>
      </w:pPr>
      <w:r>
        <w:rPr>
          <w:rFonts w:ascii="Arial" w:cs="Arial" w:eastAsia="Arial" w:hAnsi="Arial"/>
          <w:sz w:val="16"/>
          <w:szCs w:val="16"/>
          <w:i w:val="1"/>
          <w:iCs w:val="1"/>
          <w:u w:val="single" w:color="auto"/>
          <w:color w:val="auto"/>
        </w:rPr>
        <w:t>Waiver of Jury Trial</w:t>
      </w:r>
      <w:r>
        <w:rPr>
          <w:rFonts w:ascii="Arial" w:cs="Arial" w:eastAsia="Arial" w:hAnsi="Arial"/>
          <w:sz w:val="16"/>
          <w:szCs w:val="16"/>
          <w:color w:val="auto"/>
        </w:rPr>
        <w:t>. By accepting an Award under the Plan, each Participant waives any right to a trial by jury in any action, proceeding or</w:t>
      </w:r>
      <w:r>
        <w:rPr>
          <w:rFonts w:ascii="Arial" w:cs="Arial" w:eastAsia="Arial" w:hAnsi="Arial"/>
          <w:sz w:val="16"/>
          <w:szCs w:val="16"/>
          <w:i w:val="1"/>
          <w:iCs w:val="1"/>
          <w:color w:val="auto"/>
        </w:rPr>
        <w:t xml:space="preserve"> </w:t>
      </w:r>
      <w:r>
        <w:rPr>
          <w:rFonts w:ascii="Arial" w:cs="Arial" w:eastAsia="Arial" w:hAnsi="Arial"/>
          <w:sz w:val="16"/>
          <w:szCs w:val="16"/>
          <w:color w:val="auto"/>
        </w:rPr>
        <w:t>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82" w:lineRule="exact"/>
        <w:rPr>
          <w:rFonts w:ascii="Arial" w:cs="Arial" w:eastAsia="Arial" w:hAnsi="Arial"/>
          <w:sz w:val="16"/>
          <w:szCs w:val="16"/>
          <w:color w:val="auto"/>
        </w:rPr>
      </w:pPr>
    </w:p>
    <w:p>
      <w:pPr>
        <w:ind w:left="120" w:right="40" w:hanging="4"/>
        <w:spacing w:after="0" w:line="257" w:lineRule="auto"/>
        <w:tabs>
          <w:tab w:leader="none" w:pos="363" w:val="left"/>
        </w:tabs>
        <w:numPr>
          <w:ilvl w:val="0"/>
          <w:numId w:val="82"/>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Limitation of Liability</w:t>
      </w:r>
      <w:r>
        <w:rPr>
          <w:rFonts w:ascii="Arial" w:cs="Arial" w:eastAsia="Arial" w:hAnsi="Arial"/>
          <w:sz w:val="16"/>
          <w:szCs w:val="16"/>
          <w:color w:val="auto"/>
        </w:rPr>
        <w:t>. Notwithstanding anything to the contrary in the Plan, neither the Company, nor any Affiliate, nor the Administrator, nor any</w:t>
      </w:r>
      <w:r>
        <w:rPr>
          <w:rFonts w:ascii="Arial" w:cs="Arial" w:eastAsia="Arial" w:hAnsi="Arial"/>
          <w:sz w:val="16"/>
          <w:szCs w:val="16"/>
          <w:i w:val="1"/>
          <w:iCs w:val="1"/>
          <w:color w:val="auto"/>
        </w:rPr>
        <w:t xml:space="preserve"> </w:t>
      </w:r>
      <w:r>
        <w:rPr>
          <w:rFonts w:ascii="Arial" w:cs="Arial" w:eastAsia="Arial" w:hAnsi="Arial"/>
          <w:sz w:val="16"/>
          <w:szCs w:val="16"/>
          <w:color w:val="auto"/>
        </w:rPr>
        <w:t>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12. ESTABLISHMENT OF SUB-PLANS</w:t>
      </w:r>
    </w:p>
    <w:p>
      <w:pPr>
        <w:spacing w:after="0" w:line="116" w:lineRule="exact"/>
        <w:rPr>
          <w:sz w:val="20"/>
          <w:szCs w:val="20"/>
          <w:color w:val="auto"/>
        </w:rPr>
      </w:pPr>
    </w:p>
    <w:p>
      <w:pPr>
        <w:ind w:left="120" w:right="80"/>
        <w:spacing w:after="0" w:line="257" w:lineRule="auto"/>
        <w:rPr>
          <w:sz w:val="20"/>
          <w:szCs w:val="20"/>
          <w:color w:val="auto"/>
        </w:rPr>
      </w:pPr>
      <w:r>
        <w:rPr>
          <w:rFonts w:ascii="Arial" w:cs="Arial" w:eastAsia="Arial" w:hAnsi="Arial"/>
          <w:sz w:val="16"/>
          <w:szCs w:val="16"/>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13.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7"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The laws of the State of Delaware will govern all questions concerning the construction, validity and interpretation of this Plan, without regard to that state’s conflict of laws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62230</wp:posOffset>
            </wp:positionV>
            <wp:extent cx="986155" cy="2057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59</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EXHIBIT A</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C4C4C"/>
        </w:rPr>
        <w:t>Definition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terms, when used in the Plan, will have the meanings and be subject to the provisions set forth below:</w:t>
      </w:r>
    </w:p>
    <w:p>
      <w:pPr>
        <w:spacing w:after="0" w:line="113"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except that the Compensation Committee may delegate (i) to one or more of its members (or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other members of the Board (including the full Board)) such of its duties, powers and responsibilities as it may determine; (ii) to one or more officers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76"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Affiliate</w:t>
      </w:r>
      <w:r>
        <w:rPr>
          <w:rFonts w:ascii="Arial" w:cs="Arial" w:eastAsia="Arial" w:hAnsi="Arial"/>
          <w:sz w:val="16"/>
          <w:szCs w:val="16"/>
          <w:i w:val="1"/>
          <w:iCs w:val="1"/>
          <w:color w:val="auto"/>
        </w:rPr>
        <w:t xml:space="preserve">”: </w:t>
      </w:r>
      <w:r>
        <w:rPr>
          <w:rFonts w:ascii="Arial" w:cs="Arial" w:eastAsia="Arial" w:hAnsi="Arial"/>
          <w:sz w:val="16"/>
          <w:szCs w:val="16"/>
          <w:color w:val="auto"/>
        </w:rPr>
        <w:t>Any corporation or other entity that stands in a relationship to the Company that would result in the Company and such corporation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being treated as one employer under Section 414(b) and Section 414(c) of the Code.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Award</w:t>
      </w:r>
      <w:r>
        <w:rPr>
          <w:rFonts w:ascii="Arial" w:cs="Arial" w:eastAsia="Arial" w:hAnsi="Arial"/>
          <w:sz w:val="16"/>
          <w:szCs w:val="16"/>
          <w:i w:val="1"/>
          <w:iCs w:val="1"/>
          <w:color w:val="auto"/>
        </w:rPr>
        <w:t xml:space="preserve">”: </w:t>
      </w:r>
      <w:r>
        <w:rPr>
          <w:rFonts w:ascii="Arial" w:cs="Arial" w:eastAsia="Arial" w:hAnsi="Arial"/>
          <w:sz w:val="16"/>
          <w:szCs w:val="16"/>
          <w:color w:val="auto"/>
        </w:rPr>
        <w:t>Any or a combination of the following:</w:t>
      </w:r>
    </w:p>
    <w:p>
      <w:pPr>
        <w:spacing w:after="0" w:line="113" w:lineRule="exact"/>
        <w:rPr>
          <w:sz w:val="20"/>
          <w:szCs w:val="20"/>
          <w:color w:val="auto"/>
        </w:rPr>
      </w:pPr>
    </w:p>
    <w:p>
      <w:pPr>
        <w:ind w:left="300" w:hanging="18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Stock Options.</w:t>
      </w:r>
    </w:p>
    <w:p>
      <w:pPr>
        <w:spacing w:after="0" w:line="221" w:lineRule="exact"/>
        <w:rPr>
          <w:rFonts w:ascii="Arial" w:cs="Arial" w:eastAsia="Arial" w:hAnsi="Arial"/>
          <w:sz w:val="16"/>
          <w:szCs w:val="16"/>
          <w:color w:val="auto"/>
        </w:rPr>
      </w:pPr>
    </w:p>
    <w:p>
      <w:pPr>
        <w:ind w:left="340" w:hanging="224"/>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SARs.</w:t>
      </w:r>
    </w:p>
    <w:p>
      <w:pPr>
        <w:spacing w:after="0" w:line="221" w:lineRule="exact"/>
        <w:rPr>
          <w:rFonts w:ascii="Arial" w:cs="Arial" w:eastAsia="Arial" w:hAnsi="Arial"/>
          <w:sz w:val="16"/>
          <w:szCs w:val="16"/>
          <w:color w:val="auto"/>
        </w:rPr>
      </w:pPr>
    </w:p>
    <w:p>
      <w:pPr>
        <w:ind w:left="380" w:hanging="264"/>
        <w:spacing w:after="0"/>
        <w:tabs>
          <w:tab w:leader="none" w:pos="3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Restricted Stock.</w:t>
      </w:r>
    </w:p>
    <w:p>
      <w:pPr>
        <w:spacing w:after="0" w:line="221" w:lineRule="exact"/>
        <w:rPr>
          <w:rFonts w:ascii="Arial" w:cs="Arial" w:eastAsia="Arial" w:hAnsi="Arial"/>
          <w:sz w:val="16"/>
          <w:szCs w:val="16"/>
          <w:color w:val="auto"/>
        </w:rPr>
      </w:pPr>
    </w:p>
    <w:p>
      <w:pPr>
        <w:ind w:left="380" w:hanging="264"/>
        <w:spacing w:after="0"/>
        <w:tabs>
          <w:tab w:leader="none" w:pos="3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Unrestricted Stock.</w:t>
      </w:r>
    </w:p>
    <w:p>
      <w:pPr>
        <w:spacing w:after="0" w:line="221" w:lineRule="exact"/>
        <w:rPr>
          <w:rFonts w:ascii="Arial" w:cs="Arial" w:eastAsia="Arial" w:hAnsi="Arial"/>
          <w:sz w:val="16"/>
          <w:szCs w:val="16"/>
          <w:color w:val="auto"/>
        </w:rPr>
      </w:pPr>
    </w:p>
    <w:p>
      <w:pPr>
        <w:ind w:left="360" w:hanging="244"/>
        <w:spacing w:after="0"/>
        <w:tabs>
          <w:tab w:leader="none" w:pos="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Stock Units, including Restricted Stock Units.</w:t>
      </w:r>
    </w:p>
    <w:p>
      <w:pPr>
        <w:spacing w:after="0" w:line="221" w:lineRule="exact"/>
        <w:rPr>
          <w:rFonts w:ascii="Arial" w:cs="Arial" w:eastAsia="Arial" w:hAnsi="Arial"/>
          <w:sz w:val="16"/>
          <w:szCs w:val="16"/>
          <w:color w:val="auto"/>
        </w:rPr>
      </w:pPr>
    </w:p>
    <w:p>
      <w:pPr>
        <w:ind w:left="380" w:hanging="264"/>
        <w:spacing w:after="0"/>
        <w:tabs>
          <w:tab w:leader="none" w:pos="3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Performance Awards.</w:t>
      </w:r>
    </w:p>
    <w:p>
      <w:pPr>
        <w:spacing w:after="0" w:line="221" w:lineRule="exact"/>
        <w:rPr>
          <w:rFonts w:ascii="Arial" w:cs="Arial" w:eastAsia="Arial" w:hAnsi="Arial"/>
          <w:sz w:val="16"/>
          <w:szCs w:val="16"/>
          <w:color w:val="auto"/>
        </w:rPr>
      </w:pPr>
    </w:p>
    <w:p>
      <w:pPr>
        <w:ind w:left="420" w:hanging="304"/>
        <w:spacing w:after="0"/>
        <w:tabs>
          <w:tab w:leader="none" w:pos="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Cash Awards.</w:t>
      </w:r>
    </w:p>
    <w:p>
      <w:pPr>
        <w:spacing w:after="0" w:line="221" w:lineRule="exact"/>
        <w:rPr>
          <w:rFonts w:ascii="Arial" w:cs="Arial" w:eastAsia="Arial" w:hAnsi="Arial"/>
          <w:sz w:val="16"/>
          <w:szCs w:val="16"/>
          <w:color w:val="auto"/>
        </w:rPr>
      </w:pPr>
    </w:p>
    <w:p>
      <w:pPr>
        <w:ind w:left="460" w:hanging="344"/>
        <w:spacing w:after="0"/>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Awards (other than Awards described in (i) through (vii) above) that are convertible into or otherwise based on Stock.</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Board</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of the Company.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Cash Award</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denominated in cash.</w:t>
      </w:r>
    </w:p>
    <w:p>
      <w:pPr>
        <w:spacing w:after="0" w:line="221"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case of any Participant who is party to an employment or severance-benefit agreement that contains a definition of “Cause,” the definition</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such agreement will apply with respect to such Participant under the Plan for so long as such agreement is in effect.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w:t>
      </w:r>
    </w:p>
    <w:p>
      <w:pPr>
        <w:ind w:left="120" w:hanging="4"/>
        <w:spacing w:after="0" w:line="250" w:lineRule="auto"/>
        <w:tabs>
          <w:tab w:leader="none" w:pos="34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8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to occur of (i) a “person,” as such term is used in Sections 13(d) and 14(d) of the Exchange Act (other than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one of its subsidiaries or an employee benefit plan of the Company or any of its subsidiaries, including any trustee of such plan acting as trustee) becoming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w:t>
      </w:r>
    </w:p>
    <w:p>
      <w:pPr>
        <w:ind w:left="120" w:right="120" w:hanging="4"/>
        <w:spacing w:after="0" w:line="265" w:lineRule="auto"/>
        <w:tabs>
          <w:tab w:leader="none" w:pos="345"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consummation of (x) a merger or consolidation of the Company with any other corporation, other than a merger or consolidation that would result in the voting securities of the Company outstanding immediately prior thereto continuing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74930</wp:posOffset>
            </wp:positionV>
            <wp:extent cx="986155"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580"/>
        <w:spacing w:after="0"/>
        <w:tabs>
          <w:tab w:leader="none" w:pos="1048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7"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w:t>
      </w:r>
    </w:p>
    <w:p>
      <w:pPr>
        <w:spacing w:after="0" w:line="1" w:lineRule="exact"/>
        <w:rPr>
          <w:sz w:val="20"/>
          <w:szCs w:val="20"/>
          <w:color w:val="auto"/>
        </w:rPr>
      </w:pPr>
    </w:p>
    <w:p>
      <w:pPr>
        <w:ind w:left="120" w:right="40" w:hanging="4"/>
        <w:spacing w:after="0" w:line="249" w:lineRule="auto"/>
        <w:tabs>
          <w:tab w:leader="none" w:pos="354"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sale or disposition by the Company of all or substantially all the Company’s assets; or (iii) a change in the composition of the Board, as a result of which fewer than a majority of the directors are Incumbent Directors. “Incumbent Directors” shall mean directors who either (A) are directors of the Company as of the date the Plan is approved by the stockholders,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Code</w:t>
      </w:r>
      <w:r>
        <w:rPr>
          <w:rFonts w:ascii="Arial" w:cs="Arial" w:eastAsia="Arial" w:hAnsi="Arial"/>
          <w:sz w:val="16"/>
          <w:szCs w:val="16"/>
          <w:i w:val="1"/>
          <w:iCs w:val="1"/>
          <w:color w:val="auto"/>
        </w:rPr>
        <w:t xml:space="preserve">”: </w:t>
      </w:r>
      <w:r>
        <w:rPr>
          <w:rFonts w:ascii="Arial" w:cs="Arial" w:eastAsia="Arial" w:hAnsi="Arial"/>
          <w:sz w:val="16"/>
          <w:szCs w:val="16"/>
          <w:color w:val="auto"/>
        </w:rPr>
        <w:t>The U.S. Internal Revenue Code of 1986 as from time to time amended and in effect, or any successor statute as from time to time in effect.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of the Board.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Arrowhead Pharmaceuticals, Inc.</w:t>
      </w:r>
    </w:p>
    <w:p>
      <w:pPr>
        <w:spacing w:after="0" w:line="221"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Covered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Any of (i) a consolidation, merger, or similar transaction or series of related transactions, including a sale or other disposition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77" w:lineRule="exact"/>
        <w:rPr>
          <w:sz w:val="20"/>
          <w:szCs w:val="20"/>
          <w:color w:val="auto"/>
        </w:rPr>
      </w:pPr>
    </w:p>
    <w:p>
      <w:pPr>
        <w:ind w:left="120" w:right="660"/>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Date of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earlier of the date the Plan was approved by the Company’s stockholders or adopted by the Board,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Any person who is employed by the Company or an Affiliate.</w:t>
      </w:r>
    </w:p>
    <w:p>
      <w:pPr>
        <w:spacing w:after="0" w:line="22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i w:val="1"/>
          <w:iCs w:val="1"/>
          <w:color w:val="auto"/>
        </w:rPr>
        <w:t xml:space="preserve">“Employment”: </w:t>
      </w:r>
      <w:r>
        <w:rPr>
          <w:rFonts w:ascii="Arial" w:cs="Arial" w:eastAsia="Arial" w:hAnsi="Arial"/>
          <w:sz w:val="16"/>
          <w:szCs w:val="16"/>
          <w:color w:val="auto"/>
        </w:rPr>
        <w:t>A Participant’s employment or other service relationship with the Company and its Affiliates. Employment will be deemed to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Exchange Act of 1934, as amended.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As of any date, the value of the Stock determined as follows:</w:t>
      </w:r>
    </w:p>
    <w:p>
      <w:pPr>
        <w:spacing w:after="0" w:line="127" w:lineRule="exact"/>
        <w:rPr>
          <w:sz w:val="20"/>
          <w:szCs w:val="20"/>
          <w:color w:val="auto"/>
        </w:rPr>
      </w:pPr>
    </w:p>
    <w:p>
      <w:pPr>
        <w:ind w:left="540" w:right="80" w:hanging="424"/>
        <w:spacing w:after="0" w:line="261"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Stock is listed on any established stock exchange or traded on any established market, the Fair Market Value of a share of Stock as of any date of determination will be, unless otherwise determined by the Board, the closing sales price for such stock as quoted on such exchange or market (or the exchange or market with the greatest volume of trading in the Stock) on the date of determination, as reported in a source the Board deems reliable.</w:t>
      </w:r>
    </w:p>
    <w:p>
      <w:pPr>
        <w:spacing w:after="0" w:line="77" w:lineRule="exact"/>
        <w:rPr>
          <w:rFonts w:ascii="Arial" w:cs="Arial" w:eastAsia="Arial" w:hAnsi="Arial"/>
          <w:sz w:val="16"/>
          <w:szCs w:val="16"/>
          <w:color w:val="auto"/>
        </w:rPr>
      </w:pPr>
    </w:p>
    <w:p>
      <w:pPr>
        <w:ind w:left="540" w:right="120" w:hanging="424"/>
        <w:spacing w:after="0" w:line="291"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Unless otherwise provided by the Board, if there is no closing sales price for the Stock on the date of determination, then the Fair Market Value will be the closing selling price on the last preceding date for which such quotation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62230</wp:posOffset>
            </wp:positionV>
            <wp:extent cx="986155"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08" w:lineRule="exact"/>
        <w:rPr>
          <w:sz w:val="20"/>
          <w:szCs w:val="20"/>
          <w:color w:val="auto"/>
        </w:rPr>
      </w:pPr>
    </w:p>
    <w:p>
      <w:pPr>
        <w:ind w:left="10880"/>
        <w:spacing w:after="0"/>
        <w:rPr>
          <w:sz w:val="20"/>
          <w:szCs w:val="20"/>
          <w:color w:val="auto"/>
        </w:rPr>
      </w:pPr>
      <w:r>
        <w:rPr>
          <w:rFonts w:ascii="Arial" w:cs="Arial" w:eastAsia="Arial" w:hAnsi="Arial"/>
          <w:sz w:val="18"/>
          <w:szCs w:val="18"/>
          <w:b w:val="1"/>
          <w:bCs w:val="1"/>
          <w:color w:val="0071CE"/>
        </w:rPr>
        <w:t>61</w:t>
      </w:r>
    </w:p>
    <w:p>
      <w:pPr>
        <w:sectPr>
          <w:pgSz w:w="11900" w:h="16838" w:orient="portrait"/>
          <w:cols w:equalWidth="0" w:num="1">
            <w:col w:w="11140"/>
          </w:cols>
          <w:pgMar w:left="32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4"/>
          <w:szCs w:val="14"/>
          <w:b w:val="1"/>
          <w:bCs w:val="1"/>
          <w:color w:val="0071CE"/>
        </w:rPr>
        <w:t>2021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7" w:lineRule="exact"/>
        <w:rPr>
          <w:sz w:val="20"/>
          <w:szCs w:val="20"/>
          <w:color w:val="auto"/>
        </w:rPr>
      </w:pPr>
    </w:p>
    <w:p>
      <w:pPr>
        <w:ind w:left="540" w:right="260" w:hanging="424"/>
        <w:spacing w:after="0" w:line="291"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absence of such markets for the Stock, the Fair Market Value will be determined by the Board in good faith and in a manner that complies with Sections 409A and 422 of the Code.</w:t>
      </w:r>
    </w:p>
    <w:p>
      <w:pPr>
        <w:spacing w:after="0" w:line="148"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ISO</w:t>
      </w:r>
      <w:r>
        <w:rPr>
          <w:rFonts w:ascii="Arial" w:cs="Arial" w:eastAsia="Arial" w:hAnsi="Arial"/>
          <w:sz w:val="16"/>
          <w:szCs w:val="16"/>
          <w:i w:val="1"/>
          <w:iCs w:val="1"/>
          <w:color w:val="auto"/>
        </w:rPr>
        <w:t xml:space="preserve">”: </w:t>
      </w:r>
      <w:r>
        <w:rPr>
          <w:rFonts w:ascii="Arial" w:cs="Arial" w:eastAsia="Arial" w:hAnsi="Arial"/>
          <w:sz w:val="16"/>
          <w:szCs w:val="16"/>
          <w:color w:val="auto"/>
        </w:rPr>
        <w:t>A Stock Option intended to be an “incentive stock option” within the meaning of Section 422. Each Stock Option granted pursuant to the Plan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treated as providing by its terms that it is to be an NSO unless, as of the date of grant, it is expressly designated as an ISO.</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NSO</w:t>
      </w:r>
      <w:r>
        <w:rPr>
          <w:rFonts w:ascii="Arial" w:cs="Arial" w:eastAsia="Arial" w:hAnsi="Arial"/>
          <w:sz w:val="16"/>
          <w:szCs w:val="16"/>
          <w:i w:val="1"/>
          <w:iCs w:val="1"/>
          <w:color w:val="auto"/>
        </w:rPr>
        <w:t xml:space="preserve">”: </w:t>
      </w:r>
      <w:r>
        <w:rPr>
          <w:rFonts w:ascii="Arial" w:cs="Arial" w:eastAsia="Arial" w:hAnsi="Arial"/>
          <w:sz w:val="16"/>
          <w:szCs w:val="16"/>
          <w:color w:val="auto"/>
        </w:rPr>
        <w:t>A Stock Option that is not intended to be an “incentive stock option” within the meaning of Section 422.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 person who is granted an Award under the Plan.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subject to Performance Criteria.</w:t>
      </w:r>
    </w:p>
    <w:p>
      <w:pPr>
        <w:spacing w:after="0" w:line="22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Performance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criteria, other than the mere continuation of Employment or the mere passage of time, the satisfaction of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for the grant, exercisability, vesting or full enjoyment of an Award. Such criteria may include, without limitation, a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Arrowhead Pharmaceuticals, Inc. 2021 Incentive Plan as from time to time amended and in effect.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Prior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Arrowhead Research Corporation 2013 Incentive Plan.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Stock subject to restrictions requiring that it be redelivered or offered for sale to the Company if specified conditions are not satisfied.</w:t>
      </w:r>
    </w:p>
    <w:p>
      <w:pPr>
        <w:spacing w:after="0" w:line="221" w:lineRule="exact"/>
        <w:rPr>
          <w:sz w:val="20"/>
          <w:szCs w:val="20"/>
          <w:color w:val="auto"/>
        </w:rPr>
      </w:pPr>
    </w:p>
    <w:p>
      <w:pPr>
        <w:ind w:left="120" w:right="720"/>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 Stock Unit that is, or as to which the delivery of Stock or cash in lieu of Stock is, subject to the satisfaction of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or other vesting conditions.</w:t>
      </w:r>
    </w:p>
    <w:p>
      <w:pPr>
        <w:spacing w:after="0" w:line="14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SAR</w:t>
      </w:r>
      <w:r>
        <w:rPr>
          <w:rFonts w:ascii="Arial" w:cs="Arial" w:eastAsia="Arial" w:hAnsi="Arial"/>
          <w:sz w:val="16"/>
          <w:szCs w:val="16"/>
          <w:i w:val="1"/>
          <w:iCs w:val="1"/>
          <w:color w:val="auto"/>
        </w:rPr>
        <w:t xml:space="preserve">”: </w:t>
      </w:r>
      <w:r>
        <w:rPr>
          <w:rFonts w:ascii="Arial" w:cs="Arial" w:eastAsia="Arial" w:hAnsi="Arial"/>
          <w:sz w:val="16"/>
          <w:szCs w:val="16"/>
          <w:color w:val="auto"/>
        </w:rPr>
        <w:t>A right entitling the holder upon exercise to receive an amount (payable in cash and/or in shares of Stock of equivalent value) equal to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Market Value of the shares of Stock subject to the right over the base value from which appreciation under the SAR is to be measured.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of the Code.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Section 422</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of the Company, par value $0.001 per share.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entitling the holder to acquire shares of Stock upon payment of the exercise price.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An unfunded and unsecured promise, denominated in shares of Stock, to deliver Stock or cash measured by the value of Stock in the future.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Unrestricted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Stock not subject to any restrictions under the terms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109220</wp:posOffset>
            </wp:positionV>
            <wp:extent cx="986155" cy="205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1CE"/>
        </w:rPr>
        <w:t>62</w:t>
      </w:r>
    </w:p>
    <w:p>
      <w:pPr>
        <w:sectPr>
          <w:pgSz w:w="11900" w:h="16838" w:orient="portrait"/>
          <w:cols w:equalWidth="0" w:num="1">
            <w:col w:w="11100"/>
          </w:cols>
          <w:pgMar w:left="320" w:top="455"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7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VOTE BY INTERNET</w:t>
            </w:r>
          </w:p>
        </w:tc>
      </w:tr>
      <w:tr>
        <w:trPr>
          <w:trHeight w:val="160"/>
        </w:trPr>
        <w:tc>
          <w:tcPr>
            <w:tcW w:w="3960" w:type="dxa"/>
            <w:vAlign w:val="bottom"/>
          </w:tcPr>
          <w:p>
            <w:pPr>
              <w:spacing w:after="0"/>
              <w:rPr>
                <w:sz w:val="13"/>
                <w:szCs w:val="13"/>
                <w:color w:val="auto"/>
              </w:rPr>
            </w:pPr>
          </w:p>
        </w:tc>
        <w:tc>
          <w:tcPr>
            <w:tcW w:w="6760" w:type="dxa"/>
            <w:vAlign w:val="bottom"/>
            <w:gridSpan w:val="4"/>
          </w:tcPr>
          <w:p>
            <w:pPr>
              <w:ind w:left="1380"/>
              <w:spacing w:after="0" w:line="160" w:lineRule="exact"/>
              <w:rPr>
                <w:sz w:val="20"/>
                <w:szCs w:val="20"/>
                <w:color w:val="auto"/>
              </w:rPr>
            </w:pPr>
            <w:r>
              <w:rPr>
                <w:rFonts w:ascii="Times New Roman" w:cs="Times New Roman" w:eastAsia="Times New Roman" w:hAnsi="Times New Roman"/>
                <w:sz w:val="14"/>
                <w:szCs w:val="14"/>
                <w:i w:val="1"/>
                <w:iCs w:val="1"/>
                <w:color w:val="auto"/>
              </w:rPr>
              <w:t xml:space="preserve">Before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www.proxyvote.com</w:t>
            </w:r>
          </w:p>
        </w:tc>
      </w:tr>
      <w:tr>
        <w:trPr>
          <w:trHeight w:val="20"/>
        </w:trPr>
        <w:tc>
          <w:tcPr>
            <w:tcW w:w="396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3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ARROWHEAD PHARMACEUTICALS, INC.</w:t>
            </w: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177 EAST COLORADO BLVD, SUITE 700</w:t>
            </w:r>
          </w:p>
        </w:tc>
        <w:tc>
          <w:tcPr>
            <w:tcW w:w="676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color w:val="auto"/>
              </w:rPr>
              <w:t>information up until 11:59 p.m. Eastern Time the day before the cut-off date or meeting date.</w:t>
            </w:r>
          </w:p>
        </w:tc>
      </w:tr>
      <w:tr>
        <w:trPr>
          <w:trHeight w:val="148"/>
        </w:trPr>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PASADENA, CA 91105</w:t>
            </w:r>
          </w:p>
        </w:tc>
        <w:tc>
          <w:tcPr>
            <w:tcW w:w="676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color w:val="auto"/>
              </w:rPr>
              <w:t>Have your proxy card in hand when you access the web site and follow the instructions to</w:t>
            </w:r>
          </w:p>
        </w:tc>
      </w:tr>
      <w:tr>
        <w:trPr>
          <w:trHeight w:val="188"/>
        </w:trPr>
        <w:tc>
          <w:tcPr>
            <w:tcW w:w="3960" w:type="dxa"/>
            <w:vAlign w:val="bottom"/>
          </w:tcPr>
          <w:p>
            <w:pPr>
              <w:spacing w:after="0"/>
              <w:rPr>
                <w:sz w:val="16"/>
                <w:szCs w:val="16"/>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color w:val="auto"/>
              </w:rPr>
              <w:t>obtain your records and to create an electronic voting instruction form.</w:t>
            </w:r>
          </w:p>
        </w:tc>
      </w:tr>
      <w:tr>
        <w:trPr>
          <w:trHeight w:val="311"/>
        </w:trPr>
        <w:tc>
          <w:tcPr>
            <w:tcW w:w="3960" w:type="dxa"/>
            <w:vAlign w:val="bottom"/>
          </w:tcPr>
          <w:p>
            <w:pPr>
              <w:spacing w:after="0"/>
              <w:rPr>
                <w:sz w:val="24"/>
                <w:szCs w:val="24"/>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www.virtualshareholdermeeting.com/ARWR2021</w:t>
            </w:r>
          </w:p>
        </w:tc>
      </w:tr>
      <w:tr>
        <w:trPr>
          <w:trHeight w:val="20"/>
        </w:trPr>
        <w:tc>
          <w:tcPr>
            <w:tcW w:w="39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9"/>
        </w:trPr>
        <w:tc>
          <w:tcPr>
            <w:tcW w:w="3960" w:type="dxa"/>
            <w:vAlign w:val="bottom"/>
          </w:tcPr>
          <w:p>
            <w:pPr>
              <w:spacing w:after="0"/>
              <w:rPr>
                <w:sz w:val="24"/>
                <w:szCs w:val="24"/>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w:t>
            </w:r>
          </w:p>
        </w:tc>
      </w:tr>
      <w:tr>
        <w:trPr>
          <w:trHeight w:val="148"/>
        </w:trPr>
        <w:tc>
          <w:tcPr>
            <w:tcW w:w="3960" w:type="dxa"/>
            <w:vAlign w:val="bottom"/>
          </w:tcPr>
          <w:p>
            <w:pPr>
              <w:spacing w:after="0"/>
              <w:rPr>
                <w:sz w:val="12"/>
                <w:szCs w:val="12"/>
                <w:color w:val="auto"/>
              </w:rPr>
            </w:pPr>
          </w:p>
        </w:tc>
        <w:tc>
          <w:tcPr>
            <w:tcW w:w="676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color w:val="auto"/>
              </w:rPr>
              <w:t>information that is printed in the box marked by the arrow available and follow the</w:t>
            </w:r>
          </w:p>
        </w:tc>
      </w:tr>
      <w:tr>
        <w:trPr>
          <w:trHeight w:val="188"/>
        </w:trPr>
        <w:tc>
          <w:tcPr>
            <w:tcW w:w="3960" w:type="dxa"/>
            <w:vAlign w:val="bottom"/>
          </w:tcPr>
          <w:p>
            <w:pPr>
              <w:spacing w:after="0"/>
              <w:rPr>
                <w:sz w:val="16"/>
                <w:szCs w:val="16"/>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color w:val="auto"/>
              </w:rPr>
              <w:t>instructions.</w:t>
            </w:r>
          </w:p>
        </w:tc>
      </w:tr>
      <w:tr>
        <w:trPr>
          <w:trHeight w:val="338"/>
        </w:trPr>
        <w:tc>
          <w:tcPr>
            <w:tcW w:w="3960" w:type="dxa"/>
            <w:vAlign w:val="bottom"/>
          </w:tcPr>
          <w:p>
            <w:pPr>
              <w:spacing w:after="0"/>
              <w:rPr>
                <w:sz w:val="24"/>
                <w:szCs w:val="24"/>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tc>
      </w:tr>
      <w:tr>
        <w:trPr>
          <w:trHeight w:val="148"/>
        </w:trPr>
        <w:tc>
          <w:tcPr>
            <w:tcW w:w="3960" w:type="dxa"/>
            <w:vAlign w:val="bottom"/>
          </w:tcPr>
          <w:p>
            <w:pPr>
              <w:spacing w:after="0"/>
              <w:rPr>
                <w:sz w:val="12"/>
                <w:szCs w:val="12"/>
                <w:color w:val="auto"/>
              </w:rPr>
            </w:pPr>
          </w:p>
        </w:tc>
        <w:tc>
          <w:tcPr>
            <w:tcW w:w="676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w:t>
            </w:r>
          </w:p>
        </w:tc>
      </w:tr>
      <w:tr>
        <w:trPr>
          <w:trHeight w:val="149"/>
        </w:trPr>
        <w:tc>
          <w:tcPr>
            <w:tcW w:w="3960" w:type="dxa"/>
            <w:vAlign w:val="bottom"/>
          </w:tcPr>
          <w:p>
            <w:pPr>
              <w:spacing w:after="0"/>
              <w:rPr>
                <w:sz w:val="12"/>
                <w:szCs w:val="12"/>
                <w:color w:val="auto"/>
              </w:rPr>
            </w:pPr>
          </w:p>
        </w:tc>
        <w:tc>
          <w:tcPr>
            <w:tcW w:w="676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color w:val="auto"/>
              </w:rPr>
              <w:t>Time the day before the cut-off date or meeting date. Have your proxy card in hand when</w:t>
            </w:r>
          </w:p>
        </w:tc>
      </w:tr>
      <w:tr>
        <w:trPr>
          <w:trHeight w:val="188"/>
        </w:trPr>
        <w:tc>
          <w:tcPr>
            <w:tcW w:w="3960" w:type="dxa"/>
            <w:vAlign w:val="bottom"/>
          </w:tcPr>
          <w:p>
            <w:pPr>
              <w:spacing w:after="0"/>
              <w:rPr>
                <w:sz w:val="16"/>
                <w:szCs w:val="16"/>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color w:val="auto"/>
              </w:rPr>
              <w:t>you call and then follow the instructions.</w:t>
            </w:r>
          </w:p>
        </w:tc>
      </w:tr>
      <w:tr>
        <w:trPr>
          <w:trHeight w:val="338"/>
        </w:trPr>
        <w:tc>
          <w:tcPr>
            <w:tcW w:w="3960" w:type="dxa"/>
            <w:vAlign w:val="bottom"/>
          </w:tcPr>
          <w:p>
            <w:pPr>
              <w:spacing w:after="0"/>
              <w:rPr>
                <w:sz w:val="24"/>
                <w:szCs w:val="24"/>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VOTE BY MAIL</w:t>
            </w:r>
          </w:p>
        </w:tc>
      </w:tr>
      <w:tr>
        <w:trPr>
          <w:trHeight w:val="149"/>
        </w:trPr>
        <w:tc>
          <w:tcPr>
            <w:tcW w:w="3960" w:type="dxa"/>
            <w:vAlign w:val="bottom"/>
          </w:tcPr>
          <w:p>
            <w:pPr>
              <w:spacing w:after="0"/>
              <w:rPr>
                <w:sz w:val="12"/>
                <w:szCs w:val="12"/>
                <w:color w:val="auto"/>
              </w:rPr>
            </w:pPr>
          </w:p>
        </w:tc>
        <w:tc>
          <w:tcPr>
            <w:tcW w:w="676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w:t>
            </w:r>
          </w:p>
        </w:tc>
      </w:tr>
      <w:tr>
        <w:trPr>
          <w:trHeight w:val="148"/>
        </w:trPr>
        <w:tc>
          <w:tcPr>
            <w:tcW w:w="3960" w:type="dxa"/>
            <w:vAlign w:val="bottom"/>
          </w:tcPr>
          <w:p>
            <w:pPr>
              <w:spacing w:after="0"/>
              <w:rPr>
                <w:sz w:val="12"/>
                <w:szCs w:val="12"/>
                <w:color w:val="auto"/>
              </w:rPr>
            </w:pPr>
          </w:p>
        </w:tc>
        <w:tc>
          <w:tcPr>
            <w:tcW w:w="676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color w:val="auto"/>
              </w:rPr>
              <w:t>provided or return it to Vote Processing, c/o Broadridge, 51 Mercedes Way, Edgewood,</w:t>
            </w:r>
          </w:p>
        </w:tc>
      </w:tr>
      <w:tr>
        <w:trPr>
          <w:trHeight w:val="188"/>
        </w:trPr>
        <w:tc>
          <w:tcPr>
            <w:tcW w:w="3960" w:type="dxa"/>
            <w:vAlign w:val="bottom"/>
          </w:tcPr>
          <w:p>
            <w:pPr>
              <w:spacing w:after="0"/>
              <w:rPr>
                <w:sz w:val="16"/>
                <w:szCs w:val="16"/>
                <w:color w:val="auto"/>
              </w:rPr>
            </w:pPr>
          </w:p>
        </w:tc>
        <w:tc>
          <w:tcPr>
            <w:tcW w:w="6760" w:type="dxa"/>
            <w:vAlign w:val="bottom"/>
            <w:gridSpan w:val="4"/>
          </w:tcPr>
          <w:p>
            <w:pPr>
              <w:ind w:left="1380"/>
              <w:spacing w:after="0"/>
              <w:rPr>
                <w:sz w:val="20"/>
                <w:szCs w:val="20"/>
                <w:color w:val="auto"/>
              </w:rPr>
            </w:pPr>
            <w:r>
              <w:rPr>
                <w:rFonts w:ascii="Times New Roman" w:cs="Times New Roman" w:eastAsia="Times New Roman" w:hAnsi="Times New Roman"/>
                <w:sz w:val="14"/>
                <w:szCs w:val="14"/>
                <w:color w:val="auto"/>
              </w:rPr>
              <w:t>NY 11717.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6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24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D30472-P48774</w:t>
            </w:r>
          </w:p>
        </w:tc>
        <w:tc>
          <w:tcPr>
            <w:tcW w:w="2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2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40" w:type="dxa"/>
            <w:vAlign w:val="bottom"/>
            <w:gridSpan w:val="6"/>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THIS PROXY CARD IS VALID ONLY WHEN SIGNED AND DATED.</w:t>
            </w:r>
          </w:p>
        </w:tc>
        <w:tc>
          <w:tcPr>
            <w:tcW w:w="2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40" w:type="dxa"/>
            <w:vAlign w:val="bottom"/>
            <w:gridSpan w:val="6"/>
            <w:vMerge w:val="continue"/>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2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tc>
        <w:tc>
          <w:tcPr>
            <w:tcW w:w="4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7"/>
              </w:rPr>
              <w:t>For All</w:t>
            </w:r>
          </w:p>
        </w:tc>
        <w:tc>
          <w:tcPr>
            <w:tcW w:w="5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To vote against any individual nominee(s), mark “For All Except”</w:t>
            </w: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90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Except</w:t>
            </w:r>
          </w:p>
        </w:tc>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and write the number(s) of the nominee(s) on the line below.</w:t>
            </w: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560" w:type="dxa"/>
            <w:vAlign w:val="bottom"/>
            <w:gridSpan w:val="3"/>
            <w:vMerge w:val="continue"/>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36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4C4C4C"/>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4C4C4C"/>
                <w:w w:val="85"/>
              </w:rPr>
              <w:t>☐</w:t>
            </w:r>
          </w:p>
        </w:tc>
        <w:tc>
          <w:tcPr>
            <w:tcW w:w="90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4C4C4C"/>
                <w:w w:val="85"/>
              </w:rPr>
              <w:t>☐</w:t>
            </w:r>
          </w:p>
        </w:tc>
        <w:tc>
          <w:tcPr>
            <w:tcW w:w="2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ALL the following director nominees:</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1.    Election of Directors</w:t>
            </w: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8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01)</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Christopher Anzalone</w:t>
            </w: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05)</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Oye Olukotun</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02)</w:t>
            </w: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Marianne De Backer</w:t>
            </w: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06)</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Michael S.</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03)</w:t>
            </w:r>
          </w:p>
        </w:tc>
        <w:tc>
          <w:tcPr>
            <w:tcW w:w="1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Perry</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William Waddill</w:t>
            </w:r>
          </w:p>
        </w:tc>
        <w:tc>
          <w:tcPr>
            <w:tcW w:w="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0" w:type="dxa"/>
            <w:vAlign w:val="bottom"/>
            <w:vMerge w:val="continue"/>
          </w:tcPr>
          <w:p>
            <w:pPr>
              <w:spacing w:after="0"/>
              <w:rPr>
                <w:sz w:val="16"/>
                <w:szCs w:val="16"/>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Mauro Ferrari</w:t>
            </w:r>
          </w:p>
        </w:tc>
        <w:tc>
          <w:tcPr>
            <w:tcW w:w="420" w:type="dxa"/>
            <w:vAlign w:val="bottom"/>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-1270000</wp:posOffset>
            </wp:positionV>
            <wp:extent cx="6994525" cy="42684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4525" cy="4268470"/>
                    </a:xfrm>
                    <a:prstGeom prst="rect">
                      <a:avLst/>
                    </a:prstGeom>
                    <a:noFill/>
                  </pic:spPr>
                </pic:pic>
              </a:graphicData>
            </a:graphic>
          </wp:anchor>
        </w:drawing>
      </w:r>
    </w:p>
    <w:p>
      <w:pPr>
        <w:spacing w:after="0" w:line="8" w:lineRule="exact"/>
        <w:rPr>
          <w:sz w:val="20"/>
          <w:szCs w:val="20"/>
          <w:color w:val="auto"/>
        </w:rPr>
      </w:pPr>
    </w:p>
    <w:p>
      <w:pPr>
        <w:ind w:left="1200" w:hanging="344"/>
        <w:spacing w:after="0"/>
        <w:tabs>
          <w:tab w:leader="none" w:pos="12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Douglass Given</w:t>
      </w:r>
    </w:p>
    <w:p>
      <w:pPr>
        <w:spacing w:after="0" w:line="229"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2, 3, and 4:</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66"/>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 approve, in an advisory (non-binding) vote, the compensation paid to the Company’s named executive officers, as disclosed pursuant to Item</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260" w:type="dxa"/>
            <w:vAlign w:val="bottom"/>
          </w:tcPr>
          <w:p>
            <w:pPr>
              <w:spacing w:after="0"/>
              <w:rPr>
                <w:sz w:val="16"/>
                <w:szCs w:val="16"/>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402 of Regulation S-K, including the compensation tables and narrative discussion.</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 approve the Arrowhead Pharmaceuticals, Inc. 2021 Incentive Plan.</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 ratify the selection of Rose, Snyder &amp; Jacobs LLP as independent auditors of the Company for the fiscal year ending September 30, 2021.</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w:t>
      </w:r>
    </w:p>
    <w:p>
      <w:pPr>
        <w:ind w:left="420"/>
        <w:spacing w:after="0" w:line="226" w:lineRule="auto"/>
        <w:rPr>
          <w:sz w:val="20"/>
          <w:szCs w:val="20"/>
          <w:color w:val="auto"/>
        </w:rPr>
      </w:pPr>
      <w:r>
        <w:rPr>
          <w:rFonts w:ascii="Times New Roman" w:cs="Times New Roman" w:eastAsia="Times New Roman" w:hAnsi="Times New Roman"/>
          <w:sz w:val="14"/>
          <w:szCs w:val="14"/>
          <w:color w:val="auto"/>
        </w:rPr>
        <w:t>executor, administrator, or other fiduciary, please give full title as such. Joint</w:t>
      </w:r>
    </w:p>
    <w:p>
      <w:pPr>
        <w:ind w:left="420"/>
        <w:spacing w:after="0" w:line="222" w:lineRule="auto"/>
        <w:rPr>
          <w:sz w:val="20"/>
          <w:szCs w:val="20"/>
          <w:color w:val="auto"/>
        </w:rPr>
      </w:pPr>
      <w:r>
        <w:rPr>
          <w:rFonts w:ascii="Times New Roman" w:cs="Times New Roman" w:eastAsia="Times New Roman" w:hAnsi="Times New Roman"/>
          <w:sz w:val="14"/>
          <w:szCs w:val="14"/>
          <w:color w:val="auto"/>
        </w:rPr>
        <w:t>owners should each sign personally. All holders must sign. If a corporation or</w:t>
      </w:r>
    </w:p>
    <w:p>
      <w:pPr>
        <w:ind w:left="420"/>
        <w:spacing w:after="0"/>
        <w:rPr>
          <w:sz w:val="20"/>
          <w:szCs w:val="20"/>
          <w:color w:val="auto"/>
        </w:rPr>
      </w:pPr>
      <w:r>
        <w:rPr>
          <w:rFonts w:ascii="Times New Roman" w:cs="Times New Roman" w:eastAsia="Times New Roman" w:hAnsi="Times New Roman"/>
          <w:sz w:val="14"/>
          <w:szCs w:val="14"/>
          <w:color w:val="auto"/>
        </w:rPr>
        <w:t>partnership, please sign in full corporate or partnership name by authorized officer.</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4"/>
          <w:szCs w:val="14"/>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ectPr>
          <w:pgSz w:w="11900" w:h="16838" w:orient="portrait"/>
          <w:cols w:equalWidth="0" w:num="4">
            <w:col w:w="2900" w:space="580"/>
            <w:col w:w="1120" w:space="720"/>
            <w:col w:w="2340" w:space="720"/>
            <w:col w:w="2760"/>
          </w:cols>
          <w:pgMar w:left="320" w:top="455" w:right="4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2000"/>
        <w:spacing w:after="0" w:line="282" w:lineRule="auto"/>
        <w:rPr>
          <w:sz w:val="20"/>
          <w:szCs w:val="20"/>
          <w:color w:val="auto"/>
        </w:rPr>
      </w:pPr>
      <w:r>
        <w:rPr>
          <w:rFonts w:ascii="Times New Roman" w:cs="Times New Roman" w:eastAsia="Times New Roman" w:hAnsi="Times New Roman"/>
          <w:sz w:val="18"/>
          <w:szCs w:val="18"/>
          <w:color w:val="auto"/>
        </w:rPr>
        <w:t>——————————————————— ———————————————————— ——————————</w:t>
      </w:r>
    </w:p>
    <w:p>
      <w:pPr>
        <w:spacing w:after="0" w:line="22"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4"/>
          <w:szCs w:val="14"/>
          <w:color w:val="auto"/>
        </w:rPr>
        <w:t>D30473-P48774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4525" cy="4319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4525" cy="431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ARROWHEAD PHARMACEUTICALS, INC.</w:t>
      </w:r>
    </w:p>
    <w:p>
      <w:pPr>
        <w:spacing w:after="0" w:line="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jc w:val="center"/>
        <w:ind w:right="-479"/>
        <w:spacing w:after="0" w:line="230" w:lineRule="auto"/>
        <w:rPr>
          <w:sz w:val="20"/>
          <w:szCs w:val="20"/>
          <w:color w:val="auto"/>
        </w:rPr>
      </w:pPr>
      <w:r>
        <w:rPr>
          <w:rFonts w:ascii="Times New Roman" w:cs="Times New Roman" w:eastAsia="Times New Roman" w:hAnsi="Times New Roman"/>
          <w:sz w:val="22"/>
          <w:szCs w:val="22"/>
          <w:b w:val="1"/>
          <w:bCs w:val="1"/>
          <w:color w:val="auto"/>
        </w:rPr>
        <w:t>March 18, 2021 10:00 AM, PT</w:t>
      </w:r>
    </w:p>
    <w:p>
      <w:pPr>
        <w:spacing w:after="0" w:line="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This proxy is solicited by the Board of Directors</w:t>
      </w:r>
    </w:p>
    <w:p>
      <w:pPr>
        <w:spacing w:after="0" w:line="218" w:lineRule="exact"/>
        <w:rPr>
          <w:sz w:val="20"/>
          <w:szCs w:val="20"/>
          <w:color w:val="auto"/>
        </w:rPr>
      </w:pPr>
    </w:p>
    <w:p>
      <w:pPr>
        <w:ind w:left="480"/>
        <w:spacing w:after="0" w:line="258" w:lineRule="auto"/>
        <w:rPr>
          <w:sz w:val="20"/>
          <w:szCs w:val="20"/>
          <w:color w:val="auto"/>
        </w:rPr>
      </w:pPr>
      <w:r>
        <w:rPr>
          <w:rFonts w:ascii="Times New Roman" w:cs="Times New Roman" w:eastAsia="Times New Roman" w:hAnsi="Times New Roman"/>
          <w:sz w:val="18"/>
          <w:szCs w:val="18"/>
          <w:color w:val="auto"/>
        </w:rPr>
        <w:t>The stockholder(s) hereby appoint(s) Christopher Anzalone and Patrick O’Brien or either of them, as proxies, each with the power to appoint his substitute, and hereby authorize(s) them to represent and to vote, as designated on the reverse side of this ballot, all of the shares of Common Stock of ARROWHEAD PHARMACEUTICALS, INC. that the stockholder(s) is/are entitled to vote at the Annual Meeting of Stockholders to be held at 10:00 AM, PT on March 18, 2021, online at www.virtualshareholdermeeting.com/ARWR2021, and any adjournment or postponement thereof.</w:t>
      </w:r>
    </w:p>
    <w:p>
      <w:pPr>
        <w:spacing w:after="0" w:line="206" w:lineRule="exact"/>
        <w:rPr>
          <w:sz w:val="20"/>
          <w:szCs w:val="20"/>
          <w:color w:val="auto"/>
        </w:rPr>
      </w:pPr>
    </w:p>
    <w:p>
      <w:pPr>
        <w:ind w:left="480" w:right="18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0880"/>
      </w:cols>
      <w:pgMar w:left="320" w:top="455"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lvl w:ilvl="1">
      <w:lvlJc w:val="left"/>
      <w:lvlText w:val="(%2)"/>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decimal"/>
      <w:start w:val="3"/>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
      <w:numFmt w:val="bullet"/>
      <w:start w:val="1"/>
    </w:lvl>
    <w:lvl w:ilvl="1">
      <w:lvlJc w:val="left"/>
      <w:lvlText w:val="•"/>
      <w:numFmt w:val="bullet"/>
      <w:start w:val="1"/>
    </w:lvl>
  </w:abstractNum>
  <w:abstractNum w:abstractNumId="24">
    <w:nsid w:val="1CF10FD8"/>
    <w:multiLevelType w:val="hybridMultilevel"/>
    <w:lvl w:ilvl="0">
      <w:lvlJc w:val="left"/>
      <w:lvlText w:val="(%1)"/>
      <w:numFmt w:val="decimal"/>
      <w:start w:val="30"/>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lvl w:ilvl="1">
      <w:lvlJc w:val="left"/>
      <w:lvlText w:val="•"/>
      <w:numFmt w:val="bullet"/>
      <w:start w:val="1"/>
    </w:lvl>
  </w:abstractNum>
  <w:abstractNum w:abstractNumId="30">
    <w:nsid w:val="741226BB"/>
    <w:multiLevelType w:val="hybridMultilevel"/>
    <w:lvl w:ilvl="0">
      <w:lvlJc w:val="left"/>
      <w:lvlText w:val="•"/>
      <w:numFmt w:val="bullet"/>
      <w:start w:val="1"/>
    </w:lvl>
    <w:lvl w:ilvl="1">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lvl w:ilvl="1">
      <w:lvlJc w:val="left"/>
      <w:lvlText w:val="•"/>
      <w:numFmt w:val="bullet"/>
      <w:start w:val="1"/>
    </w:lvl>
  </w:abstractNum>
  <w:abstractNum w:abstractNumId="35">
    <w:nsid w:val="7E0C57B1"/>
    <w:multiLevelType w:val="hybridMultilevel"/>
    <w:lvl w:ilvl="0">
      <w:lvlJc w:val="left"/>
      <w:lvlText w:val="•"/>
      <w:numFmt w:val="bullet"/>
      <w:start w:val="1"/>
    </w:lvl>
    <w:lvl w:ilvl="1">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decimal"/>
      <w:start w:val="6"/>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upperLetter"/>
      <w:start w:val="1"/>
    </w:lvl>
  </w:abstractNum>
  <w:abstractNum w:abstractNumId="70">
    <w:nsid w:val="68EB2F63"/>
    <w:multiLevelType w:val="hybridMultilevel"/>
    <w:lvl w:ilvl="0">
      <w:lvlJc w:val="left"/>
      <w:lvlText w:val="(%1)"/>
      <w:numFmt w:val="decimal"/>
      <w:start w:val="5"/>
    </w:lvl>
  </w:abstractNum>
  <w:abstractNum w:abstractNumId="71">
    <w:nsid w:val="4962813B"/>
    <w:multiLevelType w:val="hybridMultilevel"/>
    <w:lvl w:ilvl="0">
      <w:lvlJc w:val="left"/>
      <w:lvlText w:val="(%1)"/>
      <w:numFmt w:val="decimal"/>
      <w:start w:val="6"/>
    </w:lvl>
  </w:abstractNum>
  <w:abstractNum w:abstractNumId="72">
    <w:nsid w:val="60B6DF70"/>
    <w:multiLevelType w:val="hybridMultilevel"/>
    <w:lvl w:ilvl="0">
      <w:lvlJc w:val="left"/>
      <w:lvlText w:val="(%1)"/>
      <w:numFmt w:val="lowerLetter"/>
      <w:start w:val="2"/>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2"/>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upperLetter"/>
      <w:start w:val="1"/>
    </w:lvl>
  </w:abstractNum>
  <w:abstractNum w:abstractNumId="77">
    <w:nsid w:val="71EA1109"/>
    <w:multiLevelType w:val="hybridMultilevel"/>
    <w:lvl w:ilvl="0">
      <w:lvlJc w:val="left"/>
      <w:lvlText w:val="(%1)"/>
      <w:numFmt w:val="decimal"/>
      <w:start w:val="3"/>
    </w:lvl>
  </w:abstractNum>
  <w:abstractNum w:abstractNumId="78">
    <w:nsid w:val="100F59DC"/>
    <w:multiLevelType w:val="hybridMultilevel"/>
    <w:lvl w:ilvl="0">
      <w:lvlJc w:val="left"/>
      <w:lvlText w:val="(%1)"/>
      <w:numFmt w:val="decimal"/>
      <w:start w:val="5"/>
    </w:lvl>
  </w:abstractNum>
  <w:abstractNum w:abstractNumId="79">
    <w:nsid w:val="7FB7E0AA"/>
    <w:multiLevelType w:val="hybridMultilevel"/>
    <w:lvl w:ilvl="0">
      <w:lvlJc w:val="left"/>
      <w:lvlText w:val="(%1)"/>
      <w:numFmt w:val="lowerLetter"/>
      <w:start w:val="2"/>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Roman"/>
      <w:start w:val="1"/>
    </w:lvl>
  </w:abstractNum>
  <w:abstractNum w:abstractNumId="83">
    <w:nsid w:val="885E1B"/>
    <w:multiLevelType w:val="hybridMultilevel"/>
    <w:lvl w:ilvl="0">
      <w:lvlJc w:val="left"/>
      <w:lvlText w:val="(%1)"/>
      <w:numFmt w:val="lowerRoman"/>
      <w:start w:val="2"/>
    </w:lvl>
  </w:abstractNum>
  <w:abstractNum w:abstractNumId="84">
    <w:nsid w:val="76272110"/>
    <w:multiLevelType w:val="hybridMultilevel"/>
    <w:lvl w:ilvl="0">
      <w:lvlJc w:val="left"/>
      <w:lvlText w:val="(%1)"/>
      <w:numFmt w:val="lowerRoman"/>
      <w:start w:val="2"/>
    </w:lvl>
  </w:abstractNum>
  <w:abstractNum w:abstractNumId="85">
    <w:nsid w:val="4C04A8AF"/>
    <w:multiLevelType w:val="hybridMultilevel"/>
    <w:lvl w:ilvl="0">
      <w:lvlJc w:val="left"/>
      <w:lvlText w:val="(%1)"/>
      <w:numFmt w:val="lowerLetter"/>
      <w:start w:val="25"/>
    </w:lvl>
  </w:abstractNum>
  <w:abstractNum w:abstractNumId="86">
    <w:nsid w:val="1716703B"/>
    <w:multiLevelType w:val="hybridMultilevel"/>
    <w:lvl w:ilvl="0">
      <w:lvlJc w:val="left"/>
      <w:lvlText w:val="(%1)"/>
      <w:numFmt w:val="lowerRoman"/>
      <w:start w:val="1"/>
    </w:lvl>
  </w:abstractNum>
  <w:abstractNum w:abstractNumId="87">
    <w:nsid w:val="14E17E33"/>
    <w:multiLevelType w:val="hybridMultilevel"/>
    <w:lvl w:ilvl="0">
      <w:lvlJc w:val="left"/>
      <w:lvlText w:val="(%1)"/>
      <w:numFmt w:val="lowerRoman"/>
      <w:start w:val="3"/>
    </w:lvl>
  </w:abstractNum>
  <w:abstractNum w:abstractNumId="88">
    <w:nsid w:val="3222E7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2021-01-28T05:15:56Z</dcterms:created>
  <dcterms:modified xsi:type="dcterms:W3CDTF">2021-01-28T05:15:56Z</dcterms:modified>
</cp:coreProperties>
</file>