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PHARMACEUTICALS,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-2827020</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-2535555</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-2106295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-1531620</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-725805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-151130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139700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763270"/>
                    </a:xfrm>
                    <a:prstGeom prst="rect">
                      <a:avLst/>
                    </a:prstGeom>
                    <a:noFill/>
                  </pic:spPr>
                </pic:pic>
              </a:graphicData>
            </a:graphic>
          </wp:anchor>
        </w:drawing>
        <w:t>ARROWHEAD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MARCH 21,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PHARMACEUTICALS, INC.:</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NOTICE IS HEREBY GIVEN that the 2017 Annual Meeting of Stockholders of Arrowhead Pharmaceuticals, Inc., a Delaware corporation (the “Company”), will be held on Tuesday, March 21, 2017, at 10:00 a.m., local time, at the Sheraton Pasadena, 303 E. Cordova Street, Pasadena, California 91101, for the following purposes:</w:t>
      </w:r>
    </w:p>
    <w:p>
      <w:pPr>
        <w:spacing w:after="0" w:line="59" w:lineRule="exact"/>
        <w:rPr>
          <w:sz w:val="20"/>
          <w:szCs w:val="20"/>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five directors named in the Proxy Statement to serve as members of the Company’s Board of Directors until the next Annual Meeting or until their successors are elected;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(non-binding) vote on executive compensation;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2017;</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No. 1 relates solely to the election of the five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stockholders of record are cordially invited to attend the Annual Meeting in person. We anticipate that on or about February 3, 2017, we will mail our stockholders a Notice Regarding the Availability of Proxy Materials (the “Notice of Internet Availability”) containing instructions on how to access our 2017 Proxy Statement and 2016 Annual Report on Form 10-K and to vote online. 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in person even if such stockholder has previously returned a proxy. Each shareholder may appoint only one proxy holder to attend the Annual Meeting on his or her behalf. Please note, however, that if your shares are held of record by a broker, bank or other nominee and you wish to vote at the meeting, you must obtain a proxy issued in your name from that record holder.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2017</w:t>
      </w:r>
    </w:p>
    <w:p>
      <w:pPr>
        <w:spacing w:after="0" w:line="15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ectPr>
          <w:pgSz w:w="11900" w:h="16838" w:orient="portrait"/>
          <w:cols w:equalWidth="0" w:num="1">
            <w:col w:w="11400"/>
          </w:cols>
          <w:pgMar w:left="240" w:top="140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promptly will help avoid the additional expense of further solicitation to assure a quorum at the meeting.</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Please note, however, that if your shares are held of record by a broker, bank or other nominee and you wish to vote at the meeting, you must obtain a proxy issued in your name from that record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Tuesday, March 21,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access the following proxy materials at </w:t>
      </w:r>
      <w:r>
        <w:rPr>
          <w:rFonts w:ascii="Arial" w:cs="Arial" w:eastAsia="Arial" w:hAnsi="Arial"/>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2017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2017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2016;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ectPr>
          <w:pgSz w:w="11900" w:h="16838" w:orient="portrait"/>
          <w:cols w:equalWidth="0" w:num="1">
            <w:col w:w="11200"/>
          </w:cols>
          <w:pgMar w:left="240" w:top="274"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t>ARROWHEAD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TUESDAY, 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The enclosed Proxy is solicited on behalf of Arrowhead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Arrowhead</w:t>
      </w:r>
      <w:r>
        <w:rPr>
          <w:rFonts w:ascii="Arial" w:cs="Arial" w:eastAsia="Arial" w:hAnsi="Arial"/>
          <w:sz w:val="18"/>
          <w:szCs w:val="18"/>
          <w:color w:val="auto"/>
        </w:rPr>
        <w:t>”) for use at the 2017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to be held on Tuesday, March 21, 2017 at 10:00 a.m., local time, and at any adjournment(s) thereof, for the purposes set forth herein and in the accompanying Notice of Annual Meeting of Stockholders (the “</w:t>
      </w:r>
      <w:r>
        <w:rPr>
          <w:rFonts w:ascii="Arial" w:cs="Arial" w:eastAsia="Arial" w:hAnsi="Arial"/>
          <w:sz w:val="18"/>
          <w:szCs w:val="18"/>
          <w:b w:val="1"/>
          <w:bCs w:val="1"/>
          <w:color w:val="auto"/>
        </w:rPr>
        <w:t>Notice</w:t>
      </w:r>
      <w:r>
        <w:rPr>
          <w:rFonts w:ascii="Arial" w:cs="Arial" w:eastAsia="Arial" w:hAnsi="Arial"/>
          <w:sz w:val="18"/>
          <w:szCs w:val="18"/>
          <w:color w:val="auto"/>
        </w:rPr>
        <w:t>”). The Annual Meeting will be held at the Sheraton Pasadena, 303 E. Cordova Street, Pasadena, CA 91101.</w:t>
      </w:r>
    </w:p>
    <w:p>
      <w:pPr>
        <w:spacing w:after="0" w:line="14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anticipates that the Notice Regarding the Availability of Proxy Materials (the “Notice of Internet Availability”) in connection with these proxy solicitation materials will first be mailed on or about February 3, 2017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color w:val="auto"/>
        </w:rPr>
        <w:t>Only holders of record of our common stock at the close of business on January 27, 2017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74,569,706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4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you will not be able to attend the Annual Meeting to vote in person, you may vote your shares via the Internet or by telephone or by mail as set forth in the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30" w:right="259" w:bottom="1440" w:gutter="0" w:footer="0" w:header="0"/>
        </w:sectPr>
      </w:pPr>
    </w:p>
    <w:bookmarkStart w:id="4" w:name="page5"/>
    <w:bookmarkEnd w:id="4"/>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engaged a proxy solicitor, Alliance Advisors, LLC,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5"/>
          <w:szCs w:val="15"/>
          <w:b w:val="1"/>
          <w:bCs w:val="1"/>
          <w:color w:val="auto"/>
        </w:rPr>
        <w:t>broker non-votes</w:t>
      </w:r>
      <w:r>
        <w:rPr>
          <w:rFonts w:ascii="Arial" w:cs="Arial" w:eastAsia="Arial" w:hAnsi="Arial"/>
          <w:sz w:val="15"/>
          <w:szCs w:val="15"/>
          <w:color w:val="auto"/>
        </w:rPr>
        <w:t>”). In accordance with the rules of Nasdaq, banks, brokerage firms and other nominees who hold Arrowhead shares in street name for their customers have authority to vote on “routine” proposals when they have not received instructions from beneficial owners. However, banks, brokerage firms and other nominees are precluded from exercising their voting discretion with respect to non-routine matters, such as Proposal Nos. 1 and 2 described in this proxy statement. Absent instruction from you, however, your broker can, using its voting discretion, vote on the proposal to ratify the selection of Rose, Snyder &amp; Jacobs LLP as Arrowhead’s independent auditor for the fiscal year ending September 30, 2017.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five directors, will be elected. Because Proposal Nos. 2 and 3 must be approved by the affirmative vote of a majority of the shares of Common Stock entitled to vote thereon and present in person or by proxy at the Annual Meeting (the “Required Vote”), abstentions will be counted in tabulations of the votes cast on each such proposal and will have the same effect as a vote against the proposal, whereas broker non-votes (with respect to Proposal No. 2) will be excluded from the vote and will have no effect on its outcome.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2018 Annual Meeting of Stockholders must ensure that the proposal is received by the Corporate Secretary at Arrowhead Pharmaceuticals, Inc., 225 South Lake Avenue, Suite 1050, Pasadena, CA 91101, not later than October 6, 2017, in order to be considered for inclusion in our proxy materials for that meeting; provided, however, that if the Company’s 2018 Annual Meeting of Stockholders is held before February 19, 2018 or after April 20, 2018, you must provide specified information to us a reasonable time before we begin to print and send our proxy statement for our 2018 Annual Meeting. Proposals received after the specified dates may be excluded from the Company’s proxy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1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2017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2018 Annual Meeting date is advanced by more than 30 days before or delayed by more than 60 days after the anniversary date of the 2017</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then stockholders must provide notice within time periods specified in our Bylaws. Our Bylaws also specify requirements as to the form and content of a stockholder’s notice.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Board has nominated the following five persons as directors to serve until the 2018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five nominees receiving the greatest numbers of votes at the Annual Meeting will be elected to the five director positions. Unless otherwise instructed, the proxy holders will vote the proxies received by them for the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4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7640" w:type="dxa"/>
            <w:vAlign w:val="bottom"/>
          </w:tcPr>
          <w:p>
            <w:pPr>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President &amp; Director</w:t>
            </w:r>
          </w:p>
        </w:tc>
        <w:tc>
          <w:tcPr>
            <w:tcW w:w="0" w:type="dxa"/>
            <w:vAlign w:val="bottom"/>
          </w:tcPr>
          <w:p>
            <w:pPr>
              <w:spacing w:after="0"/>
              <w:rPr>
                <w:sz w:val="1"/>
                <w:szCs w:val="1"/>
                <w:color w:val="auto"/>
              </w:rPr>
            </w:pPr>
          </w:p>
        </w:tc>
      </w:tr>
      <w:tr>
        <w:trPr>
          <w:trHeight w:val="322"/>
        </w:trPr>
        <w:tc>
          <w:tcPr>
            <w:tcW w:w="3240" w:type="dxa"/>
            <w:vAlign w:val="bottom"/>
            <w:gridSpan w:val="3"/>
          </w:tcPr>
          <w:p>
            <w:pPr>
              <w:spacing w:after="0"/>
              <w:rPr>
                <w:sz w:val="20"/>
                <w:szCs w:val="20"/>
                <w:color w:val="auto"/>
              </w:rPr>
            </w:pPr>
            <w:r>
              <w:rPr>
                <w:rFonts w:ascii="Arial" w:cs="Arial" w:eastAsia="Arial" w:hAnsi="Arial"/>
                <w:sz w:val="18"/>
                <w:szCs w:val="18"/>
                <w:color w:val="auto"/>
              </w:rPr>
              <w:t>Mauro Ferrari*</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2"/>
        </w:trPr>
        <w:tc>
          <w:tcPr>
            <w:tcW w:w="3240" w:type="dxa"/>
            <w:vAlign w:val="bottom"/>
            <w:gridSpan w:val="3"/>
          </w:tcPr>
          <w:p>
            <w:pPr>
              <w:spacing w:after="0"/>
              <w:rPr>
                <w:sz w:val="20"/>
                <w:szCs w:val="20"/>
                <w:color w:val="auto"/>
              </w:rPr>
            </w:pPr>
            <w:r>
              <w:rPr>
                <w:rFonts w:ascii="Arial" w:cs="Arial" w:eastAsia="Arial" w:hAnsi="Arial"/>
                <w:sz w:val="18"/>
                <w:szCs w:val="18"/>
                <w:color w:val="auto"/>
              </w:rPr>
              <w:t>Douglass Given</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Perry*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Lead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Member of the Audit Committee, Compensation Committee and Nomination Committee.</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Dr. Christopher Anzalone </w:t>
      </w:r>
      <w:r>
        <w:rPr>
          <w:rFonts w:ascii="Arial" w:cs="Arial" w:eastAsia="Arial" w:hAnsi="Arial"/>
          <w:sz w:val="18"/>
          <w:szCs w:val="18"/>
          <w:color w:val="auto"/>
        </w:rPr>
        <w:t>has been President, Chief Executive Officer and Director of the Company since December 1, 2007. In 2005, Dr. Anzalone</w:t>
      </w:r>
      <w:r>
        <w:rPr>
          <w:rFonts w:ascii="Arial" w:cs="Arial" w:eastAsia="Arial" w:hAnsi="Arial"/>
          <w:sz w:val="18"/>
          <w:szCs w:val="18"/>
          <w:b w:val="1"/>
          <w:bCs w:val="1"/>
          <w:color w:val="auto"/>
        </w:rPr>
        <w:t xml:space="preserve"> </w:t>
      </w:r>
      <w:r>
        <w:rPr>
          <w:rFonts w:ascii="Arial" w:cs="Arial" w:eastAsia="Arial" w:hAnsi="Arial"/>
          <w:sz w:val="18"/>
          <w:szCs w:val="18"/>
          <w:color w:val="auto"/>
        </w:rPr>
        <w:t>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biotechnology, nanotechnology, company-building and venture capital.</w:t>
      </w:r>
    </w:p>
    <w:p>
      <w:pPr>
        <w:spacing w:after="0" w:line="14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Dr. Mauro Ferrari </w:t>
      </w:r>
      <w:r>
        <w:rPr>
          <w:rFonts w:ascii="Arial" w:cs="Arial" w:eastAsia="Arial" w:hAnsi="Arial"/>
          <w:sz w:val="18"/>
          <w:szCs w:val="18"/>
          <w:color w:val="auto"/>
        </w:rPr>
        <w:t>has been a director of the Company since 2010. Dr. Ferrari is the President and CEO of The Houston Methodist Hospital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Institute (TMHRI), Executive Vice President of Houston Methodist Hospital and Senior Associate Dean of Weill Cornell Medical College in New York.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UC Berkeley and The Ohio State University.</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From 2003 to 2005, Dr. Ferrari served as Special Expert on Nanotechnology and Eminent Scholar at The National Cancer Institute, where he led in the development of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14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was an Account Executive with Crowell, Weedon &amp; Co.,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3"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Mr. Frykman is also a director of Acacia Research Corporation, a publicly-held corporation based in Newport Beach, California. We believe Mr. Frykman’s qualifications to serve on the Board include his long tenure as a member of the Board, which has enabled Mr. Frykman to gain a deep understanding of the company’s operations, strategy and finances. Mr. Frykman has over 20 years of Audit Committee leadership in his roles of Audit Committee Chairman at both Acacia and Arrowhead and an extensive knowledge and experience in financial statement analysis gained in his career in finance and management.</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Dr. Douglass Given </w:t>
      </w:r>
      <w:r>
        <w:rPr>
          <w:rFonts w:ascii="Arial" w:cs="Arial" w:eastAsia="Arial" w:hAnsi="Arial"/>
          <w:sz w:val="16"/>
          <w:szCs w:val="16"/>
          <w:color w:val="auto"/>
        </w:rPr>
        <w:t>has been a director of the Company since November 2010. Dr. Given is the founder and managing partner of G5 Partners LLC and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and Chief Executive Officer of Health 2047, Inc., a San Francisco, California based health information start up. He joined Bay City Capital, LLC in 2000, served as a General Partner and Investment Partner from 2004-2014 and participated in more than 50 investments. He has co-founded 14 startup companies. He formerly held positions as Corporate Senior Vice President and Chief Technology Officer at Mallinckrodt, Vice President at Schering Plough, Vice President at Monsanto/GD Searle and Medical Advisor at Lilly. He has been a Director at 8 public and 8 private companies and is currently Chairman at Arrowhead, Vivaldi Biosciences Inc. and Medical eXellence Inc. He has held positions as CEO at Progenitor Inc, Mercator Genetics Inc, NeoRx Corp, VIA Pharmaceuticals Inc., and Vivaldi Biosciences Inc. Dr. Given has been a member of the University of Chicago Medical Center and Pritzker School of Medicine Visiting Committee since 1995 and served as its Chair from 2007-2013.</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Additional University of Chicago activities include the Center for Global Health External Advisory Board and Investment Committee for the Innovation Fund. He is a member of the Johns Hopkins Bloomberg School of Public Health Advisory Board and its Development Committee and Innovation and Commercialization Committee. He is a member of the Harvard School of Public Health International Advisory Council and the Stanford Medicine Community Council. He received his MD &amp; PhD from the University of Chicago and MBA from the Wharton School, University of Pennsylvania. Dr. Given was a Clinical and Research Fellow in Internal Medicine and Infectious Diseases at Massachusetts General Hospital and Harvard Medical School. We believe Dr. Given’s qualifications to serve on the Board include his extensive experience as a physician scientist, in finance and business transactions, particularly investments in the life sciences industry, as well as directorship roles in biopharmaceutical companies. Dr. Given also has significant leadership roles, including CTO and Senior Vice President, at several large pharmaceutical companies. Dr. Douglass Given is a brother of Dr. Bruce Given, our chief operating officer.</w:t>
      </w:r>
    </w:p>
    <w:p>
      <w:pPr>
        <w:spacing w:after="0" w:line="11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Dr. Michael S. Perry </w:t>
      </w:r>
      <w:r>
        <w:rPr>
          <w:rFonts w:ascii="Arial" w:cs="Arial" w:eastAsia="Arial" w:hAnsi="Arial"/>
          <w:sz w:val="18"/>
          <w:szCs w:val="18"/>
          <w:color w:val="auto"/>
        </w:rPr>
        <w:t>has been a director of the Company since 2011. Dr. Perry is currently Senior Vice President and Chief Scientific Officer, Global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Development and Licensing at Novartis Pharma. Prior to his appointment at Novartis, Dr. Perry was a Venture Partner with Bay City Capital LLP from 2005 until November 2012 and President and Chief Medical Officer of Poniard Pharmaceuticals from 2010 to November 2012. He also currently serves as a member of the board of directors of AmpliPhi Biosciences Corporation and Avita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right="1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Medical. He was Chief Development Officer at VIA Pharmaceuticals, Inc., a publicly held drug development company, from April 2005 until May 2009. Prior 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 Head of Research and Development for Baxter BioScience. From 1997 to 2000,</w:t>
      </w:r>
    </w:p>
    <w:p>
      <w:pPr>
        <w:spacing w:after="0" w:line="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900" w:right="6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62"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has appointed an independent Lead Director. The Lead Director is tasked with assuring that the Board committees and other relevant issues have independent leadership.</w:t>
      </w:r>
    </w:p>
    <w:p>
      <w:pPr>
        <w:spacing w:after="0" w:line="50" w:lineRule="exact"/>
        <w:rPr>
          <w:rFonts w:ascii="Arial" w:cs="Arial" w:eastAsia="Arial" w:hAnsi="Arial"/>
          <w:sz w:val="18"/>
          <w:szCs w:val="18"/>
          <w:color w:val="auto"/>
        </w:rPr>
      </w:pPr>
    </w:p>
    <w:p>
      <w:pPr>
        <w:ind w:left="900" w:right="18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3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www.arrowheadpharma.com. The ethics policy meets the requirements of Nasdaq Marketplace Rules,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independent directors meet separately in executive session on a regular basis to discuss matters relating to the Company and the Board, without members of the management team present.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Communications with Directors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Pharmaceuticals, Inc., 225 South Lake Avenue, Suite 1050,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held a total of eight meetings during the fiscal year ended September 30, 2016. The Board has three standing committees: an Audit Committee, a Compensation Committee and a Nomination Committee.</w:t>
      </w:r>
    </w:p>
    <w:p>
      <w:pPr>
        <w:spacing w:after="0" w:line="132"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four times during fiscal 2016. The current members of the Audit Committee are Edward W. Frykman, Chairman, Mauro Ferrari and Michael S. Perry. The Board has determined that all members of the Audit Committee are independent directors under the Rules of the SEC and the listing standards of Nasdaq Marketplace Rules and are financially literate. The Board has determined that Mr. Frykman is an “audit committee financial expert” in accordance with the applicable regulations, based on his experience as noted above. The Audit Committee Charter is available on the Company’s website at www.arrowheadpharma.com.</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and other benefits payable to the Company’s executive officers and to administer the Company’s 2004 Equity Incentive Plan and 2013 Incentive Plan.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at least annually; the Chief Executive Officer is not present during discussions or deliberations regarding his compensation. The Compensation Committee engaged a consultant to provide advice and guidance with regard to compensation for our named executive officers for fiscal 2016. The decision to engage the consultant was not made or recommended by management and the Committee has the sole discretion to engage or change the consultant. The Compensation Committee met three times during fiscal 2016. The current members of the Compensation Committee are Michael S. Perry, Chairman, Edward Frykman and Mauro Ferrari. The Board has determined that all members of the Compensation Committee are independent directors under the listing rules of Nasdaq Marketplace Rules. The Compensation Committee’s charter is available on the Company’s website at www.arrowheadpharma.com. The Committee has not delegated any of its responsibilities or authorities granted under its charter.</w:t>
      </w:r>
    </w:p>
    <w:p>
      <w:pPr>
        <w:spacing w:after="0" w:line="124"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Nomination Committee is responsible for proposing a slate of directors for election by the stockholders at each Annual Stockholders Meeting and for proposing candidates to fill any vacancies. The Nomination Committee met once during fiscal 2016. The current members of the Nomination Committee are Michael S. Perry, Chairman, Edward Frykman and Mauro Ferrari. The Nomination Committee’s charter is available on the Company’s website at www.arrowheadpharma.com.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Candidates for independent Board member positions have historically been identified through recommendations from directors or others associated with the Company.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business experience at the corporate level, relevant non-competitive experience and strong communication and analytical skills. Independent directors must meet the criteria for independence set forth by Nasdaq and the SEC. In any given search, the Nomination Committee may also define particular characteristics for candidates to balance the overall skills and characteristics of the Board and the needs of the Company.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2016, and (ii) the total number of meetings held by all committees of the Board during fiscal 2016 on which such person served.</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majority (three) of the directors attended the 2016 Annual Meeting of Stockholders. It is the Company’s policy to encourage, but not require, that all directors attend our annual stockholder meetings.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The below table sets forth compensation levels or each of our outside directors for calendar 2016 and 2017.</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2017 Annual</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2017 Stock</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2017 Grant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2016 Annual</w:t>
            </w: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2016 Stock</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2016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Fee (1)</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 (2)</w:t>
            </w: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Date Value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Fee (1)</w:t>
            </w: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Award (2)</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Date Value</w:t>
            </w:r>
          </w:p>
        </w:tc>
        <w:tc>
          <w:tcPr>
            <w:tcW w:w="0" w:type="dxa"/>
            <w:vAlign w:val="bottom"/>
          </w:tcPr>
          <w:p>
            <w:pPr>
              <w:spacing w:after="0"/>
              <w:rPr>
                <w:sz w:val="1"/>
                <w:szCs w:val="1"/>
                <w:color w:val="auto"/>
              </w:rPr>
            </w:pPr>
          </w:p>
        </w:tc>
      </w:tr>
      <w:tr>
        <w:trPr>
          <w:trHeight w:val="131"/>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21"/>
              <w:spacing w:after="0" w:line="131" w:lineRule="exact"/>
              <w:rPr>
                <w:sz w:val="20"/>
                <w:szCs w:val="20"/>
                <w:color w:val="auto"/>
              </w:rPr>
            </w:pPr>
            <w:r>
              <w:rPr>
                <w:rFonts w:ascii="Arial" w:cs="Arial" w:eastAsia="Arial" w:hAnsi="Arial"/>
                <w:sz w:val="14"/>
                <w:szCs w:val="14"/>
                <w:color w:val="auto"/>
                <w:w w:val="91"/>
              </w:rPr>
              <w:t>(effective</w:t>
            </w:r>
          </w:p>
        </w:tc>
        <w:tc>
          <w:tcPr>
            <w:tcW w:w="3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
              <w:spacing w:after="0" w:line="131" w:lineRule="exact"/>
              <w:rPr>
                <w:sz w:val="20"/>
                <w:szCs w:val="20"/>
                <w:color w:val="auto"/>
              </w:rPr>
            </w:pPr>
            <w:r>
              <w:rPr>
                <w:rFonts w:ascii="Arial" w:cs="Arial" w:eastAsia="Arial" w:hAnsi="Arial"/>
                <w:sz w:val="14"/>
                <w:szCs w:val="14"/>
                <w:color w:val="auto"/>
                <w:w w:val="91"/>
              </w:rPr>
              <w:t>(effective</w:t>
            </w:r>
          </w:p>
        </w:tc>
        <w:tc>
          <w:tcPr>
            <w:tcW w:w="3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6" w:lineRule="exact"/>
              <w:rPr>
                <w:sz w:val="20"/>
                <w:szCs w:val="20"/>
                <w:color w:val="auto"/>
              </w:rPr>
            </w:pPr>
            <w:r>
              <w:rPr>
                <w:rFonts w:ascii="Arial" w:cs="Arial" w:eastAsia="Arial" w:hAnsi="Arial"/>
                <w:sz w:val="14"/>
                <w:szCs w:val="14"/>
                <w:color w:val="auto"/>
                <w:w w:val="91"/>
              </w:rPr>
              <w:t>1/1/17)</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
              <w:spacing w:after="0" w:line="146" w:lineRule="exact"/>
              <w:rPr>
                <w:sz w:val="20"/>
                <w:szCs w:val="20"/>
                <w:color w:val="auto"/>
              </w:rPr>
            </w:pPr>
            <w:r>
              <w:rPr>
                <w:rFonts w:ascii="Arial" w:cs="Arial" w:eastAsia="Arial" w:hAnsi="Arial"/>
                <w:sz w:val="14"/>
                <w:szCs w:val="14"/>
                <w:color w:val="auto"/>
                <w:w w:val="91"/>
              </w:rPr>
              <w:t>1/1/16)</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Douglass Given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124,000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215,250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40" w:type="dxa"/>
            <w:vAlign w:val="bottom"/>
            <w:gridSpan w:val="3"/>
          </w:tcPr>
          <w:p>
            <w:pPr>
              <w:spacing w:after="0"/>
              <w:rPr>
                <w:sz w:val="20"/>
                <w:szCs w:val="20"/>
                <w:color w:val="auto"/>
              </w:rPr>
            </w:pPr>
            <w:r>
              <w:rPr>
                <w:rFonts w:ascii="Arial" w:cs="Arial" w:eastAsia="Arial" w:hAnsi="Arial"/>
                <w:sz w:val="18"/>
                <w:szCs w:val="18"/>
                <w:color w:val="auto"/>
              </w:rPr>
              <w:t>Lead Director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68,250</w:t>
            </w:r>
          </w:p>
        </w:tc>
        <w:tc>
          <w:tcPr>
            <w:tcW w:w="3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80,000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124,000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65,000</w:t>
            </w:r>
          </w:p>
        </w:tc>
        <w:tc>
          <w:tcPr>
            <w:tcW w:w="640" w:type="dxa"/>
            <w:vAlign w:val="bottom"/>
          </w:tcPr>
          <w:p>
            <w:pPr>
              <w:jc w:val="right"/>
              <w:spacing w:after="0"/>
              <w:rPr>
                <w:sz w:val="20"/>
                <w:szCs w:val="20"/>
                <w:color w:val="auto"/>
              </w:rPr>
            </w:pPr>
            <w:r>
              <w:rPr>
                <w:rFonts w:ascii="Arial" w:cs="Arial" w:eastAsia="Arial" w:hAnsi="Arial"/>
                <w:sz w:val="18"/>
                <w:szCs w:val="18"/>
                <w:color w:val="auto"/>
              </w:rPr>
              <w:t>30,000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 Frykman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77,500</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153,750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77,500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640" w:type="dxa"/>
            <w:vAlign w:val="bottom"/>
          </w:tcPr>
          <w:p>
            <w:pPr>
              <w:jc w:val="right"/>
              <w:spacing w:after="0"/>
              <w:rPr>
                <w:sz w:val="20"/>
                <w:szCs w:val="20"/>
                <w:color w:val="auto"/>
              </w:rPr>
            </w:pPr>
            <w:r>
              <w:rPr>
                <w:rFonts w:ascii="Arial" w:cs="Arial" w:eastAsia="Arial" w:hAnsi="Arial"/>
                <w:sz w:val="18"/>
                <w:szCs w:val="18"/>
                <w:color w:val="auto"/>
              </w:rPr>
              <w:t>8,517</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right="140" w:hanging="452"/>
        <w:spacing w:after="0" w:line="298"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annual fee for service as a Company director for 2017 is $52,500. An additional fee of $26,250 is paid for the service of the Chairman and an additional $15,750 for the service of the lead director. The annual fee for 2016 was $50,000 for each director with an additional $25,000 and $15,000 for the Chairman and the lead director, respectively. Dr. Ferrari declined compensation for his service as a director until January 1, 2016 based on the policies of his employer, so the cash compensation shown represents payments for 3 quarters in fiscal 2016.</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left="460" w:right="80" w:hanging="452"/>
        <w:spacing w:after="0" w:line="304"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services in 2017, each non-employee director received a grant of 50,000 restricted stock units (“</w:t>
      </w:r>
      <w:r>
        <w:rPr>
          <w:rFonts w:ascii="Arial" w:cs="Arial" w:eastAsia="Arial" w:hAnsi="Arial"/>
          <w:sz w:val="15"/>
          <w:szCs w:val="15"/>
          <w:b w:val="1"/>
          <w:bCs w:val="1"/>
          <w:color w:val="auto"/>
        </w:rPr>
        <w:t>RSUs</w:t>
      </w:r>
      <w:r>
        <w:rPr>
          <w:rFonts w:ascii="Arial" w:cs="Arial" w:eastAsia="Arial" w:hAnsi="Arial"/>
          <w:sz w:val="15"/>
          <w:szCs w:val="15"/>
          <w:color w:val="auto"/>
        </w:rPr>
        <w:t>”). Two additional grants of 30,000 RSUs were awarded for the service of the Chairman and the lead director. RSU grants to non-employee directors vest on the one-year anniversary of the date of grant. In 2016, the grant for each director was 25,000 RSUs with an additional grant to the Chairman of 10,000 RSUs and to the lead director of 5,000 RSUs. In 2016, Dr. Ferrari was eligible to receive an RSU grant of up to 25,000 shares of common stock vesting on the one year anniversary of the date of grant.</w:t>
      </w:r>
    </w:p>
    <w:p>
      <w:pPr>
        <w:spacing w:after="0" w:line="2" w:lineRule="exact"/>
        <w:rPr>
          <w:rFonts w:ascii="Arial" w:cs="Arial" w:eastAsia="Arial" w:hAnsi="Arial"/>
          <w:sz w:val="15"/>
          <w:szCs w:val="15"/>
          <w:color w:val="auto"/>
        </w:rPr>
      </w:pPr>
    </w:p>
    <w:p>
      <w:pPr>
        <w:ind w:left="460" w:right="100"/>
        <w:spacing w:after="0" w:line="302" w:lineRule="auto"/>
        <w:rPr>
          <w:rFonts w:ascii="Arial" w:cs="Arial" w:eastAsia="Arial" w:hAnsi="Arial"/>
          <w:sz w:val="15"/>
          <w:szCs w:val="15"/>
          <w:color w:val="auto"/>
        </w:rPr>
      </w:pPr>
      <w:r>
        <w:rPr>
          <w:rFonts w:ascii="Arial" w:cs="Arial" w:eastAsia="Arial" w:hAnsi="Arial"/>
          <w:sz w:val="16"/>
          <w:szCs w:val="16"/>
          <w:color w:val="auto"/>
        </w:rPr>
        <w:t>Dr. Ferrari’s employer limited the amount of compensation he could accept in 2016 and several prior years. After approval by his employer, a stock award of 8,517 shares was granted in lieu of an RSU grant. In 2017, Dr. Ferrari and his employer negotiated an arrangement which allowed him to accept the director’s RSU grant for 50,000 shares and to donate his cash compensation to his employer.</w:t>
      </w:r>
    </w:p>
    <w:p>
      <w:pPr>
        <w:spacing w:after="0" w:line="10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total compensation paid to our non-employee directors in fiscal 2016. Dr. Anzalone’s compensation is set forth in the discussion of Executive Compensation and in the Summary Compensation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Fee Earned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or</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020" w:type="dxa"/>
            <w:vAlign w:val="bottom"/>
            <w:vMerge w:val="restart"/>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11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Awards ($)</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ind w:right="99"/>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(1) (2)</w:t>
            </w:r>
          </w:p>
        </w:tc>
        <w:tc>
          <w:tcPr>
            <w:tcW w:w="50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7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Douglass Given</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212,250</w:t>
            </w: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287,250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65,000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184,500</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W.Frykman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153,750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color w:val="auto"/>
              </w:rPr>
              <w:t>Mauro Ferrari (3)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37,500</w:t>
            </w:r>
          </w:p>
        </w:tc>
        <w:tc>
          <w:tcPr>
            <w:tcW w:w="640" w:type="dxa"/>
            <w:vAlign w:val="bottom"/>
          </w:tcPr>
          <w:p>
            <w:pPr>
              <w:jc w:val="right"/>
              <w:spacing w:after="0"/>
              <w:rPr>
                <w:sz w:val="20"/>
                <w:szCs w:val="20"/>
                <w:color w:val="auto"/>
              </w:rPr>
            </w:pPr>
            <w:r>
              <w:rPr>
                <w:rFonts w:ascii="Arial" w:cs="Arial" w:eastAsia="Arial" w:hAnsi="Arial"/>
                <w:sz w:val="18"/>
                <w:szCs w:val="18"/>
                <w:color w:val="auto"/>
              </w:rPr>
              <w:t>49,995</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restricted stock units granted during fiscal year 2016 for each director.</w:t>
      </w:r>
    </w:p>
    <w:p>
      <w:pPr>
        <w:ind w:left="460" w:right="3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RSUs to non-employee directors vest one year from date of grant, with the exception of Dr. Ferrari’s grant. Dr. Ferrari’s grant was adjusted to meet the policies of his employer, and the grant vested immediately. In 2016, Dr. Ferrari was eligible to receive an RSU grant of up to 25,000 shares of common stock vesting on the one year anniversary of the date of grant. Dr. Ferrari’s employer limited the amount of compensation he could accept in 2016 and several prior years. After approval by his employer, a stock award of 8,517 shares was granted in lieu of an RSU grant.</w:t>
      </w:r>
    </w:p>
    <w:p>
      <w:pPr>
        <w:spacing w:after="0" w:line="2"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Ferrari declined compensation for his service as a director until January 1, 2016 based on the policies of his employer. The cash compensation shown represents payments for 3 quarters in fiscal 2016.</w:t>
      </w:r>
    </w:p>
    <w:p>
      <w:pPr>
        <w:spacing w:after="0" w:line="13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the last day of fiscal year 2016, the directors held the following outstanding stock option and restricted stock unit grants in the aggregate: Douglass Given – 65,000 stock options and 35,000 restricted stock units; Michael S. Perry – 77,000 stock options and 30,000 restricted stock units; Edward Frykman – 76,500 stock options and 25,000 restricted stock units; and Mauro Ferrari – 25,469 stock options.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five nominees receiving the greatest numbers of votes at the meeting, assuming a quorum is present, will be elected to the five director positions to serve until their terms expire or until their successors have been duly elected and qualified. Because directors are elected by plurality, abstentions from voting and broker non-votes will be entirely excluded from the vote and will have no effect on its outcome.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UNANIMOUSLY RECOMMENDS A VOTE “FOR” EACH OF THE NOMINEES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DIRECTOR IN PROPOSAL ONE.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5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on pages 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through 23 of this proxy statement for the year ended September 30, 2016. The Board of Directors is asking stockholders to cast a non-binding, advisory vote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following resolution:</w:t>
      </w:r>
    </w:p>
    <w:p>
      <w:pPr>
        <w:spacing w:after="0" w:line="84"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as set forth in the compensation tables and narrative discussion, is hereby APPROVED.”</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Board has adopted a policy providing for annual advisory votes on executive compensation. Unless the Board modifies its policy on the frequency of holding advisory votes on executive compensation, the next such advisory vote will occur in 2018.</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TWO.</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The following compensation discussion and analysis contains statements regarding future individual and Company performance targets and goals. These targets and goals are disclosed in the limited context of Arrowhead’s compensation programs and should not be understood to be statements of management’s expectations or guidance. Arrowhead cautions investors not to apply these statements to other contexts</w:t>
      </w:r>
      <w:r>
        <w:rPr>
          <w:rFonts w:ascii="Arial" w:cs="Arial" w:eastAsia="Arial" w:hAnsi="Arial"/>
          <w:sz w:val="18"/>
          <w:szCs w:val="18"/>
          <w:color w:val="auto"/>
        </w:rPr>
        <w:t>.</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Compensation Committee reviews and approves our executive compensation philosophy, objectives and methods, evaluates our performance and the performance of our executive officers, and approves executive compensation. The members of our Compensation Committee are appointed by our Board, and each member is an independent director (as “independence” is currently defined in Rule 5605(a)(2) of the Nasdaq listing standards). The members of our Compensation Committee are Michael S. Perry (Chairman), Mauro Ferrari and Edward Frykman.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Compensation Discussion and Analysis explains our compensation philosophy, policies and practices for the following executives, who are referred to in this Compensation Discussion and Analysis and in the subsequent tables as our “Named Executive Officers” or “NEOs”: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Christopher Anzalone, President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Bruce Given, Chief Operating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Kenneth Myszkowski, Chief Financial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Patrick O’Brien, General Counsel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David Lewis, Chief Scientific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provide a summary of our recent business achievements, a description of our executive compensation program, a description of the overall objectives of the program and an analysis of each component of compensation that we provide to our named executive officers. In addition, we explain how and why the Compensation Committee arrived at the specific compensation policies and decisions involving the named executive officers during and for 2016. We describe measures that the Compensation Committee has taken in response to feedback we received from stockholders and prior years’ stockholder advisory vote on our executive compensation program (the “Say-on-Pay Vote”).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Performance</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2016, Arrowhead made broad progress toward our strategic objectives. Most notably, the Company entered into two license and collaboration agreements with Amgen, Inc., a leading biopharma company, to develop and commercialize two RNAi therapeutics for cardiovascular targets, including our preclinical program ARO-LPA and a novel therapeutic for an undisclosed target identified by Amgen. The agreements provide for $56.5 million of upfront cash payments as well as option payments, milestone payments and royalties on sales of products of up to $617 million. Aside from the immediate and future financial impact, this collaboration with a large biopharma partner provides validation for the Company’s technology in several key ways: validation of our strategic positioning as a platform company, validation of the science underpinning our technology platform, validation of our RNAi delivery capabilities including subcutaneous administration, and validation of our ARO-LPA program. Additionally, the collaboration provides both therapeutics with access to the development and commercialization capabilities of a large biopharma company while limiting the financial investment by the Company.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Arrowhead made good progress on its preclinical programs, including adding subcutaneously delivered candidates for hepatitis B (ARO-HBV) and alpha-1 antitrypsin deficiency (ARO-AAT) to its preclinical pipeline. In addition, promising data from our preclinical programs showing delivery and knockdown of our oncology and cardiovascular drug candidates was presented at several scientific conferences.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Through the fiscal year, the Company continued to progress its clinical program, initiating a Phase 2b multi-dose study for ARC-520 (hepatitis B), a Phase 1/2 study for ARC-521 (follow-on for hepatitis B) and a Phase 2b study for ARC-AAT (alpha-1 antitrypsin deficiency). Although the Company’s intravenously administered programs were terminated in November 2016, these studies provided important safety and knockdown data in human subjects that will inform the Company’s follow-on subcutaneously administered programs for hepatitis B, alpha-1 antitrypsin deficiency and our other programs. Following the termination of the clinical programs, the Company reduced its workforce by approximately 30%, while maintaining resources necessary to support current and potential future partner-based programs and Arrowhead’s internal candidates. Based on the streamlined cost structure and cash secured from the Amgen transaction and another financing transaction in 2016, the Company has a cash runway expected to extend to fiscal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Compensation Program and 2016 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compensation program consists primarily of the following forms of compensation:</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0"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A base level of compensation is set appropriate to each executive’s scope of responsibility and level of experience. Base salary is targeted to market-based levels to allow the Company to attract and retain top talent. In 2016, base salary for each executive was increased by 4-6% which was consistent with prior year increases and reflects the Compensation Committee’s decision to provide a modest increase for each executive in recognition of continuing service.</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Annual Incentive Compensation</w:t>
      </w:r>
      <w:r>
        <w:rPr>
          <w:rFonts w:ascii="Arial" w:cs="Arial" w:eastAsia="Arial" w:hAnsi="Arial"/>
          <w:sz w:val="18"/>
          <w:szCs w:val="18"/>
          <w:color w:val="auto"/>
        </w:rPr>
        <w:t>:</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Each named executive officer is eligible to be considered for an annual cash incentive compensation award based on Company and individual performance. Target awards are set based on each executive’s role in the Company. At higher levels of control and accountability for the Company’s overall performance, a higher percentage of each named executive officer’s total cash compensation (base salary plus annual cash incentive compensation) is comprised of performance-based cash incentive compensation. For 2016, target awards ranged from 35-100%, which was consistent with prior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left="920"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CEO’s bonus was paid out at only 75% of target because, while not under the CEO’s control, circumstances arose that led to the Company’s termination of its intravenously administered programs in November 2016. Bonuses were paid out at or near target for other named executives reflecting the Company’s and each individual’s achievement of the results described in more detail below.</w:t>
      </w:r>
    </w:p>
    <w:p>
      <w:pPr>
        <w:spacing w:after="0" w:line="228"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Consistent with the Company’s stage of development and to align compensation with long term performance, overall executive compensation is weighted toward equity compensation. Each executive officer is eligible to be considered for an equity award, generally annually, and the Company has historically granted a mix of stock options and restricted stock units. In 2016, the large majority of equity awards granted to the Company’s CEO are eligible to vest based on the achievement of rigorous performance milestones, some of which were met in 2016. The Company is a standout among its peer group in awarding performance-based grants to its CEO. Only a small number of its peers use performance based equity awards for its CEO and the proportion of performance vs. time-based award is minor. Amounts relating to equity awards granted to other NEOs in fiscal 2016, which appear in the Summary Compensation Table below, reflect awards made early in 2016 in recognition of 2015 performance.</w:t>
      </w:r>
    </w:p>
    <w:p>
      <w:pPr>
        <w:spacing w:after="0" w:line="199"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The Compensation Committee contends that entering into revenue-generating licenses and collaboration arrangements with partners, progress with respect to the Company’s clinical and preclinical development programs, and maintaining an appropriate cash position to support our continued development, are the most important factors in building stockholder value, and this focus is reflected in the performance metrics and milestones which are at the core of our executive compensation program. Long-term stockholder value will ultimately depend on successfully bringing the products we develop to market, or partnering them with collaborators to bring them to market, and the Compensation Committee strives to incentivize our senior management to create that value through a robust and attractive pipeline of drug candidates. The Committee closely tracks the progress against these objectives to monitor our success as a company over that development period and evaluates executive management primarily on that progress.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2016 Say-on-Pay Vote</w:t>
      </w:r>
    </w:p>
    <w:p>
      <w:pPr>
        <w:spacing w:after="0" w:line="9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held an advisory stockholder vote on executive compensation at our annual stockholder meeting in March 2016. Our stockholders approved, on an advisory basis, our say-on-pay proposal, with approximately 53% of stockholders voting on such matter voting in favor of the proposal. This is in line with the 2015 vote, when stockholders approved that year’s say-on-pay vote with 58% of those casting votes. While we received an overall positive vote in 2016, the Compensation Committee is committed to being responsive to stockholder feedback regarding executive compensation, including concerns expressed through the say-on-pay vote on executive compensation.</w:t>
      </w:r>
    </w:p>
    <w:p>
      <w:pPr>
        <w:spacing w:after="0" w:line="14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addition to holding an annual advisory vote on executive compensation, we are committed to ongoing engagement with our stockholders on executive compensation and corporate governance issues. The Compensation Committee directed Arrowhead’s management to maintain our efforts to obtain feedback from stockholders. Our Compensation Committee’s goal in soliciting feedback was to (1) better understand stockholders’ views on executive compensation, and (2) based on that understanding, better communicate the rationale behind the decisions of the Compensation Committee. Although Arrowhead’s stockholder base currently consists primarily of individual investors, we were able to identify and solicit feedback from individual and institutional holders of approximately 21 million shares or 28% of our outstanding stock. The Company also solicited feedback from a prominent investor advisory firm in order to further understand proxy advisory firm policies and how they relate to the perspectives held by our stockholders. Only a small number of stockholders chose to provide customized feedback to us. The collected feedback included a desire to understand how executive compensation aligns with corporate performance. Based on this feedback and a review of current peer practices in executive compensation, and in response to concerns expressed through the 2016 say-on-pay vote, for 2016 equity grants, the Compensation Committee continued its practices first implemented in 2015 of granting a majority of equity awards to the Company’s CEO that only vest, if at all, based on the achievement of pre-established performance criteria, requiring a minimum of three-year vesting for full value equity awards to our other named executive officers and requiring compliance with stock ownership guidelines for the CEO, COO, and CFO.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2013 Incentive Plan provides for recovery of awards made under the plan in accordance with any applicable Company claw back or recoupment policy, including as required by law, regulation, or exchange rule. The Compensation Committee plans to institute a compensation recovery (claw back) policy when and to the extent required by final rules regarding such policies are adopted by Nasdaq as mandated by Section 954 of the Dodd-Frank Wall Street Reform and Consumer Protection Act. These rules were not finalized as expected in 2016 and the Committee is expecting to adopt such a policy when the rules are finalized. It is anticipated that any such policy would require the Company to seek recovery of certain incentive compensation paid to executive officers in the event the Company was required to prepare an accounting restatement to correct a material error.</w:t>
      </w:r>
    </w:p>
    <w:p>
      <w:pPr>
        <w:spacing w:after="0" w:line="120" w:lineRule="exact"/>
        <w:rPr>
          <w:sz w:val="20"/>
          <w:szCs w:val="20"/>
          <w:color w:val="auto"/>
        </w:rPr>
      </w:pPr>
    </w:p>
    <w:p>
      <w:pPr>
        <w:jc w:val="both"/>
        <w:ind w:right="200" w:firstLine="913"/>
        <w:spacing w:after="0" w:line="256" w:lineRule="auto"/>
        <w:rPr>
          <w:sz w:val="20"/>
          <w:szCs w:val="20"/>
          <w:color w:val="auto"/>
        </w:rPr>
      </w:pPr>
      <w:r>
        <w:rPr>
          <w:rFonts w:ascii="Arial" w:cs="Arial" w:eastAsia="Arial" w:hAnsi="Arial"/>
          <w:sz w:val="18"/>
          <w:szCs w:val="18"/>
          <w:color w:val="auto"/>
        </w:rPr>
        <w:t>As equity compensation comprises the majority of our CEO’s compensation, and is expected to comprise the majority of his compensation going forward, and instituting performance awards was the key measure taken to address the stockholder concerns expressed in our 2015 and 2016 Say on Pay Votes, we describe below in detail the equity awards made to the CEO in 2016 and 2015, as well as the rationale behind the grant of a time based award to the CEO in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the CEO in 2017</w:t>
      </w:r>
    </w:p>
    <w:p>
      <w:pPr>
        <w:spacing w:after="0" w:line="90" w:lineRule="exact"/>
        <w:rPr>
          <w:sz w:val="20"/>
          <w:szCs w:val="20"/>
          <w:color w:val="auto"/>
        </w:rPr>
      </w:pPr>
    </w:p>
    <w:p>
      <w:pPr>
        <w:ind w:right="100" w:firstLine="685"/>
        <w:spacing w:after="0" w:line="332" w:lineRule="auto"/>
        <w:rPr>
          <w:sz w:val="20"/>
          <w:szCs w:val="20"/>
          <w:color w:val="auto"/>
        </w:rPr>
      </w:pPr>
      <w:r>
        <w:rPr>
          <w:rFonts w:ascii="Arial" w:cs="Arial" w:eastAsia="Arial" w:hAnsi="Arial"/>
          <w:sz w:val="16"/>
          <w:szCs w:val="16"/>
          <w:color w:val="auto"/>
        </w:rPr>
        <w:t>At the time of filing, an equity award to the CEO in 2017 has not been finalized, however, the Compensation Committee expects that the award will be 100% performance based with vesting criteria dependent upon achieving rigorous milestones related to the Company’s technical, clinical and corporate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the CEO in 2016</w:t>
      </w:r>
    </w:p>
    <w:p>
      <w:pPr>
        <w:spacing w:after="0" w:line="9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January 2016, the CEO received a performance-based restricted stock award. The award vests only upon the achievement of rigorous performance milestones which align with the Company’s primary business objective of developing and marketing RNAi-based drugs using our proprietary delivery platform and, which, if achieved, are designed to result in substantial value creation for shareholders. At the time of the grant, the Compensation Committee determined that, while these vesting milestones were achievable in the timeframes set forth, they additionally require robust leadership, substantial skill and sustained effort on the part of the CEO. The achievement of these milestones is dependent on a number of factors, primarily the continued successful technical and clinical development of the Company’s drug products and/or follow-on candidates, successful business development, and the procurement of sufficient financial resources. The vesting of the award is split equally among each milestone set forth below and, to date, only one of the three milestones was met with the vesting of that portion certified by the Compensation Committee in December 2016:</w:t>
      </w:r>
    </w:p>
    <w:p>
      <w:pPr>
        <w:sectPr>
          <w:pgSz w:w="11900" w:h="16838" w:orient="portrait"/>
          <w:cols w:equalWidth="0" w:num="1">
            <w:col w:w="11400"/>
          </w:cols>
          <w:pgMar w:left="240" w:top="280" w:right="259" w:bottom="1440" w:gutter="0" w:footer="0" w:header="0"/>
        </w:sectPr>
      </w:pPr>
    </w:p>
    <w:p>
      <w:pPr>
        <w:spacing w:after="0" w:line="3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u w:val="single" w:color="auto"/>
          <w:color w:val="auto"/>
        </w:rPr>
        <w:t>Enter into a partnership to develop a novel therapeutic with a pharmaceutical or biotech company by January 1, 2019</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believes that our proprietary delivery platform has application beyond our current development capabilities. One way the Company envisions extending the platform is by partnering with third parties to co-develop new RNAi-based drugs against novel targets. The Committee believes that for biotech companies like Arrowhead, partnerships are an important validating indicator of the credibility of our platform technology and associated products as well as a potential source of revenue to further support our growth. As such, it is expected that the achievement of such a partnership would be a value creating event for stockholders.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Vested December 2016</w:t>
      </w:r>
    </w:p>
    <w:p>
      <w:pPr>
        <w:spacing w:after="0" w:line="3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entered into a collaboration and license agreement with Amgen, Inc. to develop a novel therapeutic based on a target identified by Amgen.</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collaboration included a significant upfront cash payment, as well as milestones and royalties as development progresses.</w:t>
      </w:r>
    </w:p>
    <w:p>
      <w:pPr>
        <w:spacing w:after="0" w:line="873" w:lineRule="exact"/>
        <w:rPr>
          <w:sz w:val="20"/>
          <w:szCs w:val="20"/>
          <w:color w:val="auto"/>
        </w:rPr>
      </w:pPr>
    </w:p>
    <w:p>
      <w:pPr>
        <w:sectPr>
          <w:pgSz w:w="11900" w:h="16838" w:orient="portrait"/>
          <w:cols w:equalWidth="0" w:num="2">
            <w:col w:w="5720" w:space="340"/>
            <w:col w:w="5340"/>
          </w:cols>
          <w:pgMar w:left="240" w:top="280" w:right="25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Arial" w:cs="Arial" w:eastAsia="Arial" w:hAnsi="Arial"/>
                <w:sz w:val="18"/>
                <w:szCs w:val="18"/>
                <w:color w:val="auto"/>
              </w:rPr>
              <w:t xml:space="preserve">Achieve a </w:t>
            </w:r>
            <w:r>
              <w:rPr>
                <w:rFonts w:ascii="Arial" w:cs="Arial" w:eastAsia="Arial" w:hAnsi="Arial"/>
                <w:sz w:val="18"/>
                <w:szCs w:val="18"/>
                <w:u w:val="single" w:color="auto"/>
                <w:color w:val="auto"/>
              </w:rPr>
              <w:t>$</w:t>
            </w:r>
            <w:r>
              <w:rPr>
                <w:rFonts w:ascii="Arial" w:cs="Arial" w:eastAsia="Arial" w:hAnsi="Arial"/>
                <w:sz w:val="18"/>
                <w:szCs w:val="18"/>
                <w:color w:val="auto"/>
              </w:rPr>
              <w:t>1 billion market capitalization and maintain that level over two</w:t>
            </w:r>
          </w:p>
        </w:tc>
        <w:tc>
          <w:tcPr>
            <w:tcW w:w="880" w:type="dxa"/>
            <w:vAlign w:val="bottom"/>
          </w:tcPr>
          <w:p>
            <w:pPr>
              <w:ind w:left="120"/>
              <w:spacing w:after="0"/>
              <w:rPr>
                <w:sz w:val="20"/>
                <w:szCs w:val="20"/>
                <w:color w:val="auto"/>
              </w:rPr>
            </w:pPr>
            <w:r>
              <w:rPr>
                <w:rFonts w:ascii="Arial" w:cs="Arial" w:eastAsia="Arial" w:hAnsi="Arial"/>
                <w:sz w:val="18"/>
                <w:szCs w:val="18"/>
                <w:color w:val="auto"/>
                <w:w w:val="85"/>
              </w:rPr>
              <w:t>Not vested</w:t>
            </w:r>
          </w:p>
        </w:tc>
      </w:tr>
      <w:tr>
        <w:trPr>
          <w:trHeight w:val="196"/>
        </w:trPr>
        <w:tc>
          <w:tcPr>
            <w:tcW w:w="19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6"/>
              </w:rPr>
              <w:t>quarters by January 1, 2019</w:t>
            </w:r>
          </w:p>
        </w:tc>
        <w:tc>
          <w:tcPr>
            <w:tcW w:w="330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90"/>
        </w:trPr>
        <w:tc>
          <w:tcPr>
            <w:tcW w:w="5940" w:type="dxa"/>
            <w:vAlign w:val="bottom"/>
            <w:gridSpan w:val="3"/>
          </w:tcPr>
          <w:p>
            <w:pPr>
              <w:spacing w:after="0"/>
              <w:rPr>
                <w:sz w:val="20"/>
                <w:szCs w:val="20"/>
                <w:color w:val="auto"/>
              </w:rPr>
            </w:pPr>
            <w:r>
              <w:rPr>
                <w:rFonts w:ascii="Arial" w:cs="Arial" w:eastAsia="Arial" w:hAnsi="Arial"/>
                <w:sz w:val="18"/>
                <w:szCs w:val="18"/>
                <w:color w:val="auto"/>
                <w:w w:val="93"/>
              </w:rPr>
              <w:t>During 2015, the Company’s market capitalization ranged between $259 million</w:t>
            </w:r>
          </w:p>
        </w:tc>
        <w:tc>
          <w:tcPr>
            <w:tcW w:w="880" w:type="dxa"/>
            <w:vAlign w:val="bottom"/>
          </w:tcPr>
          <w:p>
            <w:pPr>
              <w:spacing w:after="0"/>
              <w:rPr>
                <w:sz w:val="24"/>
                <w:szCs w:val="24"/>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w w:val="94"/>
              </w:rPr>
              <w:t>and $557 million and as of January 27, 2017 was $133 million. In order for this</w:t>
            </w:r>
          </w:p>
        </w:tc>
        <w:tc>
          <w:tcPr>
            <w:tcW w:w="880" w:type="dxa"/>
            <w:vAlign w:val="bottom"/>
          </w:tcPr>
          <w:p>
            <w:pPr>
              <w:spacing w:after="0"/>
              <w:rPr>
                <w:sz w:val="18"/>
                <w:szCs w:val="18"/>
                <w:color w:val="auto"/>
              </w:rPr>
            </w:pPr>
          </w:p>
        </w:tc>
      </w:tr>
      <w:tr>
        <w:trPr>
          <w:trHeight w:val="222"/>
        </w:trPr>
        <w:tc>
          <w:tcPr>
            <w:tcW w:w="5940" w:type="dxa"/>
            <w:vAlign w:val="bottom"/>
            <w:gridSpan w:val="3"/>
          </w:tcPr>
          <w:p>
            <w:pPr>
              <w:spacing w:after="0"/>
              <w:rPr>
                <w:sz w:val="20"/>
                <w:szCs w:val="20"/>
                <w:color w:val="auto"/>
              </w:rPr>
            </w:pPr>
            <w:r>
              <w:rPr>
                <w:rFonts w:ascii="Arial" w:cs="Arial" w:eastAsia="Arial" w:hAnsi="Arial"/>
                <w:sz w:val="18"/>
                <w:szCs w:val="18"/>
                <w:color w:val="auto"/>
                <w:w w:val="97"/>
              </w:rPr>
              <w:t>tranche of equity to vest, the Company’s market capitalization would need to</w:t>
            </w:r>
          </w:p>
        </w:tc>
        <w:tc>
          <w:tcPr>
            <w:tcW w:w="880" w:type="dxa"/>
            <w:vAlign w:val="bottom"/>
          </w:tcPr>
          <w:p>
            <w:pPr>
              <w:spacing w:after="0"/>
              <w:rPr>
                <w:sz w:val="19"/>
                <w:szCs w:val="19"/>
                <w:color w:val="auto"/>
              </w:rPr>
            </w:pPr>
          </w:p>
        </w:tc>
      </w:tr>
      <w:tr>
        <w:trPr>
          <w:trHeight w:val="365"/>
        </w:trPr>
        <w:tc>
          <w:tcPr>
            <w:tcW w:w="5940" w:type="dxa"/>
            <w:vAlign w:val="bottom"/>
            <w:gridSpan w:val="3"/>
          </w:tcPr>
          <w:p>
            <w:pPr>
              <w:ind w:left="5620"/>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r>
    </w:tbl>
    <w:p>
      <w:pPr>
        <w:sectPr>
          <w:pgSz w:w="11900" w:h="16838" w:orient="portrait"/>
          <w:cols w:equalWidth="0" w:num="1">
            <w:col w:w="11400"/>
          </w:cols>
          <w:pgMar w:left="240" w:top="280" w:right="259" w:bottom="1440" w:gutter="0" w:footer="0" w:header="0"/>
          <w:type w:val="continuous"/>
        </w:sectPr>
      </w:pPr>
    </w:p>
    <w:bookmarkStart w:id="15" w:name="page16"/>
    <w:bookmarkEnd w:id="15"/>
    <w:p>
      <w:pPr>
        <w:ind w:right="56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than triple from its 2015 levels. The Committee understands that an increase in market capitalization is the primary metric of interest to stockholders and the most direct indicator of increase in Company value.</w:t>
      </w:r>
    </w:p>
    <w:p>
      <w:pPr>
        <w:spacing w:after="0" w:line="37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u w:val="single" w:color="auto"/>
          <w:color w:val="auto"/>
        </w:rPr>
        <w:t>File an IND or equivalent for an extra-hepatic target by January 1, 2019</w:t>
      </w:r>
      <w:r>
        <w:rPr>
          <w:sz w:val="20"/>
          <w:szCs w:val="20"/>
          <w:color w:val="auto"/>
        </w:rPr>
        <w:tab/>
      </w:r>
      <w:r>
        <w:rPr>
          <w:rFonts w:ascii="Arial" w:cs="Arial" w:eastAsia="Arial" w:hAnsi="Arial"/>
          <w:sz w:val="15"/>
          <w:szCs w:val="15"/>
          <w:color w:val="auto"/>
        </w:rPr>
        <w:t>Not vested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Except for ARO-HIF2, all of the Company’s pipeline drugs are targeted to liver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cells. A key strategic objective for the Company is to extend the utility of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RNAi delivery platforms to enable targeting diseases outside the liver.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Committee believes that expanding our delivery capability to a wider variety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tissues will enable the expansion of our pipeline, and will present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and licensing opportunities. It is expected that these events would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in value creation for stockholders.</w:t>
      </w:r>
    </w:p>
    <w:p>
      <w:pPr>
        <w:spacing w:after="0" w:line="32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value of the RSU awards was calculated in accordance with ASC 718 which requires the Company to assess the likelihood of achieving the milestones within the specified time frames. The awards were valued at $0 at the time of grant based on the significant business, technical, financial, and operational difficulty of their achievement. Had the grant value been calculated without taking the likelihood of achievement into account, the grant date value would have been approximately $3.3 million, a reduction of 22% in grant date value (without taking likelihood of achievement into account) from Dr. Anzalone’s equity grant in 2015.</w:t>
      </w:r>
    </w:p>
    <w:p>
      <w:pPr>
        <w:spacing w:after="0" w:line="14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CEO also received a time-based grant of a stock option to purchase 80,000 shares of the Company’s Common Stock valued at the time of grant at $368,797. The Committee believes that along with performance-based equity grants, a smaller time-based grant is appropriate given its retention value and the uncertain nature of the drug development business. The Committee determined that the value of grants was consistent with grants to similarly placed executives at peer companies, except that the Company is a standout in awarding majority performance-based awards. The grants are consistent with the Company’s executive compensation policies of employing performance based equity as a majority of the CEO’s compensation with the intent to align the CEO’s overall compensation to shareholder return.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 to the CEO in 2015</w:t>
      </w:r>
    </w:p>
    <w:p>
      <w:pPr>
        <w:spacing w:after="0" w:line="90"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In March 2015, the CEO received performance awards of restricted stock units and stock options. These awards included vesting only upon achievement of rigorous performance milestones that align with the Company’s primary business objective of developing and marketing RNAi-based drug. If achieved, these awards were designed to result in substantial value creation for shareholders. The Compensation Committee determined that, while these milestones were achievable in the timeframes set forth, they additionally will require robust leadership, substantial skill and sustained effort on the part of the CEO. The achievement of these milestones is dependent on a number of factors; primarily the continued successful technical and clinical development of the Company’s drug products and/or follow-on candidates, successful business development, and the procurement of sufficient financial resources. During 2016, all of the milestones were met.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 two new IND applications by March 2018</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Expanding and progressing the Company’s pipeline of candidates is the primary business objective of the Company and the Compensation Committee believes that the submission of new IND applications provides a concrete indicator of that progress.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 first patient in a phase 2 or later study (excluding ARC-520)</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Expanding and progressing the Company’s pipeline of candidates is the primary business objective of the Company and the Compensation Committee believes that the enrollment of patients in a phase 2 study for a second program provides a concrete indicator of that progress.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Vested December 2016</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filed initial regulatory applications for two new drug candidates, ARC-AAT and ARC-521 and commenced phase 1 studies for each new candidate.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Vested December 2016</w:t>
      </w:r>
    </w:p>
    <w:p>
      <w:pPr>
        <w:spacing w:after="0" w:line="171"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The Company opened its ARC-AAT phase 2 study for enrollment in September 2016. All the necessary hurdles for regulatory clearance, site initiation and patient screening were accomplished. The Company made a business decision in November 2016 to discontinue all of its intravenous clinical programs, including the phase 2 study for ARC-AAT, based on non-clinical toxicology results and regulatory feedback on those results, so no patients were dosed as a result of this decision. Given that the decision was taken for business reasons beyond the control of the CEO, the Committee determined that the intent of the vesting condition had been met.</w:t>
      </w:r>
    </w:p>
    <w:p>
      <w:pPr>
        <w:spacing w:after="0" w:line="200" w:lineRule="exact"/>
        <w:rPr>
          <w:sz w:val="20"/>
          <w:szCs w:val="20"/>
          <w:color w:val="auto"/>
        </w:rPr>
      </w:pPr>
    </w:p>
    <w:p>
      <w:pPr>
        <w:sectPr>
          <w:pgSz w:w="11900" w:h="16838" w:orient="portrait"/>
          <w:cols w:equalWidth="0" w:num="2">
            <w:col w:w="5720" w:space="340"/>
            <w:col w:w="5360"/>
          </w:cols>
          <w:pgMar w:left="240" w:top="280" w:right="239" w:bottom="1440" w:gutter="0" w:footer="0" w:header="0"/>
        </w:sectPr>
      </w:pPr>
    </w:p>
    <w:p>
      <w:pPr>
        <w:spacing w:after="0" w:line="17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u w:val="single" w:color="auto"/>
          <w:color w:val="auto"/>
        </w:rPr>
        <w:t>Achieve a significant corporate event (e.g. a significant M&amp;A transaction) as determined by the Compensation Committee by March 2020</w:t>
      </w:r>
    </w:p>
    <w:p>
      <w:pPr>
        <w:spacing w:after="0" w:line="85"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Committee believes that for biotech companies like Arrowhead, collaboration and licensing deals for drugs in the Company’s pipeline are important validating indicators of the credibility of platform technology and resulting products, as well as a potential source of revenue to support the growth of the Company. As such, it is expected that the achievement of such a partnership would be a value creating event for stockholders. Other types of significant events, such as an acquisition of a business or technology, may qualify, and could be an important driver of value creation in the future. The Compensation Committee has retained discretion to determine if an event is of sufficient significance (i.e. has the potential to result in substantial value creation for stockholders) to qualify to meet the milestone.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Vested in December 2016</w:t>
      </w:r>
    </w:p>
    <w:p>
      <w:pPr>
        <w:spacing w:after="0" w:line="38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Company entered into a collaboration and license agreement with Amgen, Inc. in which Amgen acquired rights to co-develop and commercialize ARO-LPA, Arrowhead’s preclinical drug candidate for cardiovascular disease.</w:t>
      </w:r>
    </w:p>
    <w:p>
      <w:pPr>
        <w:spacing w:after="0" w:line="62"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This partnership validates both Arrowhead’s RNAi technology and capabilities as well as the Company’s subcutaneous administration platform.</w:t>
      </w:r>
    </w:p>
    <w:p>
      <w:pPr>
        <w:spacing w:after="0" w:line="18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collaboration included a significant upfront cash payment, as well as milestones and royalties as development progresses.</w:t>
      </w:r>
    </w:p>
    <w:p>
      <w:pPr>
        <w:spacing w:after="0" w:line="200" w:lineRule="exact"/>
        <w:rPr>
          <w:sz w:val="20"/>
          <w:szCs w:val="20"/>
          <w:color w:val="auto"/>
        </w:rPr>
      </w:pPr>
    </w:p>
    <w:p>
      <w:pPr>
        <w:sectPr>
          <w:pgSz w:w="11900" w:h="16838" w:orient="portrait"/>
          <w:cols w:equalWidth="0" w:num="2">
            <w:col w:w="5800" w:space="260"/>
            <w:col w:w="5360"/>
          </w:cols>
          <w:pgMar w:left="240" w:top="280" w:right="239" w:bottom="1440" w:gutter="0" w:footer="0" w:header="0"/>
          <w:type w:val="continuous"/>
        </w:sectPr>
      </w:pPr>
    </w:p>
    <w:p>
      <w:pPr>
        <w:spacing w:after="0" w:line="27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vesting of the award was split equally among the milestones and can be adjusted up or down by 20% based on the performance of the Company’s stock vs. the Nasdaq Biotech Index for the fiscal year in which it is achieved to insure that the vesting of a portion of the award is tied to the industry-adjusted performance of the Company’s stock. Such adjustment is in the sole discretion of the Compensation Committee. Based on appreciation of the Company’s stock in fiscal 2016, the Compensation Committee adjusted the number of shares of the vested tranches up by 20%.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type w:val="continuous"/>
        </w:sectPr>
      </w:pPr>
    </w:p>
    <w:bookmarkStart w:id="17" w:name="page18"/>
    <w:bookmarkEnd w:id="17"/>
    <w:p>
      <w:pPr>
        <w:ind w:right="3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value of the awards was calculated in accordance with ASC 718 which requires the Company to assess the likelihood of achieving the milestones within the specified time frames at the grant date. The awards were valued at $1.2 million at the grant date. Had the grant been calculated without taking the likelihood of achievement into account, the grant date value would have been approximately $4.2 million. The Committee determined that the grants were consistent with grants to similarly placed executives at peer companies, except that the Company is a standout in granting majority performance-based equity awards. The awards are consistent with the Company’s executive compensation policies of employing performance-based equity as a majority of the CEO’s compensation with the intent to align the CEO’s overall compensation to shareholder return.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2016, our executive compensation program consisted of the following forms of compensation, each of which are described below in greater detail:</w:t>
      </w:r>
    </w:p>
    <w:p>
      <w:pPr>
        <w:spacing w:after="0" w:line="11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Incentive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Benefits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evaluates compensation on a calendar year basis. The tables and information presented in this Compensation Discussion and Analysis and the Executive Compensation tables presented herein generally refer to base salary compensation and equity awards paid during the fiscal year. Cash bonus awards and equity awards reflect performance during the calendar year and are paid shortly thereafter.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along with their base salaries and adjustments for the past three years,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vMerge w:val="restart"/>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Percent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3"/>
              </w:rPr>
              <w:t>2016</w:t>
            </w:r>
          </w:p>
        </w:tc>
        <w:tc>
          <w:tcPr>
            <w:tcW w:w="5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Percent</w:t>
            </w:r>
          </w:p>
        </w:tc>
        <w:tc>
          <w:tcPr>
            <w:tcW w:w="90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2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Base Salary</w:t>
            </w:r>
          </w:p>
        </w:tc>
        <w:tc>
          <w:tcPr>
            <w:tcW w:w="10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0"/>
              </w:rPr>
              <w:t>Increase</w:t>
            </w:r>
          </w:p>
        </w:tc>
        <w:tc>
          <w:tcPr>
            <w:tcW w:w="12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84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0"/>
              </w:rPr>
              <w:t>Increase</w:t>
            </w:r>
          </w:p>
        </w:tc>
        <w:tc>
          <w:tcPr>
            <w:tcW w:w="220" w:type="dxa"/>
            <w:vAlign w:val="bottom"/>
          </w:tcPr>
          <w:p>
            <w:pPr>
              <w:spacing w:after="0"/>
              <w:rPr>
                <w:sz w:val="14"/>
                <w:szCs w:val="14"/>
                <w:color w:val="auto"/>
              </w:rPr>
            </w:pPr>
          </w:p>
        </w:tc>
        <w:tc>
          <w:tcPr>
            <w:tcW w:w="7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5"/>
              </w:rPr>
              <w:t>Base Salary</w:t>
            </w:r>
          </w:p>
        </w:tc>
        <w:tc>
          <w:tcPr>
            <w:tcW w:w="0" w:type="dxa"/>
            <w:vAlign w:val="bottom"/>
          </w:tcPr>
          <w:p>
            <w:pPr>
              <w:spacing w:after="0"/>
              <w:rPr>
                <w:sz w:val="1"/>
                <w:szCs w:val="1"/>
                <w:color w:val="auto"/>
              </w:rPr>
            </w:pPr>
          </w:p>
        </w:tc>
      </w:tr>
      <w:tr>
        <w:trPr>
          <w:trHeight w:val="181"/>
        </w:trPr>
        <w:tc>
          <w:tcPr>
            <w:tcW w:w="34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Christopher Anzalone</w:t>
            </w:r>
          </w:p>
        </w:tc>
        <w:tc>
          <w:tcPr>
            <w:tcW w:w="1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622,050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$ 598,125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4"/>
              </w:rPr>
              <w:t>$ 575,120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860" w:type="dxa"/>
            <w:vAlign w:val="bottom"/>
            <w:gridSpan w:val="2"/>
          </w:tcPr>
          <w:p>
            <w:pPr>
              <w:ind w:left="17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436,477</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$ 419,661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center"/>
              <w:ind w:left="136"/>
              <w:spacing w:after="0"/>
              <w:rPr>
                <w:sz w:val="20"/>
                <w:szCs w:val="20"/>
                <w:color w:val="auto"/>
              </w:rPr>
            </w:pPr>
            <w:r>
              <w:rPr>
                <w:rFonts w:ascii="Arial" w:cs="Arial" w:eastAsia="Arial" w:hAnsi="Arial"/>
                <w:sz w:val="18"/>
                <w:szCs w:val="18"/>
                <w:color w:val="auto"/>
                <w:w w:val="84"/>
              </w:rPr>
              <w:t>$ 403,520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Myszkowski</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339,363</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$ 326,310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4"/>
              </w:rPr>
              <w:t>$ 307,840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44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4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1860" w:type="dxa"/>
            <w:vAlign w:val="bottom"/>
            <w:gridSpan w:val="2"/>
          </w:tcPr>
          <w:p>
            <w:pPr>
              <w:ind w:left="17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394,784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$ 379,600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center"/>
              <w:ind w:left="136"/>
              <w:spacing w:after="0"/>
              <w:rPr>
                <w:sz w:val="20"/>
                <w:szCs w:val="20"/>
                <w:color w:val="auto"/>
              </w:rPr>
            </w:pPr>
            <w:r>
              <w:rPr>
                <w:rFonts w:ascii="Arial" w:cs="Arial" w:eastAsia="Arial" w:hAnsi="Arial"/>
                <w:sz w:val="18"/>
                <w:szCs w:val="18"/>
                <w:color w:val="auto"/>
                <w:w w:val="84"/>
              </w:rPr>
              <w:t>$ 365,000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 Lewis (1)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7"/>
              </w:rPr>
              <w:t>$ 264,576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4"/>
              </w:rPr>
              <w:t>$ 249,600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Lewis’ employment with the Company terminated on December 13, 2016.</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contends it is important to provide reasonable, fixed compensation to our executive officers working in a highly volatile and competitive industry, while balancing the needs to retain and recruit talented executives, achieve corporate goals, and conserve cash and equity. In determining appropriate base salary levels for a given executive officer, the Compensation Committee considers the following factors (with no specific weighting applied to any individual factor):</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Company performance, during the prior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review of the executive’s compensation relative to other executives to ensure internal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job responsibilities or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w:t>
      </w:r>
    </w:p>
    <w:p>
      <w:pPr>
        <w:spacing w:after="0" w:line="171"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Salaries for executive officers are negotiated on an individual basis at the time of hire. Adjustments to base salary are considered annually. The Chief Executive Officer assists the Compensation Committee in its annual review of the base salaries of other executive officers and key employees based on the foregoing criteria.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Compensation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provides executive officers with performance-based cash incentive awards, which are designed to reward executives for overall corporate performance as well as individual performance. Executive officers are evaluated for eligibility generally on an annual basis. Through a collaborative planning process involving the Board of Directors and executive management, corporate goals are established each year and are evaluated regularly by the Board of Directors for their continued relevance to the Company’s status.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2016, the maximum Annual Incentive Award for the Chief Executive Officer was 200% of his target, and the minimum amount was zero. The Annual Incentive Awards for the other named executive officers were set by the Compensation Committee in collaboration with the Chief Executive Officer based on each executive’s accountability, scope of responsibilities and potential impact on the Company’s performance. Accordingly, based on higher levels of control and accountability for the Company’s overall performance, a higher percentage of each named executive officer’s total cash compensation is dependent on a performance-based Annual Incentive Awards.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Goals and Achievements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determining the amount of Annual Incentive Compensation for each named executive officer, the Compensation Committee evaluated the corporate goals that had been established at the beginning of the year (set forth below) as well as other corporate and individual achievements and performance throughout the year. For 2016, the Compensation Committee determined that the Company had achieved its primary business objectives, as detailed below. In determining the CEO’s cash bonus for 2016, the business development and financing goals were weighted most heavily, followed by progress on the Company’s clinical and preclinical pipeline and organizational development goals least heavily, in that order. In light of the discontinuation of the Company’s intravenous clinical programs, the Compensation Committee reduced the CEO’s bonus to 75% of target.</w:t>
      </w:r>
    </w:p>
    <w:p>
      <w:pPr>
        <w:sectPr>
          <w:pgSz w:w="11900" w:h="16838" w:orient="portrait"/>
          <w:cols w:equalWidth="0" w:num="1">
            <w:col w:w="11340"/>
          </w:cols>
          <w:pgMar w:left="240" w:top="280" w:right="31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Establish collaboration for Company’s Monarch (phase 2 studies for HBV).</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Drive toward expansion of Company’s presence in the alpha 1 antitrypsin therapeutic market.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a deal for $20 million or more.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Raise $50-100 million through financing and/or business development transactions.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8890</wp:posOffset>
            </wp:positionV>
            <wp:extent cx="7246620" cy="1132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1322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Achieved</w:t>
      </w:r>
    </w:p>
    <w:p>
      <w:pPr>
        <w:spacing w:after="0" w:line="90" w:lineRule="exact"/>
        <w:rPr>
          <w:sz w:val="20"/>
          <w:szCs w:val="20"/>
          <w:color w:val="auto"/>
        </w:rPr>
      </w:pPr>
    </w:p>
    <w:p>
      <w:pPr>
        <w:ind w:left="1200" w:right="440" w:hanging="329"/>
        <w:spacing w:after="0" w:line="332" w:lineRule="auto"/>
        <w:tabs>
          <w:tab w:leader="none" w:pos="11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Entered into two collaboration and license agreements with Amgen for 2 preclinical cardiovascular targets.</w:t>
      </w:r>
    </w:p>
    <w:p>
      <w:pPr>
        <w:spacing w:after="0" w:line="4" w:lineRule="exact"/>
        <w:rPr>
          <w:rFonts w:ascii="Arial" w:cs="Arial" w:eastAsia="Arial" w:hAnsi="Arial"/>
          <w:sz w:val="16"/>
          <w:szCs w:val="16"/>
          <w:color w:val="auto"/>
        </w:rPr>
      </w:pPr>
    </w:p>
    <w:p>
      <w:pPr>
        <w:ind w:left="1200" w:right="140" w:hanging="329"/>
        <w:spacing w:after="0" w:line="268" w:lineRule="auto"/>
        <w:tabs>
          <w:tab w:leader="none" w:pos="11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a phase 2 collaboration with a partner (Springbank) for combination therapy with ARC-520</w:t>
      </w:r>
    </w:p>
    <w:p>
      <w:pPr>
        <w:spacing w:after="0" w:line="50" w:lineRule="exact"/>
        <w:rPr>
          <w:rFonts w:ascii="Arial" w:cs="Arial" w:eastAsia="Arial" w:hAnsi="Arial"/>
          <w:sz w:val="18"/>
          <w:szCs w:val="18"/>
          <w:color w:val="auto"/>
        </w:rPr>
      </w:pPr>
    </w:p>
    <w:p>
      <w:pPr>
        <w:ind w:left="1200" w:right="200" w:hanging="329"/>
        <w:spacing w:after="0" w:line="332" w:lineRule="auto"/>
        <w:tabs>
          <w:tab w:leader="none" w:pos="11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Engaged potential targets for acquisition and/or partnership for companion product for alpha 1 antitrypsin</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Achieved</w:t>
      </w:r>
    </w:p>
    <w:p>
      <w:pPr>
        <w:spacing w:after="0" w:line="90" w:lineRule="exact"/>
        <w:rPr>
          <w:sz w:val="20"/>
          <w:szCs w:val="20"/>
          <w:color w:val="auto"/>
        </w:rPr>
      </w:pPr>
    </w:p>
    <w:p>
      <w:pPr>
        <w:ind w:left="1100" w:hanging="229"/>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Completed an offering for $45 million with institutional investors</w:t>
      </w:r>
    </w:p>
    <w:p>
      <w:pPr>
        <w:spacing w:after="0" w:line="113" w:lineRule="exact"/>
        <w:rPr>
          <w:rFonts w:ascii="Arial" w:cs="Arial" w:eastAsia="Arial" w:hAnsi="Arial"/>
          <w:sz w:val="16"/>
          <w:szCs w:val="16"/>
          <w:color w:val="auto"/>
        </w:rPr>
      </w:pPr>
    </w:p>
    <w:p>
      <w:pPr>
        <w:ind w:left="1200" w:right="360" w:hanging="329"/>
        <w:spacing w:after="0" w:line="268" w:lineRule="auto"/>
        <w:tabs>
          <w:tab w:leader="none" w:pos="11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Received $56.5 million in upfront proceeds from the Amgen transactions.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5320" w:space="300"/>
            <w:col w:w="5720"/>
          </w:cols>
          <w:pgMar w:left="240" w:top="280" w:right="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63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63345"/>
                    </a:xfrm>
                    <a:prstGeom prst="rect">
                      <a:avLst/>
                    </a:prstGeom>
                    <a:noFill/>
                  </pic:spPr>
                </pic:pic>
              </a:graphicData>
            </a:graphic>
          </wp:anchor>
        </w:drawing>
      </w:r>
    </w:p>
    <w:p>
      <w:pPr>
        <w:spacing w:after="0" w:line="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Advance Company’s clinical pipeline including completion of enrollment of certain phase 2 studies for ARC-520, initiation of phase 2 study for ARC-AAT, initiation of phase 1 study for ARC-521 and filing for regulatory clearance to begin studies for ARC-F12.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Advance preclinical pipeline including selection of candidates for oncology and cardiology, targeting of tissue outside the liver, developing subcutaneous administration, and new delivery vector.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34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534795"/>
                    </a:xfrm>
                    <a:prstGeom prst="rect">
                      <a:avLst/>
                    </a:prstGeom>
                    <a:noFill/>
                  </pic:spPr>
                </pic:pic>
              </a:graphicData>
            </a:graphic>
          </wp:anchor>
        </w:drawing>
      </w:r>
    </w:p>
    <w:p>
      <w:pPr>
        <w:spacing w:after="0" w:line="7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Build out discovery lab and add to chemistry, clinical operations and business development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Annual Incentive Compensation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Partially achieved</w:t>
      </w:r>
    </w:p>
    <w:p>
      <w:pPr>
        <w:spacing w:after="0" w:line="90" w:lineRule="exact"/>
        <w:rPr>
          <w:sz w:val="20"/>
          <w:szCs w:val="20"/>
          <w:color w:val="auto"/>
        </w:rPr>
      </w:pPr>
    </w:p>
    <w:p>
      <w:pPr>
        <w:ind w:left="760" w:hanging="229"/>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Completed enrollment in three phase 2 studies for ARC-520</w:t>
      </w:r>
    </w:p>
    <w:p>
      <w:pPr>
        <w:spacing w:after="0" w:line="113" w:lineRule="exact"/>
        <w:rPr>
          <w:rFonts w:ascii="Arial" w:cs="Arial" w:eastAsia="Arial" w:hAnsi="Arial"/>
          <w:sz w:val="16"/>
          <w:szCs w:val="16"/>
          <w:color w:val="auto"/>
        </w:rPr>
      </w:pPr>
    </w:p>
    <w:p>
      <w:pPr>
        <w:ind w:left="760" w:hanging="22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Initiated a multi-dose biopsy study for ARC-AAT</w:t>
      </w:r>
    </w:p>
    <w:p>
      <w:pPr>
        <w:spacing w:after="0" w:line="90" w:lineRule="exact"/>
        <w:rPr>
          <w:rFonts w:ascii="Arial" w:cs="Arial" w:eastAsia="Arial" w:hAnsi="Arial"/>
          <w:sz w:val="18"/>
          <w:szCs w:val="18"/>
          <w:color w:val="auto"/>
        </w:rPr>
      </w:pPr>
    </w:p>
    <w:p>
      <w:pPr>
        <w:ind w:left="860" w:hanging="329"/>
        <w:spacing w:after="0" w:line="268" w:lineRule="auto"/>
        <w:tabs>
          <w:tab w:leader="none" w:pos="7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Submitted data for publication from Phase 1 and Phase 2a clinical studies for HBV</w:t>
      </w:r>
    </w:p>
    <w:p>
      <w:pPr>
        <w:spacing w:after="0" w:line="50" w:lineRule="exact"/>
        <w:rPr>
          <w:rFonts w:ascii="Arial" w:cs="Arial" w:eastAsia="Arial" w:hAnsi="Arial"/>
          <w:sz w:val="18"/>
          <w:szCs w:val="18"/>
          <w:color w:val="auto"/>
        </w:rPr>
      </w:pPr>
    </w:p>
    <w:p>
      <w:pPr>
        <w:ind w:left="860" w:right="440" w:hanging="329"/>
        <w:spacing w:after="0" w:line="268" w:lineRule="auto"/>
        <w:tabs>
          <w:tab w:leader="none" w:pos="7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Achieved regulatory clearance for ARC-521 and completed dosing of healthy volunteers</w:t>
      </w:r>
    </w:p>
    <w:p>
      <w:pPr>
        <w:spacing w:after="0" w:line="50" w:lineRule="exact"/>
        <w:rPr>
          <w:rFonts w:ascii="Arial" w:cs="Arial" w:eastAsia="Arial" w:hAnsi="Arial"/>
          <w:sz w:val="18"/>
          <w:szCs w:val="18"/>
          <w:color w:val="auto"/>
        </w:rPr>
      </w:pPr>
    </w:p>
    <w:p>
      <w:pPr>
        <w:ind w:left="760" w:hanging="229"/>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Opened multiple sites for ARC-521 and ARC-AAT clinical trials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90" w:lineRule="exact"/>
        <w:rPr>
          <w:sz w:val="20"/>
          <w:szCs w:val="20"/>
          <w:color w:val="auto"/>
        </w:rPr>
      </w:pPr>
    </w:p>
    <w:p>
      <w:pPr>
        <w:ind w:left="760" w:hanging="22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Selected candidate for LPA</w:t>
      </w:r>
    </w:p>
    <w:p>
      <w:pPr>
        <w:spacing w:after="0" w:line="90" w:lineRule="exact"/>
        <w:rPr>
          <w:rFonts w:ascii="Arial" w:cs="Arial" w:eastAsia="Arial" w:hAnsi="Arial"/>
          <w:sz w:val="18"/>
          <w:szCs w:val="18"/>
          <w:color w:val="auto"/>
        </w:rPr>
      </w:pPr>
    </w:p>
    <w:p>
      <w:pPr>
        <w:ind w:left="760" w:hanging="22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Selected candidate for Hif 2 alpha</w:t>
      </w:r>
    </w:p>
    <w:p>
      <w:pPr>
        <w:spacing w:after="0" w:line="90" w:lineRule="exact"/>
        <w:rPr>
          <w:rFonts w:ascii="Arial" w:cs="Arial" w:eastAsia="Arial" w:hAnsi="Arial"/>
          <w:sz w:val="18"/>
          <w:szCs w:val="18"/>
          <w:color w:val="auto"/>
        </w:rPr>
      </w:pPr>
    </w:p>
    <w:p>
      <w:pPr>
        <w:ind w:left="860" w:right="460" w:hanging="329"/>
        <w:spacing w:after="0" w:line="268" w:lineRule="auto"/>
        <w:tabs>
          <w:tab w:leader="none" w:pos="7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Submitted data from study of ARC-520 in chimpanzees for publication</w:t>
      </w:r>
    </w:p>
    <w:p>
      <w:pPr>
        <w:spacing w:after="0" w:line="50" w:lineRule="exact"/>
        <w:rPr>
          <w:rFonts w:ascii="Arial" w:cs="Arial" w:eastAsia="Arial" w:hAnsi="Arial"/>
          <w:sz w:val="18"/>
          <w:szCs w:val="18"/>
          <w:color w:val="auto"/>
        </w:rPr>
      </w:pPr>
    </w:p>
    <w:p>
      <w:pPr>
        <w:ind w:left="860" w:right="160" w:hanging="329"/>
        <w:spacing w:after="0" w:line="268" w:lineRule="auto"/>
        <w:tabs>
          <w:tab w:leader="none" w:pos="7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Advanced subcutaneous delivery for RNAi that enabled Amgen collaboration</w:t>
      </w:r>
    </w:p>
    <w:p>
      <w:pPr>
        <w:spacing w:after="0" w:line="50" w:lineRule="exact"/>
        <w:rPr>
          <w:rFonts w:ascii="Arial" w:cs="Arial" w:eastAsia="Arial" w:hAnsi="Arial"/>
          <w:sz w:val="18"/>
          <w:szCs w:val="18"/>
          <w:color w:val="auto"/>
        </w:rPr>
      </w:pPr>
    </w:p>
    <w:p>
      <w:pPr>
        <w:ind w:left="760" w:hanging="22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Targeted tissue outside the liver</w:t>
      </w:r>
    </w:p>
    <w:p>
      <w:pPr>
        <w:spacing w:after="0" w:line="90" w:lineRule="exact"/>
        <w:rPr>
          <w:rFonts w:ascii="Arial" w:cs="Arial" w:eastAsia="Arial" w:hAnsi="Arial"/>
          <w:sz w:val="18"/>
          <w:szCs w:val="18"/>
          <w:color w:val="auto"/>
        </w:rPr>
      </w:pPr>
    </w:p>
    <w:p>
      <w:pPr>
        <w:ind w:left="760" w:hanging="229"/>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Developed new delivery vector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90" w:lineRule="exact"/>
        <w:rPr>
          <w:sz w:val="20"/>
          <w:szCs w:val="20"/>
          <w:color w:val="auto"/>
        </w:rPr>
      </w:pPr>
    </w:p>
    <w:p>
      <w:pPr>
        <w:ind w:left="860" w:right="60" w:hanging="329"/>
        <w:spacing w:after="0" w:line="256" w:lineRule="auto"/>
        <w:tabs>
          <w:tab w:leader="none" w:pos="7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Reorganized targeting and RNAi chemistry/stabilization teams and made several key hires in this area. This effort drove progress in subcutaneous administration and targeting for extra-hepatic delivery.</w:t>
      </w:r>
    </w:p>
    <w:p>
      <w:pPr>
        <w:spacing w:after="0" w:line="62" w:lineRule="exact"/>
        <w:rPr>
          <w:rFonts w:ascii="Arial" w:cs="Arial" w:eastAsia="Arial" w:hAnsi="Arial"/>
          <w:sz w:val="18"/>
          <w:szCs w:val="18"/>
          <w:color w:val="auto"/>
        </w:rPr>
      </w:pPr>
    </w:p>
    <w:p>
      <w:pPr>
        <w:ind w:left="860" w:hanging="329"/>
        <w:spacing w:after="0" w:line="259" w:lineRule="auto"/>
        <w:tabs>
          <w:tab w:leader="none" w:pos="7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hiring of clinical operations and regulatory affairs teams and refocused two key executives on clinical development and business development.</w:t>
      </w:r>
    </w:p>
    <w:p>
      <w:pPr>
        <w:spacing w:after="0" w:line="59" w:lineRule="exact"/>
        <w:rPr>
          <w:rFonts w:ascii="Arial" w:cs="Arial" w:eastAsia="Arial" w:hAnsi="Arial"/>
          <w:sz w:val="18"/>
          <w:szCs w:val="18"/>
          <w:color w:val="auto"/>
        </w:rPr>
      </w:pPr>
    </w:p>
    <w:p>
      <w:pPr>
        <w:ind w:left="860" w:right="360" w:hanging="329"/>
        <w:spacing w:after="0" w:line="332" w:lineRule="auto"/>
        <w:tabs>
          <w:tab w:leader="none" w:pos="773"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Opened a larger facility in Madison, WI for our research and development team to accommodate growth.</w:t>
      </w:r>
    </w:p>
    <w:p>
      <w:pPr>
        <w:spacing w:after="0" w:line="476" w:lineRule="exact"/>
        <w:rPr>
          <w:sz w:val="20"/>
          <w:szCs w:val="20"/>
          <w:color w:val="auto"/>
        </w:rPr>
      </w:pPr>
    </w:p>
    <w:p>
      <w:pPr>
        <w:sectPr>
          <w:pgSz w:w="11900" w:h="16838" w:orient="portrait"/>
          <w:cols w:equalWidth="0" w:num="2">
            <w:col w:w="5620" w:space="340"/>
            <w:col w:w="5400"/>
          </w:cols>
          <w:pgMar w:left="240" w:top="382" w:right="299" w:bottom="1440" w:gutter="0" w:footer="0" w:header="0"/>
        </w:sectPr>
      </w:pPr>
    </w:p>
    <w:p>
      <w:pPr>
        <w:ind w:right="220" w:firstLine="456"/>
        <w:spacing w:after="0" w:line="268" w:lineRule="auto"/>
        <w:rPr>
          <w:sz w:val="20"/>
          <w:szCs w:val="20"/>
          <w:color w:val="auto"/>
        </w:rPr>
      </w:pPr>
      <w:r>
        <w:rPr>
          <w:rFonts w:ascii="Arial" w:cs="Arial" w:eastAsia="Arial" w:hAnsi="Arial"/>
          <w:sz w:val="18"/>
          <w:szCs w:val="18"/>
          <w:color w:val="auto"/>
        </w:rPr>
        <w:t>Based on these achievements, the Compensation Committee approved Annual Incentive payments for the named executive officers for 2016 as set forth below.</w:t>
      </w:r>
    </w:p>
    <w:p>
      <w:pPr>
        <w:sectPr>
          <w:pgSz w:w="11900" w:h="16838" w:orient="portrait"/>
          <w:cols w:equalWidth="0" w:num="1">
            <w:col w:w="11360"/>
          </w:cols>
          <w:pgMar w:left="240" w:top="382"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666369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3690" cy="2832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Chief Executive Officer</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Bruce Given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Operating Officer</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Kenneth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2832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Patrick O’Brien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Counsel</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L. Lewis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3690" cy="28321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Chief Scientific Officer</w:t>
      </w:r>
    </w:p>
    <w:p>
      <w:pPr>
        <w:spacing w:after="0" w:line="97" w:lineRule="exact"/>
        <w:rPr>
          <w:sz w:val="20"/>
          <w:szCs w:val="20"/>
          <w:color w:val="auto"/>
        </w:rPr>
      </w:pPr>
    </w:p>
    <w:p>
      <w:pPr>
        <w:jc w:val="right"/>
        <w:ind w:left="5620" w:right="720" w:hanging="5612"/>
        <w:spacing w:after="0" w:line="525" w:lineRule="auto"/>
        <w:tabs>
          <w:tab w:leader="none" w:pos="448" w:val="left"/>
        </w:tabs>
        <w:numPr>
          <w:ilvl w:val="0"/>
          <w:numId w:val="24"/>
        </w:numPr>
        <w:rPr>
          <w:rFonts w:ascii="Arial" w:cs="Arial" w:eastAsia="Arial" w:hAnsi="Arial"/>
          <w:sz w:val="16"/>
          <w:szCs w:val="16"/>
          <w:color w:val="auto"/>
        </w:rPr>
      </w:pPr>
      <w:r>
        <w:rPr>
          <w:rFonts w:ascii="Arial" w:cs="Arial" w:eastAsia="Arial" w:hAnsi="Arial"/>
          <w:sz w:val="16"/>
          <w:szCs w:val="16"/>
          <w:color w:val="auto"/>
        </w:rPr>
        <w:t>David L. Lewis’ employment with the Company terminated on 12/13/2016. 17</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9"/>
        </w:trPr>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Award</w:t>
            </w: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Actual 2016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for 2016</w:t>
            </w:r>
          </w:p>
        </w:tc>
        <w:tc>
          <w:tcPr>
            <w:tcW w:w="14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Award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15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 of</w:t>
            </w: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of Base</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Base Salary)</w:t>
            </w:r>
          </w:p>
        </w:tc>
        <w:tc>
          <w:tcPr>
            <w:tcW w:w="7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Salary)</w:t>
            </w:r>
          </w:p>
        </w:tc>
        <w:tc>
          <w:tcPr>
            <w:tcW w:w="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Bonus</w:t>
            </w:r>
          </w:p>
        </w:tc>
      </w:tr>
      <w:tr>
        <w:trPr>
          <w:trHeight w:val="424"/>
        </w:trPr>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448,594</w:t>
            </w:r>
          </w:p>
        </w:tc>
      </w:tr>
      <w:tr>
        <w:trPr>
          <w:trHeight w:val="446"/>
        </w:trPr>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251,796</w:t>
            </w:r>
          </w:p>
        </w:tc>
      </w:tr>
      <w:tr>
        <w:trPr>
          <w:trHeight w:val="446"/>
        </w:trPr>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130,524</w:t>
            </w:r>
          </w:p>
        </w:tc>
      </w:tr>
      <w:tr>
        <w:trPr>
          <w:trHeight w:val="446"/>
        </w:trPr>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170,820</w:t>
            </w:r>
          </w:p>
        </w:tc>
      </w:tr>
      <w:tr>
        <w:trPr>
          <w:trHeight w:val="446"/>
        </w:trPr>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6520" w:space="720"/>
            <w:col w:w="4120"/>
          </w:cols>
          <w:pgMar w:left="240" w:top="382" w:right="2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2017 Goals</w:t>
      </w:r>
    </w:p>
    <w:p>
      <w:pPr>
        <w:spacing w:after="0" w:line="90"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For 2017, the Compensation Committee set new goals. These goals address clinical milestones for the Company’s lead products, research and development milestones for the Company’s drug pipeline, business development objectives and infrastructure enhancement. These goals will be used by the Committee to evaluate the performance of the Company and the individual named executive officers and to determine Annual Incentive Awards for 2017. The Committee will also consider unanticipated achievements, opportunities vs. results and circumstances outside the control of the executives. Target awards for 2017 are the same as target awards for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Named executive officers are eligible to receive equity compensation in the form of stock options and restricted stock units. Stock options generally vest and become exercisable over a period of four years with monthly vesting and restricted stock units vest over a period of three years with annual vesting. Our typical option awards to named executive officers have a term of 10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 to CEO in Fiscal 2017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time of filing, an equity award to the CEO in 2017 has not been finalized, however, the Compensation Committee expects that the award will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100% performance based with rigorous milestones related to the Company’s technical, clinical and corporate goals.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 to CEO in Fiscal 2016</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described above, in January 2016, the CEO was granted performance awards. These awards vest according to performance milestones, which, if achieved, are designed to result in substantial value creation for shareholders.</w:t>
      </w:r>
    </w:p>
    <w:p>
      <w:pPr>
        <w:spacing w:after="0" w:line="132"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The Compensation Committee has determined that the milestones are rigorous and will require substantial leadership, skill and effort on the part of the CEO to meet within the time frame allowed. One of the milestones has been met. See the summary beginning on page 12 for further discussion of the grants.</w:t>
      </w:r>
    </w:p>
    <w:p>
      <w:pPr>
        <w:spacing w:after="0" w:line="6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CEO also received a time-based grant of an option to purchase 80,000 shares of the Company’s Common Stock. The Committee believes that along with performance based equity grants, a smaller time-based grant is appropriate given its retention value and the uncertain nature of the drug development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 to CEO in Fiscal 2015</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above, in March 2015, the CEO was granted performance awards valued at approximately $1.2 million. These awards vest according to rigorous performance milestones which, if achieved, are designed to result in substantial value creation for shareholders. See page 13 for further discussion of the grants.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 Grants to other NEOs in Fiscal 2015, 2016 &amp; 2017</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consideration of the Company’s overall performance and each executive officer’s individual performance, the Compensation Committee awarded equity grants for the Company’s executive officers in March 2015 for 2014 performance, January 2016 for 2015 performance and January 2017 for 2016 performance. The awards consisted of restricted stock units and stock option grants. The restricted stock unit awards made in fiscal 2015 and 2016 vest in three equal tranches on the first, second and third anniversary of the date of grant. The restricted stock unit awards made in 2017 vest in full on the second anniversary from the date of grant. In light of the discontinuation of the Company’s intravenous clinical programs and with the goal of retention, for 2017, the Compensation Committee determined that a longer period until any vesting initiated was in the best interests of the Company, and a shorter total vesting period would encourage key employees to remain with the Company. Further, no stock options were granted to executive officers in 2017. The stock option awards granted in 2015 and 2016 vest and become exercisable monthly over a period of four years and have a term of 10 years. We believe that the combination of restricted stock units and stock options provide a mix of equity awards that will reward value creation over the near term and long term for our named executive officers. For additional details regarding the grants of equity awards in fiscal 2016, refer to the “Grants of Plan-Based Awards” table.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Benefit Program</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Executive officers are eligible to participate in all of our employee benefit plans, including medical, dental, vision, life, and disability insurance, in each case on the same basis as other employees, subject to applicable law. In addition, the Company provides additional life insurance for the Chief Executive Officer for the benefit of his heirs.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are designed to ensure that we have a productive and focused workforce through reliable and competitive health and other benefits.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the named executive officers, are able to contribute certain amounts of their annual compensation, subject to limits prescribed by the Internal Revenue Service. We have historically made matching contributions of 100% of the first 3% of salary and of 50% of the next 2% of salary contributed to the plan. The value of these benefits for each of our named executive officers is reflected in the “All Other Compensation” column of the Summary Compensation 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 Benefits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has entered into severance arrangements with named executive officers as listed below. The payments would be made in each case if the Company terminates the officer’s employment without cause (or in the case of Dr. Anzalone, he terminates with good reason). The Company’s 2013 Incentive Plan also provides for the acceleration of unvested awards if there is a change of control, as defined in the plan, except as otherwise determined by the Board of Directors.</w:t>
      </w:r>
    </w:p>
    <w:p>
      <w:pPr>
        <w:spacing w:after="0" w:line="181" w:lineRule="exact"/>
        <w:rPr>
          <w:sz w:val="20"/>
          <w:szCs w:val="20"/>
          <w:color w:val="auto"/>
        </w:rPr>
      </w:pPr>
    </w:p>
    <w:p>
      <w:pPr>
        <w:spacing w:after="0"/>
        <w:tabs>
          <w:tab w:leader="none" w:pos="8140" w:val="left"/>
        </w:tabs>
        <w:rPr>
          <w:sz w:val="20"/>
          <w:szCs w:val="20"/>
          <w:color w:val="auto"/>
        </w:rPr>
      </w:pPr>
      <w:r>
        <w:rPr>
          <w:rFonts w:ascii="Arial" w:cs="Arial" w:eastAsia="Arial" w:hAnsi="Arial"/>
          <w:sz w:val="14"/>
          <w:szCs w:val="14"/>
          <w:u w:val="single" w:color="auto"/>
          <w:color w:val="auto"/>
        </w:rPr>
        <w:t>Name and Title</w:t>
      </w:r>
      <w:r>
        <w:rPr>
          <w:sz w:val="20"/>
          <w:szCs w:val="20"/>
          <w:color w:val="auto"/>
        </w:rPr>
        <w:tab/>
      </w:r>
      <w:r>
        <w:rPr>
          <w:rFonts w:ascii="Arial" w:cs="Arial" w:eastAsia="Arial" w:hAnsi="Arial"/>
          <w:sz w:val="11"/>
          <w:szCs w:val="11"/>
          <w:color w:val="auto"/>
        </w:rPr>
        <w:t>Severance Payment</w:t>
      </w:r>
    </w:p>
    <w:p>
      <w:pPr>
        <w:sectPr>
          <w:pgSz w:w="11900" w:h="16838" w:orient="portrait"/>
          <w:cols w:equalWidth="0" w:num="1">
            <w:col w:w="11420"/>
          </w:cols>
          <w:pgMar w:left="240" w:top="280"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Christopher Anzalone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Bruce Given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w:t>
      </w:r>
    </w:p>
    <w:p>
      <w:pPr>
        <w:spacing w:after="0" w:line="20" w:lineRule="exact"/>
        <w:rPr>
          <w:sz w:val="20"/>
          <w:szCs w:val="20"/>
          <w:color w:val="auto"/>
        </w:rPr>
      </w:pPr>
      <w:r>
        <w:rPr>
          <w:sz w:val="20"/>
          <w:szCs w:val="20"/>
          <w:color w:val="auto"/>
        </w:rPr>
        <w:br w:type="column"/>
      </w:r>
    </w:p>
    <w:p>
      <w:pPr>
        <w:ind w:right="460"/>
        <w:spacing w:after="0" w:line="268" w:lineRule="auto"/>
        <w:rPr>
          <w:sz w:val="20"/>
          <w:szCs w:val="20"/>
          <w:color w:val="auto"/>
        </w:rPr>
      </w:pPr>
      <w:r>
        <w:rPr>
          <w:rFonts w:ascii="Arial" w:cs="Arial" w:eastAsia="Arial" w:hAnsi="Arial"/>
          <w:sz w:val="18"/>
          <w:szCs w:val="18"/>
          <w:color w:val="auto"/>
        </w:rPr>
        <w:t>One month of base salary plus one month medical and dental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-295910</wp:posOffset>
            </wp:positionV>
            <wp:extent cx="7246620" cy="283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355" w:lineRule="exact"/>
        <w:rPr>
          <w:sz w:val="20"/>
          <w:szCs w:val="20"/>
          <w:color w:val="auto"/>
        </w:rPr>
      </w:pPr>
    </w:p>
    <w:p>
      <w:pPr>
        <w:sectPr>
          <w:pgSz w:w="11900" w:h="16838" w:orient="portrait"/>
          <w:cols w:equalWidth="0" w:num="2">
            <w:col w:w="5240" w:space="720"/>
            <w:col w:w="546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Kenneth Myszkowski</w:t>
            </w:r>
          </w:p>
        </w:tc>
        <w:tc>
          <w:tcPr>
            <w:tcW w:w="7620" w:type="dxa"/>
            <w:vAlign w:val="bottom"/>
            <w:shd w:val="clear" w:color="auto" w:fill="CCEEFF"/>
          </w:tcPr>
          <w:p>
            <w:pPr>
              <w:ind w:left="2160"/>
              <w:spacing w:after="0"/>
              <w:rPr>
                <w:sz w:val="20"/>
                <w:szCs w:val="20"/>
                <w:color w:val="auto"/>
              </w:rPr>
            </w:pPr>
            <w:r>
              <w:rPr>
                <w:rFonts w:ascii="Arial" w:cs="Arial" w:eastAsia="Arial" w:hAnsi="Arial"/>
                <w:sz w:val="18"/>
                <w:szCs w:val="18"/>
                <w:color w:val="auto"/>
                <w:w w:val="86"/>
              </w:rPr>
              <w:t>Three months of base salary plus three months of medical and dental expense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7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reimbursement</w:t>
            </w: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7620" w:type="dxa"/>
            <w:vAlign w:val="bottom"/>
          </w:tcPr>
          <w:p>
            <w:pPr>
              <w:ind w:left="2160"/>
              <w:spacing w:after="0"/>
              <w:rPr>
                <w:sz w:val="20"/>
                <w:szCs w:val="20"/>
                <w:color w:val="auto"/>
              </w:rPr>
            </w:pPr>
            <w:r>
              <w:rPr>
                <w:rFonts w:ascii="Arial" w:cs="Arial" w:eastAsia="Arial" w:hAnsi="Arial"/>
                <w:sz w:val="18"/>
                <w:szCs w:val="18"/>
                <w:color w:val="auto"/>
                <w:w w:val="91"/>
              </w:rPr>
              <w:t>Six months of base salary (only upon a qualifying termination in connection</w:t>
            </w: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7620" w:type="dxa"/>
            <w:vAlign w:val="bottom"/>
          </w:tcPr>
          <w:p>
            <w:pPr>
              <w:ind w:left="2160"/>
              <w:spacing w:after="0"/>
              <w:rPr>
                <w:sz w:val="20"/>
                <w:szCs w:val="20"/>
                <w:color w:val="auto"/>
              </w:rPr>
            </w:pPr>
            <w:r>
              <w:rPr>
                <w:rFonts w:ascii="Arial" w:cs="Arial" w:eastAsia="Arial" w:hAnsi="Arial"/>
                <w:sz w:val="18"/>
                <w:szCs w:val="18"/>
                <w:color w:val="auto"/>
              </w:rPr>
              <w:t>with a change of control)</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David L. Lewis</w:t>
            </w:r>
          </w:p>
        </w:tc>
        <w:tc>
          <w:tcPr>
            <w:tcW w:w="7620" w:type="dxa"/>
            <w:vAlign w:val="bottom"/>
            <w:shd w:val="clear" w:color="auto" w:fill="CCEEFF"/>
          </w:tcPr>
          <w:p>
            <w:pPr>
              <w:ind w:left="2160"/>
              <w:spacing w:after="0"/>
              <w:rPr>
                <w:sz w:val="20"/>
                <w:szCs w:val="20"/>
                <w:color w:val="auto"/>
              </w:rPr>
            </w:pPr>
            <w:r>
              <w:rPr>
                <w:rFonts w:ascii="Arial" w:cs="Arial" w:eastAsia="Arial" w:hAnsi="Arial"/>
                <w:sz w:val="18"/>
                <w:szCs w:val="18"/>
                <w:color w:val="auto"/>
              </w:rPr>
              <w:t>Six months of base salary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c>
          <w:tcPr>
            <w:tcW w:w="7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Analysis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Since 2013, the Compensation Committee has engaged StreeterWyatt LLC, a compensation consultant, to conduct a comparative study and report on compensation levels and practices, including equity, relative to industry peers. The findings are presented to the Committee by StreeterWyatt in conjunction with the Committee’s annual review of executive compensation and StreeterWyatt provides a competitive assessment of the Company’s executive compensation program as compared to the market data for base salaries, target total cash compensation and equity compensation. As a general rule, the Compensation Committee considers NEO compensation relative to the peer group median, however, various other factors were taken into account in determining compensation and the Compensation Committee does not target compensation at any specific level relative to the peer group. Such factors include past performance and scope of the NEO’s actual role relative to the normal scope associated with that particular job among the peer group companies.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Because the biotechnology industry is a dynamic industry, the comparator group used by the Compensation Committee to measure the competitive positioning of our compensation packages is updated annually to ensure that companies continue to meet the established criteria. The peer group was assembled based on following criteria: publicly-held pre-commercial U.S. biotechnology companies, and companies with 50 – 500 employees. In general, the Company also selected peer companies with market capitalization values between 50% and 200% of the Company’s market capitalization at the time of the peer selection. The peer group was selected in such a manner that the Company’s market capitalization was very near the median for all peer companies. Consideration was also given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type w:val="continuous"/>
        </w:sectPr>
      </w:pPr>
    </w:p>
    <w:bookmarkStart w:id="22" w:name="page23"/>
    <w:bookmarkEnd w:id="2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frequency or infrequency with which a company was identified as a peer with other peer companies. Specifically, the selected comparable companies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20"/>
                <w:szCs w:val="20"/>
                <w:color w:val="auto"/>
              </w:rPr>
            </w:pPr>
            <w:r>
              <w:rPr>
                <w:rFonts w:ascii="Arial" w:cs="Arial" w:eastAsia="Arial" w:hAnsi="Arial"/>
                <w:sz w:val="18"/>
                <w:szCs w:val="18"/>
                <w:b w:val="1"/>
                <w:bCs w:val="1"/>
                <w:color w:val="auto"/>
              </w:rPr>
              <w:t>Peer group members for 2016:</w:t>
            </w:r>
          </w:p>
        </w:tc>
        <w:tc>
          <w:tcPr>
            <w:tcW w:w="39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12"/>
        </w:trPr>
        <w:tc>
          <w:tcPr>
            <w:tcW w:w="3280" w:type="dxa"/>
            <w:vAlign w:val="bottom"/>
          </w:tcPr>
          <w:p>
            <w:pPr>
              <w:spacing w:after="0"/>
              <w:rPr>
                <w:sz w:val="20"/>
                <w:szCs w:val="20"/>
                <w:color w:val="auto"/>
              </w:rPr>
            </w:pPr>
            <w:r>
              <w:rPr>
                <w:rFonts w:ascii="Arial" w:cs="Arial" w:eastAsia="Arial" w:hAnsi="Arial"/>
                <w:sz w:val="18"/>
                <w:szCs w:val="18"/>
                <w:color w:val="auto"/>
              </w:rPr>
              <w:t>Anthera Pharmaceuticals, Inc.</w:t>
            </w:r>
          </w:p>
        </w:tc>
        <w:tc>
          <w:tcPr>
            <w:tcW w:w="3920" w:type="dxa"/>
            <w:vAlign w:val="bottom"/>
          </w:tcPr>
          <w:p>
            <w:pPr>
              <w:ind w:left="960"/>
              <w:spacing w:after="0"/>
              <w:rPr>
                <w:sz w:val="20"/>
                <w:szCs w:val="20"/>
                <w:color w:val="auto"/>
              </w:rPr>
            </w:pPr>
            <w:r>
              <w:rPr>
                <w:rFonts w:ascii="Arial" w:cs="Arial" w:eastAsia="Arial" w:hAnsi="Arial"/>
                <w:sz w:val="18"/>
                <w:szCs w:val="18"/>
                <w:color w:val="auto"/>
              </w:rPr>
              <w:t>Dicerna Pharmaceuticals, Inc.</w:t>
            </w:r>
          </w:p>
        </w:tc>
        <w:tc>
          <w:tcPr>
            <w:tcW w:w="3120" w:type="dxa"/>
            <w:vAlign w:val="bottom"/>
          </w:tcPr>
          <w:p>
            <w:pPr>
              <w:ind w:left="860"/>
              <w:spacing w:after="0"/>
              <w:rPr>
                <w:sz w:val="20"/>
                <w:szCs w:val="20"/>
                <w:color w:val="auto"/>
              </w:rPr>
            </w:pPr>
            <w:r>
              <w:rPr>
                <w:rFonts w:ascii="Arial" w:cs="Arial" w:eastAsia="Arial" w:hAnsi="Arial"/>
                <w:sz w:val="18"/>
                <w:szCs w:val="18"/>
                <w:color w:val="auto"/>
                <w:w w:val="87"/>
              </w:rPr>
              <w:t>Peregrine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Array BioPharma, Inc.</w:t>
            </w:r>
          </w:p>
        </w:tc>
        <w:tc>
          <w:tcPr>
            <w:tcW w:w="3920" w:type="dxa"/>
            <w:vAlign w:val="bottom"/>
          </w:tcPr>
          <w:p>
            <w:pPr>
              <w:ind w:left="960"/>
              <w:spacing w:after="0"/>
              <w:rPr>
                <w:sz w:val="20"/>
                <w:szCs w:val="20"/>
                <w:color w:val="auto"/>
              </w:rPr>
            </w:pPr>
            <w:r>
              <w:rPr>
                <w:rFonts w:ascii="Arial" w:cs="Arial" w:eastAsia="Arial" w:hAnsi="Arial"/>
                <w:sz w:val="18"/>
                <w:szCs w:val="18"/>
                <w:color w:val="auto"/>
              </w:rPr>
              <w:t>Durect Corporation</w:t>
            </w:r>
          </w:p>
        </w:tc>
        <w:tc>
          <w:tcPr>
            <w:tcW w:w="3120" w:type="dxa"/>
            <w:vAlign w:val="bottom"/>
          </w:tcPr>
          <w:p>
            <w:pPr>
              <w:ind w:left="860"/>
              <w:spacing w:after="0"/>
              <w:rPr>
                <w:sz w:val="20"/>
                <w:szCs w:val="20"/>
                <w:color w:val="auto"/>
              </w:rPr>
            </w:pPr>
            <w:r>
              <w:rPr>
                <w:rFonts w:ascii="Arial" w:cs="Arial" w:eastAsia="Arial" w:hAnsi="Arial"/>
                <w:sz w:val="18"/>
                <w:szCs w:val="18"/>
                <w:color w:val="auto"/>
                <w:w w:val="87"/>
              </w:rPr>
              <w:t>Progenics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BioCryst Pharmaceuticals, Inc.</w:t>
            </w:r>
          </w:p>
        </w:tc>
        <w:tc>
          <w:tcPr>
            <w:tcW w:w="3920" w:type="dxa"/>
            <w:vAlign w:val="bottom"/>
          </w:tcPr>
          <w:p>
            <w:pPr>
              <w:ind w:left="960"/>
              <w:spacing w:after="0"/>
              <w:rPr>
                <w:sz w:val="20"/>
                <w:szCs w:val="20"/>
                <w:color w:val="auto"/>
              </w:rPr>
            </w:pPr>
            <w:r>
              <w:rPr>
                <w:rFonts w:ascii="Arial" w:cs="Arial" w:eastAsia="Arial" w:hAnsi="Arial"/>
                <w:sz w:val="18"/>
                <w:szCs w:val="18"/>
                <w:color w:val="auto"/>
              </w:rPr>
              <w:t>Geron Corporation</w:t>
            </w:r>
          </w:p>
        </w:tc>
        <w:tc>
          <w:tcPr>
            <w:tcW w:w="3120" w:type="dxa"/>
            <w:vAlign w:val="bottom"/>
          </w:tcPr>
          <w:p>
            <w:pPr>
              <w:ind w:left="860"/>
              <w:spacing w:after="0"/>
              <w:rPr>
                <w:sz w:val="20"/>
                <w:szCs w:val="20"/>
                <w:color w:val="auto"/>
              </w:rPr>
            </w:pPr>
            <w:r>
              <w:rPr>
                <w:rFonts w:ascii="Arial" w:cs="Arial" w:eastAsia="Arial" w:hAnsi="Arial"/>
                <w:sz w:val="18"/>
                <w:szCs w:val="18"/>
                <w:color w:val="auto"/>
              </w:rPr>
              <w:t>Regulus Therapeutics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BioTime, Inc.</w:t>
            </w:r>
          </w:p>
        </w:tc>
        <w:tc>
          <w:tcPr>
            <w:tcW w:w="3920" w:type="dxa"/>
            <w:vAlign w:val="bottom"/>
          </w:tcPr>
          <w:p>
            <w:pPr>
              <w:ind w:left="960"/>
              <w:spacing w:after="0"/>
              <w:rPr>
                <w:sz w:val="20"/>
                <w:szCs w:val="20"/>
                <w:color w:val="auto"/>
              </w:rPr>
            </w:pPr>
            <w:r>
              <w:rPr>
                <w:rFonts w:ascii="Arial" w:cs="Arial" w:eastAsia="Arial" w:hAnsi="Arial"/>
                <w:sz w:val="18"/>
                <w:szCs w:val="18"/>
                <w:color w:val="auto"/>
              </w:rPr>
              <w:t>Idera Pharmaceuticals, Inc.</w:t>
            </w:r>
          </w:p>
        </w:tc>
        <w:tc>
          <w:tcPr>
            <w:tcW w:w="3120" w:type="dxa"/>
            <w:vAlign w:val="bottom"/>
          </w:tcPr>
          <w:p>
            <w:pPr>
              <w:ind w:left="860"/>
              <w:spacing w:after="0"/>
              <w:rPr>
                <w:sz w:val="20"/>
                <w:szCs w:val="20"/>
                <w:color w:val="auto"/>
              </w:rPr>
            </w:pPr>
            <w:r>
              <w:rPr>
                <w:rFonts w:ascii="Arial" w:cs="Arial" w:eastAsia="Arial" w:hAnsi="Arial"/>
                <w:sz w:val="18"/>
                <w:szCs w:val="18"/>
                <w:color w:val="auto"/>
              </w:rPr>
              <w:t>Rigel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ChemoCentryx, Inc.</w:t>
            </w:r>
          </w:p>
        </w:tc>
        <w:tc>
          <w:tcPr>
            <w:tcW w:w="3920" w:type="dxa"/>
            <w:vAlign w:val="bottom"/>
          </w:tcPr>
          <w:p>
            <w:pPr>
              <w:ind w:left="960"/>
              <w:spacing w:after="0"/>
              <w:rPr>
                <w:sz w:val="20"/>
                <w:szCs w:val="20"/>
                <w:color w:val="auto"/>
              </w:rPr>
            </w:pPr>
            <w:r>
              <w:rPr>
                <w:rFonts w:ascii="Arial" w:cs="Arial" w:eastAsia="Arial" w:hAnsi="Arial"/>
                <w:sz w:val="18"/>
                <w:szCs w:val="18"/>
                <w:color w:val="auto"/>
              </w:rPr>
              <w:t>Immumedics, Inc.</w:t>
            </w:r>
          </w:p>
        </w:tc>
        <w:tc>
          <w:tcPr>
            <w:tcW w:w="3120" w:type="dxa"/>
            <w:vAlign w:val="bottom"/>
          </w:tcPr>
          <w:p>
            <w:pPr>
              <w:ind w:left="860"/>
              <w:spacing w:after="0"/>
              <w:rPr>
                <w:sz w:val="20"/>
                <w:szCs w:val="20"/>
                <w:color w:val="auto"/>
              </w:rPr>
            </w:pPr>
            <w:r>
              <w:rPr>
                <w:rFonts w:ascii="Arial" w:cs="Arial" w:eastAsia="Arial" w:hAnsi="Arial"/>
                <w:sz w:val="18"/>
                <w:szCs w:val="18"/>
                <w:color w:val="auto"/>
              </w:rPr>
              <w:t>Sangamo BioSciences,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Corcept Therapeutics Inc.</w:t>
            </w:r>
          </w:p>
        </w:tc>
        <w:tc>
          <w:tcPr>
            <w:tcW w:w="3920" w:type="dxa"/>
            <w:vAlign w:val="bottom"/>
          </w:tcPr>
          <w:p>
            <w:pPr>
              <w:ind w:left="960"/>
              <w:spacing w:after="0"/>
              <w:rPr>
                <w:sz w:val="20"/>
                <w:szCs w:val="20"/>
                <w:color w:val="auto"/>
              </w:rPr>
            </w:pPr>
            <w:r>
              <w:rPr>
                <w:rFonts w:ascii="Arial" w:cs="Arial" w:eastAsia="Arial" w:hAnsi="Arial"/>
                <w:sz w:val="18"/>
                <w:szCs w:val="18"/>
                <w:color w:val="auto"/>
              </w:rPr>
              <w:t>Infinity Pharmaceuticals Inc.</w:t>
            </w:r>
          </w:p>
        </w:tc>
        <w:tc>
          <w:tcPr>
            <w:tcW w:w="3120" w:type="dxa"/>
            <w:vAlign w:val="bottom"/>
          </w:tcPr>
          <w:p>
            <w:pPr>
              <w:ind w:left="860"/>
              <w:spacing w:after="0"/>
              <w:rPr>
                <w:sz w:val="20"/>
                <w:szCs w:val="20"/>
                <w:color w:val="auto"/>
              </w:rPr>
            </w:pPr>
            <w:r>
              <w:rPr>
                <w:rFonts w:ascii="Arial" w:cs="Arial" w:eastAsia="Arial" w:hAnsi="Arial"/>
                <w:sz w:val="18"/>
                <w:szCs w:val="18"/>
                <w:color w:val="auto"/>
                <w:w w:val="87"/>
              </w:rPr>
              <w:t>Threshold Pharmaceuticals,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CTI BioPharma Corp.</w:t>
            </w:r>
          </w:p>
        </w:tc>
        <w:tc>
          <w:tcPr>
            <w:tcW w:w="3920" w:type="dxa"/>
            <w:vAlign w:val="bottom"/>
          </w:tcPr>
          <w:p>
            <w:pPr>
              <w:ind w:left="960"/>
              <w:spacing w:after="0"/>
              <w:rPr>
                <w:sz w:val="20"/>
                <w:szCs w:val="20"/>
                <w:color w:val="auto"/>
              </w:rPr>
            </w:pPr>
            <w:r>
              <w:rPr>
                <w:rFonts w:ascii="Arial" w:cs="Arial" w:eastAsia="Arial" w:hAnsi="Arial"/>
                <w:sz w:val="18"/>
                <w:szCs w:val="18"/>
                <w:color w:val="auto"/>
              </w:rPr>
              <w:t>Omeros Corporation</w:t>
            </w:r>
          </w:p>
        </w:tc>
        <w:tc>
          <w:tcPr>
            <w:tcW w:w="3120" w:type="dxa"/>
            <w:vAlign w:val="bottom"/>
          </w:tcPr>
          <w:p>
            <w:pPr>
              <w:ind w:left="860"/>
              <w:spacing w:after="0"/>
              <w:rPr>
                <w:sz w:val="20"/>
                <w:szCs w:val="20"/>
                <w:color w:val="auto"/>
              </w:rPr>
            </w:pPr>
            <w:r>
              <w:rPr>
                <w:rFonts w:ascii="Arial" w:cs="Arial" w:eastAsia="Arial" w:hAnsi="Arial"/>
                <w:sz w:val="18"/>
                <w:szCs w:val="18"/>
                <w:color w:val="auto"/>
              </w:rPr>
              <w:t>Zogenix, Inc.</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Curis, Inc.</w:t>
            </w:r>
          </w:p>
        </w:tc>
        <w:tc>
          <w:tcPr>
            <w:tcW w:w="3920" w:type="dxa"/>
            <w:vAlign w:val="bottom"/>
          </w:tcPr>
          <w:p>
            <w:pPr>
              <w:ind w:left="960"/>
              <w:spacing w:after="0"/>
              <w:rPr>
                <w:sz w:val="20"/>
                <w:szCs w:val="20"/>
                <w:color w:val="auto"/>
              </w:rPr>
            </w:pPr>
            <w:r>
              <w:rPr>
                <w:rFonts w:ascii="Arial" w:cs="Arial" w:eastAsia="Arial" w:hAnsi="Arial"/>
                <w:sz w:val="18"/>
                <w:szCs w:val="18"/>
                <w:color w:val="auto"/>
              </w:rPr>
              <w:t>Orexigen Therapeutics, Inc.</w:t>
            </w:r>
          </w:p>
        </w:tc>
        <w:tc>
          <w:tcPr>
            <w:tcW w:w="3120" w:type="dxa"/>
            <w:vAlign w:val="bottom"/>
          </w:tcPr>
          <w:p>
            <w:pPr>
              <w:spacing w:after="0"/>
              <w:rPr>
                <w:sz w:val="18"/>
                <w:szCs w:val="18"/>
                <w:color w:val="auto"/>
              </w:rPr>
            </w:pP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CytRx, Corporation</w:t>
            </w:r>
          </w:p>
        </w:tc>
        <w:tc>
          <w:tcPr>
            <w:tcW w:w="3920" w:type="dxa"/>
            <w:vAlign w:val="bottom"/>
          </w:tcPr>
          <w:p>
            <w:pPr>
              <w:ind w:left="960"/>
              <w:spacing w:after="0"/>
              <w:rPr>
                <w:sz w:val="20"/>
                <w:szCs w:val="20"/>
                <w:color w:val="auto"/>
              </w:rPr>
            </w:pPr>
            <w:r>
              <w:rPr>
                <w:rFonts w:ascii="Arial" w:cs="Arial" w:eastAsia="Arial" w:hAnsi="Arial"/>
                <w:sz w:val="18"/>
                <w:szCs w:val="18"/>
                <w:color w:val="auto"/>
              </w:rPr>
              <w:t>Osiris Therapeutics, Inc.</w:t>
            </w:r>
          </w:p>
        </w:tc>
        <w:tc>
          <w:tcPr>
            <w:tcW w:w="3120" w:type="dxa"/>
            <w:vAlign w:val="bottom"/>
          </w:tcPr>
          <w:p>
            <w:pPr>
              <w:spacing w:after="0"/>
              <w:rPr>
                <w:sz w:val="19"/>
                <w:szCs w:val="19"/>
                <w:color w:val="auto"/>
              </w:rPr>
            </w:pP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compensation studies prepared by StreeterWyatt and presented in December 2015 and 2016 provided an assessment of the Company’s compensation practices as compared to industry peers. Compensation levels for the Company’s executives, in the aggregate, were determined to be within the range of compensation provided to similarly placed executives and consistent with the Company’s compensation philosophy. Merit increases and market-based adjustments awarded to executives in 2016 and 2017 were consistent with the findings and recommendations of StreeterWyatt regarding market based increases observable from peer and survey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Objectives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compensation policies for executive officers have two fundamental objectives: (1) to attract, motivate and retain a highly skilled team of executives and (2) to align our executives’ interests with those of our stockholders by rewarding short-term and long-term performance and aligning compensation to increases in stockholder value. The Compensation Committee believes that executive compensation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62" w:lineRule="exact"/>
        <w:rPr>
          <w:sz w:val="20"/>
          <w:szCs w:val="20"/>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retain and motivate highly qualified executives with the skills and experience required for the achievement of business goals;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compensation to the achievement of measurable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significant achievements outside of predetermined goals;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that pharmaceutical research, development and commercialization require sustained and focused effort over many years, and involve a high degree of risk and therefore balance incentives for annual and long-term compensation;</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 outside compensation expertise and market data from industry peers to help assure that the Company’s compensation practices are consistent with industry practice and meet the Company’s goals for its compensation program;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 the Company’s cash resources and cost of capital to balance cash and equity compensation;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17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executive compensation program consists of three key elements: base salary, annual incentive compensation and equity-based compensation. The Compensation Committee believes that cash compensation in the form of base salary and annual incentive payments provides our executives with short-term rewards for success in operations, and that long-term compensation through the award of stock options and restricted stock units aligns the objectives of management with those of our stockholders with respect to long-term performance and success.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23" w:name="page24"/>
    <w:bookmarkEnd w:id="23"/>
    <w:p>
      <w:pPr>
        <w:ind w:right="60"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takes into account the Company’s financial and working capital condition when making compensation decisions and approving performance objectives. Because the Company has sought to preserve cash and currently does not operate at a profit, overall compensation is weighted more heavily toward equity-based compensation. Thus, a significant portion of each executive’s compensation is at risk, and dependent on the increase in the value of the company’s stock. The Compensation Committee periodically reassesses the appropriate weighting of cash and equity compensation.</w:t>
      </w:r>
    </w:p>
    <w:p>
      <w:pPr>
        <w:spacing w:after="0" w:line="9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With respect to equity awards, these awards typically vest over a period of three to four years, meaning that long-term value creation, contrasted with short-term gain, presents the best opportunity for employees to profit from these awards.</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Compensation Committee reviews executive compensation annually. The Compensation Committee draws on a number of resources to assist in the evaluation of the various components of the Company’s executive compensation program including, but not limited to advice of an independent compensation consultant,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 While we do not position compensation levels based upon a specific or target level relative to a peer group or other companies, pay practices at other companies are an important factor that the Compensation Committee considers in assessing the reasonableness of compensation and ensuring that our compensation practices are competitive in the marketplace.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Management</w:t>
      </w:r>
    </w:p>
    <w:p>
      <w:pPr>
        <w:spacing w:after="0" w:line="9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In reviewing the compensation structure, the Compensation Committee considers how the Company’s compensation policies may affect the Company’s risk profile and whether compensation policies and practices may encourage undue risk-taking by employees. More specifically, the Compensation Committee considers the general design philosophy of the Company’s policies for employees whose conduct would be most affected by incentives established by compensation policies. In considering these issues, the Compensation Committee concluded that the use of performance-based annual incentive payments and long-term equity awards did not appear to create undue risks for the Company or encourage excessive risk-taking behavior on the part of named executive officers.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annual incentive awards for our executive officers, the amount of an individual’s award depends principally on overall Company performance, as determined by the Compensation Committee, which reduces the ability and incentive for an individual to take undue risks at the expense of Company performance in an effort to increase the amount of his or her bonus award. The Company’s performance goals are reviewed regularly by the Compensation Committee and the Board of Directors and are considered to be generally of the nature that promote the steady progression of the Company’s development programs and would not encourage or reward excessive risk taking. Additionally, the Board has the ability to intervene in instances where actions by the executives vis-à-vis Company performance goal attainment would be considered unduly risky to prevent or penalize such 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Stock Ownership Requirements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Compensation Committee has adopted guidelines for ownership of the Company’s stock by the Company’s CEO (6 times annual salary), COO (2 times annual salary), and CFO (2 times annual salary). The ownership levels are to be achieved within the next four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Trading Policy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Company’s Insider Trading Policy prohibits short-term trading, options trading, trading on margin, pledging Company stock as collateral, and hedging with respect to the Company’s securities. The policy applies to all employees of the Company, including the NEOs and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Roles in Determining Compensation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Board has delegated to the Compensation Committee the responsibility to ensure that total compensation paid to our executive officers, including named executive officers, is consistent with our compensation policy and objectives. The Compensation Committee oversees and approves all compensation arrangements and actions for our executive officers and other key employees, including the named executive officers. While the Compensation Committee draws on a number of resources, including input from the Chief Executive Officer and independent compensation consultants, to make decisions regarding the Company’s executive compensation program, ultimate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decision-making authority rests with the Compensation Committee. The Compensation Committee retains discretion over base salary, annual incentive bonus, equity compensation and other compensation considerations for our named executive officers. As part of the review process, the Chief Executive Officer makes recommendations to the Compensation Committee with respect to the compensation levels for individual executives other than himself based on the performance evaluation conducted by each executive’s manager and his own evaluation of the executive’s performance. The Compensation Committee reviews this information and adjusts or approves the recommendations. In addition, for each named executive officer, the Compensation Committee considers the Company’s performance against annual and longer term objectives, market data regarding executive compensation at comparable companies and realized and realizable values under previous equity awards.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During 2016, Dr. Perry served as Chairman of the Compensation Committee, and Mr. Frykman, and Dr. Ferrari served as members. The Company’s Board of Directors has determined that all of the Compensation Committee members are “independent” directors for all required legal purposes, including pursuant to Nasdaq’s definition of independence. The members have extensive experience in executive management, as well as compensation practices and policies.</w:t>
      </w:r>
    </w:p>
    <w:p>
      <w:pPr>
        <w:spacing w:after="0" w:line="1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Compensation Committee has retained the services of an external compensation consultant, StreeterWyatt LLC (“</w:t>
      </w:r>
      <w:r>
        <w:rPr>
          <w:rFonts w:ascii="Arial" w:cs="Arial" w:eastAsia="Arial" w:hAnsi="Arial"/>
          <w:sz w:val="16"/>
          <w:szCs w:val="16"/>
          <w:b w:val="1"/>
          <w:bCs w:val="1"/>
          <w:color w:val="auto"/>
        </w:rPr>
        <w:t>StreeterWyatt</w:t>
      </w:r>
      <w:r>
        <w:rPr>
          <w:rFonts w:ascii="Arial" w:cs="Arial" w:eastAsia="Arial" w:hAnsi="Arial"/>
          <w:sz w:val="16"/>
          <w:szCs w:val="16"/>
          <w:color w:val="auto"/>
        </w:rPr>
        <w:t>”). The mandate of StreeterWyatt is to assist the Compensation Committee in its review of executive and director compensation practices, including the competitiveness of pay levels, executive compensation design, comparison with the Company’s peers in the industry and other technical considerations. The Compensation Committee has evaluated StreeterWyatt’s performance, considered alternative compensation consultants and has the final authority to engage and terminate the StreeterWyatt’s services. The decision to engage StreeterWyatt was not made or recommended by the Company’s management. The Compensation Committee, after a review of the factors set forth in Section 10C-1 of the Securities Exchange Act of 1934, has determined that the work performed by StreeterWyatt in 2016 does not present any conflicts of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Awards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terms of our 2013 Incentive Plan, pursuant to which new equity grants are made, the exercise price of any stock options awarded under these plans must be equal to at least 100% of the fair market value of our Common Stock (the closing sales price on the Nasdaq Global Market) on the date of grant. We do not have any program, plan or obligation that requires us to grant equity awards on specified dates, although historically we have made grants to existing officers and employees at least annually and to new hires on the commencement of their employment. We do not have any program, plan or practice to grant stock option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Authority to make equity grants to employees rests with the Compensation Committee, although the Compensation Committee has delegated authority to the Chief Executive Officer to make grants to non-executive employees within limits set by the Compensation Committee. With respect to executive officers, except for the Chief Executive Officer, recommendations for equity grants are made by the Chief Executive Officer and reviewed and approved by the Compensation Committee.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5" w:name="page26"/>
    <w:bookmarkEnd w:id="2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Submitted by the Compensation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Committee of the Board of Directors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S. Perry,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Mauro Ferrari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W. Frykman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summarizes compensation earned for services rendered during fiscal 2016, 2015, and 2014 by our Chief Executive Officer, our Chief Financial Officer, our Chief Operating Officer, our Chief Scientific Officer, and our General Counsel, collectively our “Named Executive Officers”: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32"/>
              <w:spacing w:after="0" w:line="149"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6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9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116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6"/>
              </w:rPr>
              <w:t>Awards</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Awards (2)</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42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2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240" w:type="dxa"/>
            <w:vAlign w:val="bottom"/>
          </w:tcPr>
          <w:p>
            <w:pPr>
              <w:spacing w:after="0"/>
              <w:rPr>
                <w:sz w:val="14"/>
                <w:szCs w:val="14"/>
                <w:color w:val="auto"/>
              </w:rPr>
            </w:pPr>
          </w:p>
        </w:tc>
        <w:tc>
          <w:tcPr>
            <w:tcW w:w="8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2016</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614,051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0"/>
              </w:rPr>
              <w:t>(5)</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368,797</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448,594</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1,889</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1,433,331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564,911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751,000(6)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426,840(6)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2,319,760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543,615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3,053,400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553,680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4,816,139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333,178</w:t>
            </w:r>
          </w:p>
        </w:tc>
        <w:tc>
          <w:tcPr>
            <w:tcW w:w="2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307,500</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184,383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130,524</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12,431</w:t>
            </w:r>
          </w:p>
        </w:tc>
        <w:tc>
          <w:tcPr>
            <w:tcW w:w="760" w:type="dxa"/>
            <w:vAlign w:val="bottom"/>
          </w:tcPr>
          <w:p>
            <w:pPr>
              <w:jc w:val="right"/>
              <w:spacing w:after="0"/>
              <w:rPr>
                <w:sz w:val="20"/>
                <w:szCs w:val="20"/>
                <w:color w:val="auto"/>
              </w:rPr>
            </w:pPr>
            <w:r>
              <w:rPr>
                <w:rFonts w:ascii="Arial" w:cs="Arial" w:eastAsia="Arial" w:hAnsi="Arial"/>
                <w:sz w:val="18"/>
                <w:szCs w:val="18"/>
                <w:color w:val="auto"/>
              </w:rPr>
              <w:t>968,016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302,375</w:t>
            </w:r>
          </w:p>
        </w:tc>
        <w:tc>
          <w:tcPr>
            <w:tcW w:w="2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375,500</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260,123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123,136</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12,967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1,074,101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293,412</w:t>
            </w:r>
          </w:p>
        </w:tc>
        <w:tc>
          <w:tcPr>
            <w:tcW w:w="26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1,017,800</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461,400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119,000</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11,596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1,903,208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430,835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1,893,105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Operating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396,357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1,126,500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312,147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2,128,867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384,159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1,817,500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14,894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2,910,953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gridSpan w:val="2"/>
          </w:tcPr>
          <w:p>
            <w:pPr>
              <w:spacing w:after="0"/>
              <w:rPr>
                <w:sz w:val="20"/>
                <w:szCs w:val="20"/>
                <w:color w:val="auto"/>
              </w:rPr>
            </w:pPr>
            <w:r>
              <w:rPr>
                <w:rFonts w:ascii="Arial" w:cs="Arial" w:eastAsia="Arial" w:hAnsi="Arial"/>
                <w:sz w:val="18"/>
                <w:szCs w:val="18"/>
                <w:color w:val="auto"/>
              </w:rPr>
              <w:t>David L. Lewis (7)</w:t>
            </w: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270,144</w:t>
            </w:r>
          </w:p>
        </w:tc>
        <w:tc>
          <w:tcPr>
            <w:tcW w:w="2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391,815</w:t>
            </w:r>
          </w:p>
        </w:tc>
        <w:tc>
          <w:tcPr>
            <w:tcW w:w="42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11,294</w:t>
            </w:r>
          </w:p>
        </w:tc>
        <w:tc>
          <w:tcPr>
            <w:tcW w:w="760" w:type="dxa"/>
            <w:vAlign w:val="bottom"/>
          </w:tcPr>
          <w:p>
            <w:pPr>
              <w:jc w:val="right"/>
              <w:spacing w:after="0"/>
              <w:rPr>
                <w:sz w:val="20"/>
                <w:szCs w:val="20"/>
                <w:color w:val="auto"/>
              </w:rPr>
            </w:pPr>
            <w:r>
              <w:rPr>
                <w:rFonts w:ascii="Arial" w:cs="Arial" w:eastAsia="Arial" w:hAnsi="Arial"/>
                <w:sz w:val="18"/>
                <w:szCs w:val="18"/>
                <w:color w:val="auto"/>
              </w:rPr>
              <w:t>673,253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Chief Scientific Officer</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245,169</w:t>
            </w:r>
          </w:p>
        </w:tc>
        <w:tc>
          <w:tcPr>
            <w:tcW w:w="2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520,245</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87,360</w:t>
            </w: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10,665</w:t>
            </w:r>
          </w:p>
        </w:tc>
        <w:tc>
          <w:tcPr>
            <w:tcW w:w="760" w:type="dxa"/>
            <w:vAlign w:val="bottom"/>
          </w:tcPr>
          <w:p>
            <w:pPr>
              <w:jc w:val="right"/>
              <w:spacing w:after="0"/>
              <w:rPr>
                <w:sz w:val="20"/>
                <w:szCs w:val="20"/>
                <w:color w:val="auto"/>
              </w:rPr>
            </w:pPr>
            <w:r>
              <w:rPr>
                <w:rFonts w:ascii="Arial" w:cs="Arial" w:eastAsia="Arial" w:hAnsi="Arial"/>
                <w:sz w:val="18"/>
                <w:szCs w:val="18"/>
                <w:color w:val="auto"/>
              </w:rPr>
              <w:t>863,439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226,358</w:t>
            </w:r>
          </w:p>
        </w:tc>
        <w:tc>
          <w:tcPr>
            <w:tcW w:w="26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1,107,360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84,000</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9,199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1,426,917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O’Brien (8)</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389,708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276,575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Counsel</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286,385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125,000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314,970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11,961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1,040,916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2014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bonus amount represents a signing bonus and relocation allowance for Patrick O’Brien, who was hired on December 2, 2014.</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columns represent the total grant date fair value, computed in accordance with ASC 718, of stock options and restricted stock units granted during fiscal year 2016, 2015 and 2014. The assumptions used to calculate the value of the stock underlying the option and restricted stock unit awards are set forth in Note 8 of the Notes to the Consolidated Financial Statements included with the Company’s Annual Report on 10-K, provided there was no assumed rate of forfeiture applied in valuing these awards.</w:t>
      </w:r>
    </w:p>
    <w:p>
      <w:pPr>
        <w:spacing w:after="0" w:line="1" w:lineRule="exact"/>
        <w:rPr>
          <w:rFonts w:ascii="Arial" w:cs="Arial" w:eastAsia="Arial" w:hAnsi="Arial"/>
          <w:sz w:val="18"/>
          <w:szCs w:val="18"/>
          <w:color w:val="auto"/>
        </w:rPr>
      </w:pPr>
    </w:p>
    <w:p>
      <w:pPr>
        <w:ind w:left="460" w:right="200" w:hanging="452"/>
        <w:spacing w:after="0" w:line="361"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These bonus amounts represent the amounts earned for performance under the Company’s Annual Bonus Incentive Plan during calendar year 2016, 2015 and 2014 and paid in fiscal year 2017, 2016 and 2015, respectively. The Annual Bonuses are described in more detail in the “Bonus Incentive” section.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consist of 401(k) matching contribution, as well as life insurance premiums for the benefit of each executive officer.</w:t>
      </w:r>
    </w:p>
    <w:p>
      <w:pPr>
        <w:spacing w:after="0" w:line="15"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reported for Christopher Anzalone in the Stock Awards column reflects the grant date fair value of a January 2016 restricted stock unit award that is subject to vesting upon the achievement of specific performance-based conditions, as described above in the Compensation Discussion and Analysis. We determined the performance conditions were not probable of being achieved as of the grant date, as defined under applicable accounting guidance, and assigned a grant date fair value of $0 based on this evaluation. If we had determined that as of the date of the grant it was probable that 100% of the performance-based conditions would be achieved, we would have assigned a grant date fair value of $3,321,000 for the restricted stock units. The amount reported in the Summary Compensation Table for this award may not represent the amount that Christopher Anzalone will actually realize from the award. Whether, and to what extent, a named executive officer realizes value will depend on our actual operating performance, stock price fluctuations and the named executive officer’s continued employment.</w:t>
      </w:r>
    </w:p>
    <w:p>
      <w:pPr>
        <w:spacing w:after="0" w:line="5" w:lineRule="exact"/>
        <w:rPr>
          <w:rFonts w:ascii="Arial" w:cs="Arial" w:eastAsia="Arial" w:hAnsi="Arial"/>
          <w:sz w:val="16"/>
          <w:szCs w:val="16"/>
          <w:color w:val="auto"/>
        </w:rPr>
      </w:pPr>
    </w:p>
    <w:p>
      <w:pPr>
        <w:ind w:left="452" w:right="20" w:hanging="452"/>
        <w:spacing w:after="0" w:line="281" w:lineRule="auto"/>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reported for Christopher Anzalone in the Stock Awards and Option Awards column reflect the grant date fair value of a March 2015 restricted stock unit and stock option award that is subject to vesting upon the achievement of specific performance and market-based conditions, as described above in the Compensation Discussion and Analysis. We determined the performance conditions that were probable and not probable of being achieved as of the grant date, as defined under applicable accounting guidance, and assigned a grant date fair value based on this evaluation. If we had determined that as of the date of the grant it was probable that 100% of the performance and market-based conditions would be achieved, we would have assigned a grant date fair value of $2,703,600 for the restricted stock units and $1,536,624 for the stock options. The amounts reported in the Summary Compensation Table for these awards may not represent the amounts that Christopher Anzalone will actually realize from the awards. Whether, and to what extent, a named executive officer realizes value will depend on our actual operating performance, stock price fluctuations and the named executive officer’s continued employment.</w:t>
      </w:r>
    </w:p>
    <w:p>
      <w:pPr>
        <w:spacing w:after="0" w:line="6" w:lineRule="exact"/>
        <w:rPr>
          <w:rFonts w:ascii="Arial" w:cs="Arial" w:eastAsia="Arial" w:hAnsi="Arial"/>
          <w:sz w:val="16"/>
          <w:szCs w:val="16"/>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Dave Lewis’ employment was terminated effective December 13, 2016, and no bonus was paid.</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Patrick O’Brien was hired on December 2, 2014 and thus compensation reflected in 2015 is for a partial year of approximately ten months.</w:t>
      </w:r>
    </w:p>
    <w:p>
      <w:pPr>
        <w:spacing w:after="0" w:line="1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92"/>
          </w:cols>
          <w:pgMar w:left="248" w:top="280" w:right="259" w:bottom="1440" w:gutter="0" w:footer="0" w:header="0"/>
        </w:sectPr>
      </w:pPr>
    </w:p>
    <w:bookmarkStart w:id="27" w:name="page28"/>
    <w:bookmarkEnd w:id="27"/>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cash bonus and equity grants made to the named executive officers in fiscal 2016: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Grants of Plan 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Estimated Future Payouts</w:t>
            </w:r>
          </w:p>
        </w:tc>
        <w:tc>
          <w:tcPr>
            <w:tcW w:w="180" w:type="dxa"/>
            <w:vAlign w:val="bottom"/>
          </w:tcPr>
          <w:p>
            <w:pPr>
              <w:spacing w:after="0"/>
              <w:rPr>
                <w:sz w:val="14"/>
                <w:szCs w:val="14"/>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Estimated Future Payouts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24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Under Equity Incentive Plan Awards</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Incentive Plan Awards (1)</w:t>
            </w:r>
          </w:p>
        </w:tc>
        <w:tc>
          <w:tcPr>
            <w:tcW w:w="180" w:type="dxa"/>
            <w:vAlign w:val="bottom"/>
          </w:tcPr>
          <w:p>
            <w:pPr>
              <w:spacing w:after="0"/>
              <w:rPr>
                <w:sz w:val="14"/>
                <w:szCs w:val="14"/>
                <w:color w:val="auto"/>
              </w:rPr>
            </w:pPr>
          </w:p>
        </w:tc>
        <w:tc>
          <w:tcPr>
            <w:tcW w:w="116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3"/>
              </w:rPr>
              <w:t>(2)</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All Other Stock</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Awards: Number</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Stock or Units</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Grant Date</w:t>
            </w: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2"/>
                <w:szCs w:val="12"/>
                <w:color w:val="auto"/>
              </w:rPr>
            </w:pPr>
          </w:p>
        </w:tc>
        <w:tc>
          <w:tcPr>
            <w:tcW w:w="8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Target</w:t>
            </w:r>
          </w:p>
        </w:tc>
        <w:tc>
          <w:tcPr>
            <w:tcW w:w="180" w:type="dxa"/>
            <w:vAlign w:val="bottom"/>
          </w:tcPr>
          <w:p>
            <w:pPr>
              <w:spacing w:after="0"/>
              <w:rPr>
                <w:sz w:val="12"/>
                <w:szCs w:val="12"/>
                <w:color w:val="auto"/>
              </w:rPr>
            </w:pPr>
          </w:p>
        </w:tc>
        <w:tc>
          <w:tcPr>
            <w:tcW w:w="11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Target</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 (3)</w:t>
            </w:r>
          </w:p>
        </w:tc>
        <w:tc>
          <w:tcPr>
            <w:tcW w:w="2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center"/>
              <w:ind w:left="176"/>
              <w:spacing w:after="0" w:line="203"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598,125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1,196,250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 w:type="dxa"/>
            <w:vAlign w:val="bottom"/>
            <w:shd w:val="clear" w:color="auto" w:fill="CCEEFF"/>
          </w:tcPr>
          <w:p>
            <w:pPr>
              <w:spacing w:after="0"/>
              <w:rPr>
                <w:sz w:val="20"/>
                <w:szCs w:val="20"/>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1/1/2016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1"/>
              </w:rPr>
              <w:t>6.15</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$368,797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1/1/2016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180,000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1/1/2016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180,000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1/1/2016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180,000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54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130,524</w:t>
            </w:r>
          </w:p>
        </w:tc>
        <w:tc>
          <w:tcPr>
            <w:tcW w:w="180" w:type="dxa"/>
            <w:vAlign w:val="bottom"/>
          </w:tcPr>
          <w:p>
            <w:pPr>
              <w:spacing w:after="0"/>
              <w:rPr>
                <w:sz w:val="18"/>
                <w:szCs w:val="18"/>
                <w:color w:val="auto"/>
              </w:rPr>
            </w:pPr>
          </w:p>
        </w:tc>
        <w:tc>
          <w:tcPr>
            <w:tcW w:w="1160" w:type="dxa"/>
            <w:vAlign w:val="bottom"/>
            <w:gridSpan w:val="2"/>
          </w:tcPr>
          <w:p>
            <w:pPr>
              <w:jc w:val="center"/>
              <w:ind w:left="296"/>
              <w:spacing w:after="0"/>
              <w:rPr>
                <w:sz w:val="20"/>
                <w:szCs w:val="20"/>
                <w:color w:val="auto"/>
              </w:rPr>
            </w:pPr>
            <w:r>
              <w:rPr>
                <w:rFonts w:ascii="Arial" w:cs="Arial" w:eastAsia="Arial" w:hAnsi="Arial"/>
                <w:sz w:val="18"/>
                <w:szCs w:val="18"/>
                <w:color w:val="auto"/>
                <w:w w:val="99"/>
              </w:rPr>
              <w:t>N/A</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1/1/2016</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35"/>
              <w:spacing w:after="0"/>
              <w:rPr>
                <w:sz w:val="20"/>
                <w:szCs w:val="20"/>
                <w:color w:val="auto"/>
              </w:rPr>
            </w:pPr>
            <w:r>
              <w:rPr>
                <w:rFonts w:ascii="Arial" w:cs="Arial" w:eastAsia="Arial" w:hAnsi="Arial"/>
                <w:sz w:val="18"/>
                <w:szCs w:val="18"/>
                <w:color w:val="auto"/>
                <w:w w:val="91"/>
              </w:rPr>
              <w:t>6.15</w:t>
            </w:r>
          </w:p>
        </w:tc>
        <w:tc>
          <w:tcPr>
            <w:tcW w:w="2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$184,383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RSUs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1/1/2016</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$307,500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251,796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99"/>
              </w:rPr>
              <w:t>N/A</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1/1/2016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1"/>
              </w:rPr>
              <w:t>6.15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1/1/2016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40" w:type="dxa"/>
            <w:vAlign w:val="bottom"/>
            <w:gridSpan w:val="2"/>
          </w:tcPr>
          <w:p>
            <w:pPr>
              <w:spacing w:after="0"/>
              <w:rPr>
                <w:sz w:val="20"/>
                <w:szCs w:val="20"/>
                <w:color w:val="auto"/>
              </w:rPr>
            </w:pPr>
            <w:r>
              <w:rPr>
                <w:rFonts w:ascii="Arial" w:cs="Arial" w:eastAsia="Arial" w:hAnsi="Arial"/>
                <w:sz w:val="18"/>
                <w:szCs w:val="18"/>
                <w:color w:val="auto"/>
              </w:rPr>
              <w:t>David L. Lewis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92,602</w:t>
            </w:r>
          </w:p>
        </w:tc>
        <w:tc>
          <w:tcPr>
            <w:tcW w:w="180" w:type="dxa"/>
            <w:vAlign w:val="bottom"/>
          </w:tcPr>
          <w:p>
            <w:pPr>
              <w:spacing w:after="0"/>
              <w:rPr>
                <w:sz w:val="18"/>
                <w:szCs w:val="18"/>
                <w:color w:val="auto"/>
              </w:rPr>
            </w:pPr>
          </w:p>
        </w:tc>
        <w:tc>
          <w:tcPr>
            <w:tcW w:w="1160" w:type="dxa"/>
            <w:vAlign w:val="bottom"/>
            <w:gridSpan w:val="2"/>
          </w:tcPr>
          <w:p>
            <w:pPr>
              <w:jc w:val="center"/>
              <w:ind w:left="296"/>
              <w:spacing w:after="0"/>
              <w:rPr>
                <w:sz w:val="20"/>
                <w:szCs w:val="20"/>
                <w:color w:val="auto"/>
              </w:rPr>
            </w:pPr>
            <w:r>
              <w:rPr>
                <w:rFonts w:ascii="Arial" w:cs="Arial" w:eastAsia="Arial" w:hAnsi="Arial"/>
                <w:sz w:val="18"/>
                <w:szCs w:val="18"/>
                <w:color w:val="auto"/>
                <w:w w:val="99"/>
              </w:rPr>
              <w:t>N/A</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1/1/2016</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35"/>
              <w:spacing w:after="0"/>
              <w:rPr>
                <w:sz w:val="20"/>
                <w:szCs w:val="20"/>
                <w:color w:val="auto"/>
              </w:rPr>
            </w:pPr>
            <w:r>
              <w:rPr>
                <w:rFonts w:ascii="Arial" w:cs="Arial" w:eastAsia="Arial" w:hAnsi="Arial"/>
                <w:sz w:val="18"/>
                <w:szCs w:val="18"/>
                <w:color w:val="auto"/>
                <w:w w:val="91"/>
              </w:rPr>
              <w:t>6.15</w:t>
            </w:r>
          </w:p>
        </w:tc>
        <w:tc>
          <w:tcPr>
            <w:tcW w:w="2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$391,815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O’Brien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151,840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99"/>
              </w:rPr>
              <w:t>N/A</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1/1/2016</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1"/>
              </w:rPr>
              <w:t>6.15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$276,575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listed represent cash awards granted to our named executive officers in 2016 and paid in fiscal 2017.</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restricted stock unit awards are described above in the “Compensation Discussion and Analysis” under the heading “Equity Compensation”.</w:t>
      </w:r>
    </w:p>
    <w:p>
      <w:pPr>
        <w:spacing w:after="0" w:line="32" w:lineRule="exact"/>
        <w:rPr>
          <w:rFonts w:ascii="Arial" w:cs="Arial" w:eastAsia="Arial" w:hAnsi="Arial"/>
          <w:sz w:val="16"/>
          <w:szCs w:val="16"/>
          <w:color w:val="auto"/>
        </w:rPr>
      </w:pPr>
    </w:p>
    <w:p>
      <w:pPr>
        <w:ind w:left="340" w:right="40" w:hanging="332"/>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Options are priced at the market closing price on the date of grant. Options have various vesting parameters, but generally vest within 48 months or less after the award is granted. Restricted stock units vest in three equal annual installments beginning on the first anniversary of the grant date.</w:t>
      </w:r>
    </w:p>
    <w:p>
      <w:pPr>
        <w:spacing w:after="0" w:line="1" w:lineRule="exact"/>
        <w:rPr>
          <w:rFonts w:ascii="Arial" w:cs="Arial" w:eastAsia="Arial" w:hAnsi="Arial"/>
          <w:sz w:val="16"/>
          <w:szCs w:val="16"/>
          <w:color w:val="auto"/>
        </w:rPr>
      </w:pPr>
    </w:p>
    <w:p>
      <w:pPr>
        <w:ind w:left="340" w:right="500" w:hanging="332"/>
        <w:spacing w:after="0" w:line="32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determined that as of the date of the grant it was not probable as defined under applicable accounting guidance that any of the performance vesting conditions for these restricted stock unit awards would be achieved and assigned a grant date fair value of $0 based on this evaluation.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of the Company’s stock as of September 30, 2016.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Outstanding Equity Awards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Equity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Incentive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Units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 (#</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 (#</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 (#</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Have Not</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Have Not</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8"/>
        </w:trPr>
        <w:tc>
          <w:tcPr>
            <w:tcW w:w="2380" w:type="dxa"/>
            <w:vAlign w:val="bottom"/>
            <w:gridSpan w:val="2"/>
            <w:vMerge w:val="continue"/>
          </w:tcPr>
          <w:p>
            <w:pPr>
              <w:spacing w:after="0"/>
              <w:rPr>
                <w:sz w:val="12"/>
                <w:szCs w:val="12"/>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180" w:type="dxa"/>
            <w:vAlign w:val="bottom"/>
          </w:tcPr>
          <w:p>
            <w:pPr>
              <w:spacing w:after="0"/>
              <w:rPr>
                <w:sz w:val="12"/>
                <w:szCs w:val="12"/>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5"/>
              </w:rPr>
              <w:t>Date</w:t>
            </w: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Vested (#) (3)</w:t>
            </w:r>
          </w:p>
        </w:tc>
        <w:tc>
          <w:tcPr>
            <w:tcW w:w="9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 xml:space="preserve">Vested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(4)</w:t>
            </w:r>
          </w:p>
        </w:tc>
        <w:tc>
          <w:tcPr>
            <w:tcW w:w="9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Vested (#) (2)</w:t>
            </w:r>
          </w:p>
        </w:tc>
        <w:tc>
          <w:tcPr>
            <w:tcW w:w="8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Vested ($)</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Christopher Anzalone</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6/11/2008</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2,500</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21.30</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6/11/2018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ind w:left="580"/>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10/8/2009</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112,650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10/8/2019</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3/4/2010</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56,325</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3/4/2020</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8/16/2010</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8/16/2020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10/21/2011</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10/21/2021</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2/16/2012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9/28/2012</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9/28/2022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5/6/2013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166,666</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33,334</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9/21/2013</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52,493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17,498</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9/21/2023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38,749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21,251</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14.54</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300,000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3/6/2025</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80" w:type="dxa"/>
            <w:vAlign w:val="bottom"/>
          </w:tcPr>
          <w:p>
            <w:pPr>
              <w:spacing w:after="0"/>
              <w:rPr>
                <w:sz w:val="12"/>
                <w:szCs w:val="12"/>
                <w:color w:val="auto"/>
              </w:rPr>
            </w:pP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83"/>
              </w:rPr>
              <w:t>2,646,000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13,333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66,667</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1/1/2026</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540,000</w:t>
            </w:r>
          </w:p>
        </w:tc>
        <w:tc>
          <w:tcPr>
            <w:tcW w:w="180" w:type="dxa"/>
            <w:vAlign w:val="bottom"/>
          </w:tcPr>
          <w:p>
            <w:pPr>
              <w:spacing w:after="0"/>
              <w:rPr>
                <w:sz w:val="12"/>
                <w:szCs w:val="12"/>
                <w:color w:val="auto"/>
              </w:rPr>
            </w:pPr>
          </w:p>
        </w:tc>
        <w:tc>
          <w:tcPr>
            <w:tcW w:w="800" w:type="dxa"/>
            <w:vAlign w:val="bottom"/>
          </w:tcPr>
          <w:p>
            <w:pPr>
              <w:ind w:left="260"/>
              <w:spacing w:after="0" w:line="149" w:lineRule="exact"/>
              <w:rPr>
                <w:sz w:val="20"/>
                <w:szCs w:val="20"/>
                <w:color w:val="auto"/>
              </w:rPr>
            </w:pPr>
            <w:r>
              <w:rPr>
                <w:rFonts w:ascii="Arial" w:cs="Arial" w:eastAsia="Arial" w:hAnsi="Arial"/>
                <w:sz w:val="14"/>
                <w:szCs w:val="14"/>
                <w:color w:val="auto"/>
                <w:w w:val="83"/>
              </w:rPr>
              <w:t>3,969,000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Kenneth Myszkowski</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3/4/2010</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3/4/2020</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8/16/2010</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8/16/2020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10/21/2011</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10/21/2021</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2/16/2012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2/16/2022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9/28/2012</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9/28/2022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5/6/2013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39,000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9/21/2013</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9/21/2023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32,291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17,709</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14.54</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18,750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31,250</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3/6/2025</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244,998</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6,666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33,334</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46,023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367,500</w:t>
            </w: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 Given</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9/28/2009</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9/28/2019</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10/26/2011</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10/26/2021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2/16/2012</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2/16/2022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9/28/2012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9/28/2022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5/6/2013</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141,667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28,333</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5/6/2023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9/21/2013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9/21/2023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32,291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17,709</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2/6/2024</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37,500</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3/6/2025</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6.15</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1/1/2026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David L. Lewis</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10/21/2011</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1"/>
              </w:rPr>
              <w:t>10/21/2021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2/16/2012</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24,500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2/16/2022</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9/28/2012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2.62</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9/28/2022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5/6/2013</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57,501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17,499</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5/6/2023</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9/21/2013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7,000</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9/21/2023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2/6/2014</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77,498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42,502</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2/6/2024</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3/6/2015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37,500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62,500</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3/6/2025</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1/1/2016</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14,166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70,834</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1/1/2026</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Patrick O’Brien</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12/2/2014</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39,375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50,625</w:t>
            </w:r>
          </w:p>
        </w:tc>
        <w:tc>
          <w:tcPr>
            <w:tcW w:w="1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12/2/2024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12/2/2014</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147,000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1/1/2016</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10,000</w:t>
            </w:r>
          </w:p>
        </w:tc>
        <w:tc>
          <w:tcPr>
            <w:tcW w:w="860" w:type="dxa"/>
            <w:vAlign w:val="bottom"/>
          </w:tcPr>
          <w:p>
            <w:pPr>
              <w:jc w:val="right"/>
              <w:spacing w:after="0"/>
              <w:rPr>
                <w:sz w:val="20"/>
                <w:szCs w:val="20"/>
                <w:color w:val="auto"/>
              </w:rPr>
            </w:pPr>
            <w:r>
              <w:rPr>
                <w:rFonts w:ascii="Arial" w:cs="Arial" w:eastAsia="Arial" w:hAnsi="Arial"/>
                <w:sz w:val="14"/>
                <w:szCs w:val="14"/>
                <w:color w:val="auto"/>
              </w:rPr>
              <w:t>50,000</w:t>
            </w:r>
          </w:p>
        </w:tc>
        <w:tc>
          <w:tcPr>
            <w:tcW w:w="18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6.15</w:t>
            </w:r>
          </w:p>
        </w:tc>
        <w:tc>
          <w:tcPr>
            <w:tcW w:w="1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1/1/2026</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220" w:hanging="332"/>
        <w:spacing w:after="0" w:line="230"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 except for the grants made on 10/8/2009 and 3/4/2010 which vested over 24 months.</w:t>
      </w:r>
    </w:p>
    <w:p>
      <w:pPr>
        <w:ind w:left="340" w:right="180" w:hanging="332"/>
        <w:spacing w:after="0" w:line="25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amounts reported for Christopher Anzalone in these columns reflect the March 2015 awards that contain performance and market-based vesting conditions and the January 2016 awards that contain performance-based vesting conditions. These awards and their vesting conditions are described above in the “Compensation Discussion and Analysis” under the heading “Equity Compensation”.</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but generally vest in three equal annual installments beginning on the first anniversary of the grant date.</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Value is based on the Company’s Common Stock closing price of $7.35 on September 30, 2016.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Exercised and Stock Vested</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options exercised or restricted stock units vested during fiscal 2016.</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0"/>
              </w:rPr>
              <w:t>Option Awards</w:t>
            </w:r>
          </w:p>
        </w:tc>
        <w:tc>
          <w:tcPr>
            <w:tcW w:w="8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4"/>
              </w:rPr>
              <w:t>Stock Awards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vMerge w:val="restart"/>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660" w:type="dxa"/>
            <w:vAlign w:val="bottom"/>
          </w:tcPr>
          <w:p>
            <w:pPr>
              <w:spacing w:after="0"/>
              <w:rPr>
                <w:sz w:val="12"/>
                <w:szCs w:val="12"/>
                <w:color w:val="auto"/>
              </w:rPr>
            </w:pP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Value Realized on</w:t>
            </w:r>
          </w:p>
        </w:tc>
        <w:tc>
          <w:tcPr>
            <w:tcW w:w="17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Exercise (1)</w:t>
            </w:r>
          </w:p>
        </w:tc>
        <w:tc>
          <w:tcPr>
            <w:tcW w:w="174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2"/>
              </w:rPr>
              <w:t>Vesting</w:t>
            </w:r>
          </w:p>
        </w:tc>
        <w:tc>
          <w:tcPr>
            <w:tcW w:w="160" w:type="dxa"/>
            <w:vAlign w:val="bottom"/>
          </w:tcPr>
          <w:p>
            <w:pPr>
              <w:spacing w:after="0"/>
              <w:rPr>
                <w:sz w:val="14"/>
                <w:szCs w:val="14"/>
                <w:color w:val="auto"/>
              </w:rPr>
            </w:pPr>
          </w:p>
        </w:tc>
        <w:tc>
          <w:tcPr>
            <w:tcW w:w="9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Vesting (2)</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105,000</w:t>
            </w:r>
          </w:p>
        </w:tc>
        <w:tc>
          <w:tcPr>
            <w:tcW w:w="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363,000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040" w:type="dxa"/>
            <w:vAlign w:val="bottom"/>
          </w:tcPr>
          <w:p>
            <w:pPr>
              <w:ind w:left="560"/>
              <w:spacing w:after="0"/>
              <w:rPr>
                <w:sz w:val="20"/>
                <w:szCs w:val="20"/>
                <w:color w:val="auto"/>
              </w:rPr>
            </w:pPr>
            <w:r>
              <w:rPr>
                <w:rFonts w:ascii="Arial" w:cs="Arial" w:eastAsia="Arial" w:hAnsi="Arial"/>
                <w:sz w:val="18"/>
                <w:szCs w:val="18"/>
                <w:color w:val="auto"/>
                <w:w w:val="83"/>
              </w:rPr>
              <w:t>20,000</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rPr>
              <w:t>119,800</w:t>
            </w:r>
          </w:p>
        </w:tc>
        <w:tc>
          <w:tcPr>
            <w:tcW w:w="1040" w:type="dxa"/>
            <w:vAlign w:val="bottom"/>
          </w:tcPr>
          <w:p>
            <w:pPr>
              <w:jc w:val="right"/>
              <w:spacing w:after="0"/>
              <w:rPr>
                <w:sz w:val="20"/>
                <w:szCs w:val="20"/>
                <w:color w:val="auto"/>
              </w:rPr>
            </w:pPr>
            <w:r>
              <w:rPr>
                <w:rFonts w:ascii="Arial" w:cs="Arial" w:eastAsia="Arial" w:hAnsi="Arial"/>
                <w:sz w:val="18"/>
                <w:szCs w:val="18"/>
                <w:color w:val="auto"/>
              </w:rPr>
              <w:t>51,667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David L. Lewis</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O’Brien</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Value is calculated as the price of the Company’s Common Stock upon exercise, less the exercise price, multiplied by the number of shares exercised.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Value is calculated as the price of the Company’s Common Stock upon vesting, multiplied by the number of shares vested.</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the following severance or change of control arrangements with its Named Executive Officers:</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Dr. Anzalone’s employment agreement:</w:t>
      </w:r>
    </w:p>
    <w:p>
      <w:pPr>
        <w:spacing w:after="0" w:line="165"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0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Executive’s duties, responsibilities, titles or offices are diminished as compared to those described in the employment agreement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w:t>
      </w:r>
    </w:p>
    <w:p>
      <w:pPr>
        <w:spacing w:after="0" w:line="1" w:lineRule="exact"/>
        <w:rPr>
          <w:sz w:val="20"/>
          <w:szCs w:val="20"/>
          <w:color w:val="auto"/>
        </w:rPr>
      </w:pPr>
    </w:p>
    <w:p>
      <w:pPr>
        <w:ind w:right="20" w:firstLine="8"/>
        <w:spacing w:after="0" w:line="254" w:lineRule="auto"/>
        <w:tabs>
          <w:tab w:leader="none" w:pos="3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highway miles from Pasadena, CA, (iii) the failure of the Company to obtain a satisfactory agreement from any successor to assume and agree to perform the obligations under this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his offer of employment by the Company, Dr. Lewis is entitled to severance pay equal to six months’ base salary upon termination of his employment without cause. Dr. Lewis’ employment was terminated effective December 13, 2016 and the Company made a severance payment in exchange for a standard release of claims.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his offer of employment by the Company, Mr. O’Brien is entitled to severance pay equal to six months’ base salary upon termination of his employment without cause only upon change of control as defined in the Company’s 2013 Incentive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entered into a severance arrangement with Dr. Given.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Additionally, pursuant to the 2004 Equity Incentive Plan and the 2013 Incentive Plan, any unvested awards held by plan participants, including the Named Executive Officers, become fully vested upon a change of control, except as otherwise determined by the Board.</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tables set forth information regarding potential termination and change of control arrangements with our executive officers had their employment been terminated on September 30, 2016:</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Payments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Triggering Event</w:t>
            </w:r>
          </w:p>
        </w:tc>
        <w:tc>
          <w:tcPr>
            <w:tcW w:w="5100" w:type="dxa"/>
            <w:vAlign w:val="bottom"/>
            <w:vMerge w:val="restart"/>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79"/>
              </w:rPr>
              <w:t>Benefits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1760" w:type="dxa"/>
            <w:vAlign w:val="bottom"/>
            <w:gridSpan w:val="2"/>
          </w:tcPr>
          <w:p>
            <w:pPr>
              <w:jc w:val="right"/>
              <w:ind w:right="177"/>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(1) ($)</w:t>
            </w: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(1) ($)</w:t>
            </w:r>
          </w:p>
        </w:tc>
        <w:tc>
          <w:tcPr>
            <w:tcW w:w="200" w:type="dxa"/>
            <w:vAlign w:val="bottom"/>
          </w:tcPr>
          <w:p>
            <w:pPr>
              <w:spacing w:after="0"/>
              <w:rPr>
                <w:sz w:val="14"/>
                <w:szCs w:val="14"/>
                <w:color w:val="auto"/>
              </w:rPr>
            </w:pPr>
          </w:p>
        </w:tc>
        <w:tc>
          <w:tcPr>
            <w:tcW w:w="86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Termination by Employer without Cause</w:t>
            </w:r>
          </w:p>
        </w:tc>
        <w:tc>
          <w:tcPr>
            <w:tcW w:w="10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Christopher Anzalone (2)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49,844</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1,562</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Kenneth Myszkowski</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81,578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Bruce D. Given</w:t>
            </w:r>
          </w:p>
        </w:tc>
        <w:tc>
          <w:tcPr>
            <w:tcW w:w="10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David L. Lewis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132,288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9,931</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Patrick O’Brien</w:t>
            </w:r>
          </w:p>
        </w:tc>
        <w:tc>
          <w:tcPr>
            <w:tcW w:w="10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by Employer without Cause following a Change in Control</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Christopher Anzalone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49,844</w:t>
            </w:r>
          </w:p>
        </w:tc>
        <w:tc>
          <w:tcPr>
            <w:tcW w:w="2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1,562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6,615,000</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303,499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6,969,905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Kenneth Myszkowski</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81,578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612,498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133,101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Bruce D. Given</w:t>
            </w:r>
          </w:p>
        </w:tc>
        <w:tc>
          <w:tcPr>
            <w:tcW w:w="1080" w:type="dxa"/>
            <w:vAlign w:val="bottom"/>
          </w:tcPr>
          <w:p>
            <w:pPr>
              <w:spacing w:after="0"/>
              <w:rPr>
                <w:sz w:val="18"/>
                <w:szCs w:val="18"/>
                <w:color w:val="auto"/>
              </w:rPr>
            </w:pPr>
          </w:p>
        </w:tc>
        <w:tc>
          <w:tcPr>
            <w:tcW w:w="8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1,837,500</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237,298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2,074,798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David L. Lewis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132,288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9,931</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196,645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ind w:left="440"/>
              <w:spacing w:after="0"/>
              <w:rPr>
                <w:sz w:val="20"/>
                <w:szCs w:val="20"/>
                <w:color w:val="auto"/>
              </w:rPr>
            </w:pPr>
            <w:r>
              <w:rPr>
                <w:rFonts w:ascii="Arial" w:cs="Arial" w:eastAsia="Arial" w:hAnsi="Arial"/>
                <w:sz w:val="18"/>
                <w:szCs w:val="18"/>
                <w:color w:val="auto"/>
              </w:rPr>
              <w:t>Patrick O’Brien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$189,800</w:t>
            </w:r>
          </w:p>
        </w:tc>
        <w:tc>
          <w:tcPr>
            <w:tcW w:w="20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147,000</w:t>
            </w: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167,831</w:t>
            </w:r>
          </w:p>
        </w:tc>
        <w:tc>
          <w:tcPr>
            <w:tcW w:w="760" w:type="dxa"/>
            <w:vAlign w:val="bottom"/>
          </w:tcPr>
          <w:p>
            <w:pPr>
              <w:jc w:val="right"/>
              <w:spacing w:after="0"/>
              <w:rPr>
                <w:sz w:val="20"/>
                <w:szCs w:val="20"/>
                <w:color w:val="auto"/>
              </w:rPr>
            </w:pPr>
            <w:r>
              <w:rPr>
                <w:rFonts w:ascii="Arial" w:cs="Arial" w:eastAsia="Arial" w:hAnsi="Arial"/>
                <w:sz w:val="18"/>
                <w:szCs w:val="18"/>
                <w:color w:val="auto"/>
              </w:rPr>
              <w:t>504,631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5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stock awards the value is calculated as the number of unvested shares multiplied by the Company’s closing stock price at September 30, 2016 of $7.35. For option awards the value is calculated as the number of shares issuable upon unvested options multiplied by difference between the Company’s closing stock price at September 30, 2016 of $7.35 less the applicable exercise price.</w:t>
      </w:r>
    </w:p>
    <w:p>
      <w:pPr>
        <w:ind w:left="460" w:right="54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 Anzalone’s employment contract also provides for payment of the values set forth above upon his resignation for “good reason” as defined in his employment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2017, and that selection is now being submitted to the stockholders.</w:t>
      </w:r>
    </w:p>
    <w:p>
      <w:pPr>
        <w:spacing w:after="0" w:line="8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order to be ratified, Proposal Three must be approved by a majority of Required Vote, assuming a quorum is present. For this purpose, abstentions will be counted as a vote against the proposal.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PROPOSAL THREE.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LLP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2016 and 2015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2016 and September 30, 2015:</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$185,500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Audit-related fees (2)</w:t>
            </w:r>
          </w:p>
        </w:tc>
        <w:tc>
          <w:tcPr>
            <w:tcW w:w="2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$ 188,750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periodic reviews of Forms 10-Q and 10-K.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Fees invoiced by RS&amp;J related to Comfort Letters and Consents for financings and registration statements, and other agreed-upon procedures.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77" w:lineRule="exact"/>
        <w:rPr>
          <w:sz w:val="20"/>
          <w:szCs w:val="20"/>
          <w:color w:val="auto"/>
        </w:rPr>
      </w:pPr>
    </w:p>
    <w:p>
      <w:pPr>
        <w:ind w:right="640" w:firstLine="456"/>
        <w:spacing w:after="0" w:line="335" w:lineRule="auto"/>
        <w:rPr>
          <w:sz w:val="20"/>
          <w:szCs w:val="20"/>
          <w:color w:val="auto"/>
        </w:rPr>
      </w:pPr>
      <w:r>
        <w:rPr>
          <w:rFonts w:ascii="Arial" w:cs="Arial" w:eastAsia="Arial" w:hAnsi="Arial"/>
          <w:sz w:val="15"/>
          <w:szCs w:val="15"/>
          <w:color w:val="auto"/>
        </w:rPr>
        <w:t>The following is the report of the Audit Committee with respect to the Company’s audited financial statements for fiscal 2016, which include the consolidated balance sheets of the Company as of September 30, 2016 and September 30, 2015, and the related consolidated statements of operations, stockholders’ equity and cash flows for the fiscal years ended September 30, 2016, September 30, 2015 and September 30, 2014, and the notes thereto.</w:t>
      </w:r>
    </w:p>
    <w:p>
      <w:pPr>
        <w:spacing w:after="0" w:line="8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The Audit Committee of the Board is comprised of three directors and operates under a written charter adopted by the Board. The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Audit Committee are Edward W. Frykman, Michael S. Perry and Mauro Ferrari. All members of the Audit Committee are “independent,” as defined in Rule 10A-3 under the Exchange Act and Rule 5605(c) of the Nasdaq Marketplace Rules, and are financially literate.</w:t>
      </w:r>
    </w:p>
    <w:p>
      <w:pPr>
        <w:spacing w:after="0" w:line="97"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2, 2016, the Audit Committee consisted of Edward W.</w:t>
      </w:r>
      <w:r>
        <w:rPr>
          <w:rFonts w:ascii="Arial" w:cs="Arial" w:eastAsia="Arial" w:hAnsi="Arial"/>
          <w:sz w:val="16"/>
          <w:szCs w:val="16"/>
          <w:b w:val="1"/>
          <w:bCs w:val="1"/>
          <w:color w:val="auto"/>
        </w:rPr>
        <w:t xml:space="preserve"> </w:t>
      </w:r>
      <w:r>
        <w:rPr>
          <w:rFonts w:ascii="Arial" w:cs="Arial" w:eastAsia="Arial" w:hAnsi="Arial"/>
          <w:sz w:val="16"/>
          <w:szCs w:val="16"/>
          <w:color w:val="auto"/>
        </w:rPr>
        <w:t>Frykman, Michael S. Perry and Mauro Ferrari.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12" w:lineRule="exact"/>
        <w:rPr>
          <w:sz w:val="20"/>
          <w:szCs w:val="20"/>
          <w:color w:val="auto"/>
        </w:rPr>
      </w:pPr>
    </w:p>
    <w:p>
      <w:pPr>
        <w:ind w:right="140" w:firstLine="456"/>
        <w:spacing w:after="0" w:line="339" w:lineRule="auto"/>
        <w:rPr>
          <w:sz w:val="20"/>
          <w:szCs w:val="20"/>
          <w:color w:val="auto"/>
        </w:rPr>
      </w:pPr>
      <w:r>
        <w:rPr>
          <w:rFonts w:ascii="Arial" w:cs="Arial" w:eastAsia="Arial" w:hAnsi="Arial"/>
          <w:sz w:val="15"/>
          <w:szCs w:val="15"/>
          <w:b w:val="1"/>
          <w:bCs w:val="1"/>
          <w:color w:val="auto"/>
        </w:rPr>
        <w:t xml:space="preserve">Conclusion. </w:t>
      </w:r>
      <w:r>
        <w:rPr>
          <w:rFonts w:ascii="Arial" w:cs="Arial" w:eastAsia="Arial" w:hAnsi="Arial"/>
          <w:sz w:val="15"/>
          <w:szCs w:val="15"/>
          <w:color w:val="auto"/>
        </w:rPr>
        <w:t>Based upon the Audit Committee’s review of the financial statements and discussions with management and RS&amp;J, the Audit 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2016, as filed with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Mauro Ferrari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S. Perry</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274" w:right="3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table sets forth the beneficial ownership of the Company’s Common Stock as of January 19, 2017,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225 South Lake Avenue, Suite 1050, Pasadena, California 91101 unless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Number and Percentage of Shares Beneficially</w:t>
            </w:r>
          </w:p>
        </w:tc>
      </w:tr>
      <w:tr>
        <w:trPr>
          <w:trHeight w:val="161"/>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20" w:type="dxa"/>
            <w:vAlign w:val="bottom"/>
            <w:tcBorders>
              <w:bottom w:val="single" w:sz="8" w:color="auto"/>
            </w:tcBorders>
            <w:gridSpan w:val="2"/>
          </w:tcPr>
          <w:p>
            <w:pPr>
              <w:jc w:val="center"/>
              <w:ind w:left="1016"/>
              <w:spacing w:after="0"/>
              <w:rPr>
                <w:sz w:val="20"/>
                <w:szCs w:val="20"/>
                <w:color w:val="auto"/>
              </w:rPr>
            </w:pPr>
            <w:r>
              <w:rPr>
                <w:rFonts w:ascii="Arial" w:cs="Arial" w:eastAsia="Arial" w:hAnsi="Arial"/>
                <w:sz w:val="14"/>
                <w:szCs w:val="14"/>
                <w:b w:val="1"/>
                <w:bCs w:val="1"/>
                <w:color w:val="auto"/>
                <w:w w:val="88"/>
              </w:rPr>
              <w:t>Owned (1)</w:t>
            </w:r>
          </w:p>
        </w:tc>
        <w:tc>
          <w:tcPr>
            <w:tcW w:w="1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2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Shares</w:t>
            </w:r>
          </w:p>
        </w:tc>
        <w:tc>
          <w:tcPr>
            <w:tcW w:w="11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r>
      <w:tr>
        <w:trPr>
          <w:trHeight w:val="176"/>
        </w:trPr>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5% Beneficial Owners</w:t>
            </w:r>
          </w:p>
        </w:tc>
        <w:tc>
          <w:tcPr>
            <w:tcW w:w="36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8"/>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Silence Therapeutics plc (2)</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72 Hammersmith Road</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London, UK</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W14 8TH</w:t>
            </w:r>
          </w:p>
        </w:tc>
        <w:tc>
          <w:tcPr>
            <w:tcW w:w="1280" w:type="dxa"/>
            <w:vAlign w:val="bottom"/>
          </w:tcPr>
          <w:p>
            <w:pPr>
              <w:jc w:val="right"/>
              <w:spacing w:after="0"/>
              <w:rPr>
                <w:sz w:val="20"/>
                <w:szCs w:val="20"/>
                <w:color w:val="auto"/>
              </w:rPr>
            </w:pPr>
            <w:r>
              <w:rPr>
                <w:rFonts w:ascii="Arial" w:cs="Arial" w:eastAsia="Arial" w:hAnsi="Arial"/>
                <w:sz w:val="18"/>
                <w:szCs w:val="18"/>
                <w:color w:val="auto"/>
              </w:rPr>
              <w:t>6,831,359</w:t>
            </w:r>
          </w:p>
        </w:tc>
        <w:tc>
          <w:tcPr>
            <w:tcW w:w="7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r>
      <w:tr>
        <w:trPr>
          <w:trHeight w:val="209"/>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BlackRock, Inc. (3)</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55 East 52nd Street</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New York, NY 10055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5,093,721</w:t>
            </w:r>
          </w:p>
        </w:tc>
        <w:tc>
          <w:tcPr>
            <w:tcW w:w="7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r>
      <w:tr>
        <w:trPr>
          <w:trHeight w:val="176"/>
        </w:trPr>
        <w:tc>
          <w:tcPr>
            <w:tcW w:w="53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Executive Officers and Directors</w:t>
            </w: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Christopher Anzalone (4)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1,570,337</w:t>
            </w:r>
          </w:p>
        </w:tc>
        <w:tc>
          <w:tcPr>
            <w:tcW w:w="7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Kenneth Myszkowski (5)</w:t>
            </w:r>
          </w:p>
        </w:tc>
        <w:tc>
          <w:tcPr>
            <w:tcW w:w="1280" w:type="dxa"/>
            <w:vAlign w:val="bottom"/>
          </w:tcPr>
          <w:p>
            <w:pPr>
              <w:jc w:val="right"/>
              <w:spacing w:after="0"/>
              <w:rPr>
                <w:sz w:val="20"/>
                <w:szCs w:val="20"/>
                <w:color w:val="auto"/>
              </w:rPr>
            </w:pPr>
            <w:r>
              <w:rPr>
                <w:rFonts w:ascii="Arial" w:cs="Arial" w:eastAsia="Arial" w:hAnsi="Arial"/>
                <w:sz w:val="18"/>
                <w:szCs w:val="18"/>
                <w:color w:val="auto"/>
              </w:rPr>
              <w:t>360,395</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Bruce D. Given (6)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736,646</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David L. Lewis (7)</w:t>
            </w:r>
          </w:p>
        </w:tc>
        <w:tc>
          <w:tcPr>
            <w:tcW w:w="1280" w:type="dxa"/>
            <w:vAlign w:val="bottom"/>
          </w:tcPr>
          <w:p>
            <w:pPr>
              <w:jc w:val="right"/>
              <w:spacing w:after="0"/>
              <w:rPr>
                <w:sz w:val="20"/>
                <w:szCs w:val="20"/>
                <w:color w:val="auto"/>
              </w:rPr>
            </w:pPr>
            <w:r>
              <w:rPr>
                <w:rFonts w:ascii="Arial" w:cs="Arial" w:eastAsia="Arial" w:hAnsi="Arial"/>
                <w:sz w:val="18"/>
                <w:szCs w:val="18"/>
                <w:color w:val="auto"/>
              </w:rPr>
              <w:t>297,665</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Patrick O’Brien (8)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83,125</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Douglass Given (9)</w:t>
            </w:r>
          </w:p>
        </w:tc>
        <w:tc>
          <w:tcPr>
            <w:tcW w:w="1280" w:type="dxa"/>
            <w:vAlign w:val="bottom"/>
          </w:tcPr>
          <w:p>
            <w:pPr>
              <w:jc w:val="right"/>
              <w:spacing w:after="0"/>
              <w:rPr>
                <w:sz w:val="20"/>
                <w:szCs w:val="20"/>
                <w:color w:val="auto"/>
              </w:rPr>
            </w:pPr>
            <w:r>
              <w:rPr>
                <w:rFonts w:ascii="Arial" w:cs="Arial" w:eastAsia="Arial" w:hAnsi="Arial"/>
                <w:sz w:val="18"/>
                <w:szCs w:val="18"/>
                <w:color w:val="auto"/>
              </w:rPr>
              <w:t>135,000</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Edward Frykman (10)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150,352</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Michael S. Perry (11)</w:t>
            </w:r>
          </w:p>
        </w:tc>
        <w:tc>
          <w:tcPr>
            <w:tcW w:w="1280" w:type="dxa"/>
            <w:vAlign w:val="bottom"/>
          </w:tcPr>
          <w:p>
            <w:pPr>
              <w:jc w:val="right"/>
              <w:spacing w:after="0"/>
              <w:rPr>
                <w:sz w:val="20"/>
                <w:szCs w:val="20"/>
                <w:color w:val="auto"/>
              </w:rPr>
            </w:pPr>
            <w:r>
              <w:rPr>
                <w:rFonts w:ascii="Arial" w:cs="Arial" w:eastAsia="Arial" w:hAnsi="Arial"/>
                <w:sz w:val="18"/>
                <w:szCs w:val="18"/>
                <w:color w:val="auto"/>
              </w:rPr>
              <w:t>152,000</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Mauro Ferrari (12)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8"/>
        </w:trPr>
        <w:tc>
          <w:tcPr>
            <w:tcW w:w="5320" w:type="dxa"/>
            <w:vAlign w:val="bottom"/>
            <w:gridSpan w:val="3"/>
          </w:tcPr>
          <w:p>
            <w:pPr>
              <w:ind w:left="440"/>
              <w:spacing w:after="0"/>
              <w:rPr>
                <w:sz w:val="20"/>
                <w:szCs w:val="20"/>
                <w:color w:val="auto"/>
              </w:rPr>
            </w:pPr>
            <w:r>
              <w:rPr>
                <w:rFonts w:ascii="Arial" w:cs="Arial" w:eastAsia="Arial" w:hAnsi="Arial"/>
                <w:sz w:val="18"/>
                <w:szCs w:val="18"/>
                <w:color w:val="auto"/>
              </w:rPr>
              <w:t>All Executive Officers and Directors as a group (9 persons)</w:t>
            </w: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1680" w:type="dxa"/>
            <w:vAlign w:val="bottom"/>
          </w:tcPr>
          <w:p>
            <w:pPr>
              <w:ind w:left="64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3,523,133</w:t>
            </w:r>
          </w:p>
        </w:tc>
        <w:tc>
          <w:tcPr>
            <w:tcW w:w="7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74,569,706 shares of Common Stock issued and outstanding as of January 19, 2017. Shares not outstanding but deemed beneficially owned by virtue of the right of a person to acquire them as of January 19, 2017, or within sixty days of such date are treated as outstanding only when determining the percentage owned by such individual and when determining the percentage owned by a group.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a Form 13D filed by Silence Therapeutics plc on January 13, 2017.</w:t>
      </w:r>
    </w:p>
    <w:p>
      <w:pPr>
        <w:spacing w:after="0" w:line="9"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an amendment to Form 13G filed by BlackRock, Inc. on January 19, 2017. According to the Form 13G/A, BlackRock has sole voting power with respect to 4,954,660 of the Arrowhead shares and sole dispositive power with respect to all of the Arrowhead shares it beneficially holds.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1,113,548 shares issuable upon the exercise of stock options that are exercisable within 60 days of January 19, 2017.</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294,706 shares issuable upon the exercise of stock options that are exercisable within 60 days of January 19, 2017 and 16,666 restricted stock units that vest within 60 days of January 19, 2017.</w:t>
      </w:r>
    </w:p>
    <w:p>
      <w:pPr>
        <w:ind w:left="460" w:right="38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493,290 shares issuable upon the exercise of stock options that are exercisable within 60 days of January 19, 2017 and 50,000 restricted stock units that vest within 60 days of January 19, 2017.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297,665 shares issuable upon the exercise of stock options that are exercisable within 60 days of January 19, 2017.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63,125 shares issuable upon the exercise of stock options that are exercisable within 60 days of January 19,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65,000 shares issuable upon the exercise of stock options that are exercisable within 60 days of January 19,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76,500 shares issuable upon the exercise of stock options that are exercisable within 60 days of January 19,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77,000 shares issuable upon the exercise of stock options that are exercisable within 60 days of January 19,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January 19, 2017.</w:t>
      </w:r>
    </w:p>
    <w:p>
      <w:pPr>
        <w:spacing w:after="0" w:line="9"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2,505,679 shares issuable upon the exercise of stock options that are exercisable within 60 days of January 19, 2017 and 66,666 restricted stock units that vest within 60 days of January 19, 2017.</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2016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56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3"/>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9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Shares to be Issued</w:t>
            </w: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00" w:type="dxa"/>
            <w:vAlign w:val="bottom"/>
          </w:tcPr>
          <w:p>
            <w:pPr>
              <w:spacing w:after="0"/>
              <w:rPr>
                <w:sz w:val="12"/>
                <w:szCs w:val="12"/>
                <w:color w:val="auto"/>
              </w:rPr>
            </w:pPr>
          </w:p>
        </w:tc>
        <w:tc>
          <w:tcPr>
            <w:tcW w:w="15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6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9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warrants and rights</w:t>
            </w:r>
          </w:p>
        </w:tc>
        <w:tc>
          <w:tcPr>
            <w:tcW w:w="100" w:type="dxa"/>
            <w:vAlign w:val="bottom"/>
          </w:tcPr>
          <w:p>
            <w:pPr>
              <w:spacing w:after="0"/>
              <w:rPr>
                <w:sz w:val="14"/>
                <w:szCs w:val="14"/>
                <w:color w:val="auto"/>
              </w:rPr>
            </w:pPr>
          </w:p>
        </w:tc>
        <w:tc>
          <w:tcPr>
            <w:tcW w:w="15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rights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column (a))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 (1)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7,469,912</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7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577,955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7.10</w:t>
            </w:r>
          </w:p>
        </w:tc>
        <w:tc>
          <w:tcPr>
            <w:tcW w:w="76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8,047,867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outstanding representing 2,514,518 and 3,632,060 shares of Common Stock under the 2004 Equity Incentive Plan and the 2013 Incentive Plan, respectively. Also includes 1,323,334 restricted stock units subject to the 2013 Incentive Plan.</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544,622 inducement option grants and 33,333 inducement restricted stock unit grants issued to newly hired employees.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Executive Officers of the Registrant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January 19, 2017 are provided below. Biographical information regarding these officers is set forth under the following table, except for Dr. Anzalone, whose biography is set forth above with our other directors.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Age</w:t>
            </w:r>
          </w:p>
        </w:tc>
        <w:tc>
          <w:tcPr>
            <w:tcW w:w="778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Kenneth A. Myszkowski</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Given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Patrick O’Brien</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560" w:firstLine="456"/>
        <w:spacing w:after="0" w:line="28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Dr. Given was a member of the Board of Directors for ICON, plc. from 2004 until</w:t>
      </w:r>
      <w:r>
        <w:rPr>
          <w:rFonts w:ascii="Arial" w:cs="Arial" w:eastAsia="Arial" w:hAnsi="Arial"/>
          <w:sz w:val="16"/>
          <w:szCs w:val="16"/>
          <w:b w:val="1"/>
          <w:bCs w:val="1"/>
          <w:color w:val="auto"/>
        </w:rPr>
        <w:t xml:space="preserve"> </w:t>
      </w:r>
      <w:r>
        <w:rPr>
          <w:rFonts w:ascii="Arial" w:cs="Arial" w:eastAsia="Arial" w:hAnsi="Arial"/>
          <w:sz w:val="16"/>
          <w:szCs w:val="16"/>
          <w:color w:val="auto"/>
        </w:rPr>
        <w:t>his retirement in 2013 and Chairman of its Board of Directors from 2010 to 2013. Dr. Given served as the President and Chief Executive Officer, and as a member of the Board of Directors of Encysive Pharmaceuticals, an R&amp;D-based commercial pharmaceutical company, roles he held from 2002 through 2007. Subsequent to his tenure at Encysive until 2011, Dr. Given was President of Bruce Given Consulting, a firm that provides consulting services to biotech companies. Since October 1, 2009, Dr. Given has been a director of Calando Pharmaceuticals, Inc., and from February 2010 until its dissolution in October 2014, Dr. Given was the Chief Executive Officer of Leonardo Biosystems, Inc., in which Arrowhead held a minority equity interest.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11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Patrick C. O’Brien</w:t>
      </w:r>
      <w:r>
        <w:rPr>
          <w:rFonts w:ascii="Arial" w:cs="Arial" w:eastAsia="Arial" w:hAnsi="Arial"/>
          <w:sz w:val="18"/>
          <w:szCs w:val="18"/>
          <w:color w:val="auto"/>
        </w:rPr>
        <w:t>, General Counsel, joined the Company in December 2014. Mr. O’Brien has practiced in the healthcare legal field for over 20 years.</w:t>
      </w:r>
      <w:r>
        <w:rPr>
          <w:rFonts w:ascii="Arial" w:cs="Arial" w:eastAsia="Arial" w:hAnsi="Arial"/>
          <w:sz w:val="18"/>
          <w:szCs w:val="18"/>
          <w:b w:val="1"/>
          <w:bCs w:val="1"/>
          <w:color w:val="auto"/>
        </w:rPr>
        <w:t xml:space="preserve"> </w:t>
      </w:r>
      <w:r>
        <w:rPr>
          <w:rFonts w:ascii="Arial" w:cs="Arial" w:eastAsia="Arial" w:hAnsi="Arial"/>
          <w:sz w:val="18"/>
          <w:szCs w:val="18"/>
          <w:color w:val="auto"/>
        </w:rPr>
        <w:t>Before joining the Company, from 2012 to 2014, Mr. O’Brien was with Shire,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 2010, Mr. O’Brien was a partner in Burke O’Neil LLC. From 2001—2009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2016, all of its officers, directors and significant stockholders complied with all applicable filing requirements under Section 16(a).</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5"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APPROVAL OF RELATED-PARTY TRANSACTIONS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2016,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Vincent Anzalone earned base salary and bonus of $218,266 during fiscal 2016 and $85,898 thus far in fiscal 2017. His current base salary is $190,384.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January 2016, Mr. Anzalone was awarded options to purchase 40,000 shares of the Company’s Common Stock at $6.15 for performance in 2015 which vest over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four years from the date of grant. The exercise price is equal to the fair market value of the shares on the date of grant. The grant date fair value of the option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$184,383. In January 2017, Mr. Anzalone was awarded 65,000 restricted stock units for performance in 2016, and this award vests two years from the anniversary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 of the grant. The grant date fair value of this award is $100,750.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u w:val="single" w:color="auto"/>
          <w:color w:val="auto"/>
        </w:rPr>
        <w:t>The Company will mail, without charge to any stockholder upon written request, a copy of the Company’s Annual Report on Form 10-K for the year ended September 30, 2016 including the financial statements, schedules and a list of exhibits. Requests should be sent to Arrowhead Pharmaceuticals, Inc., 225 S. Lake Avenue, Suite 1050, Pasadena, CA 91101, Attn: Corporate Secretary, Phone (626) 304-3400.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Sharing the Same Address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31, 2017</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240" w:top="274" w:right="39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gridSpan w:val="5"/>
          </w:tcPr>
          <w:p>
            <w:pPr>
              <w:spacing w:after="0"/>
              <w:rPr>
                <w:sz w:val="20"/>
                <w:szCs w:val="20"/>
                <w:color w:val="auto"/>
              </w:rPr>
            </w:pPr>
            <w:r>
              <w:rPr>
                <w:rFonts w:ascii="Arial" w:cs="Arial" w:eastAsia="Arial" w:hAnsi="Arial"/>
                <w:sz w:val="14"/>
                <w:szCs w:val="14"/>
                <w:color w:val="FFFFFF"/>
                <w:w w:val="95"/>
              </w:rPr>
              <w:t>IMPORTANT ANNUAL MEETING INFORMATION 000004 ENDORSEMENT LINE SACKPACK MR A SAMPLE DESIGNATION (IF ANY) ADD 1 ADD 2 ADD 3</w:t>
            </w:r>
          </w:p>
        </w:tc>
        <w:tc>
          <w:tcPr>
            <w:tcW w:w="1980" w:type="dxa"/>
            <w:vAlign w:val="bottom"/>
          </w:tcPr>
          <w:p>
            <w:pPr>
              <w:ind w:left="180"/>
              <w:spacing w:after="0"/>
              <w:rPr>
                <w:sz w:val="20"/>
                <w:szCs w:val="20"/>
                <w:color w:val="auto"/>
              </w:rPr>
            </w:pPr>
            <w:r>
              <w:rPr>
                <w:rFonts w:ascii="Arial" w:cs="Arial" w:eastAsia="Arial" w:hAnsi="Arial"/>
                <w:sz w:val="14"/>
                <w:szCs w:val="14"/>
                <w:color w:val="FFFFFF"/>
              </w:rPr>
              <w:t>4 ADD 5 ADD 6</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000000000.000000 ext 000000000.000000 ext 000000000.000000 ext 000000000.000000 ext 000000000.000000 ext 000000000.000000 ext Electronic Voting InstructionsADDvailable 24 hours a day,C123456789daysa</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week! Instead of mailing your proxy, you may choose one of the voting methods outlined below to vote your proxy. VALIDATION DETAILS ARE LOCATED BELOW IN THE TITLE BAR. Proxies submitted</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by the Internet or telephone must be received by 9:00 AM, Pacific Time, on March 21, 2017. Vote by Internet • Go to www.investorvote.com/ARWR • Or scan the QR code with your Smartphone • Follow the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steps outlined on the secure website Vote by telephone • Call toll free 1-800-652-VOTE (8683) within the USA, US territories &amp; Canada on  touch tone telephone • Follow the instructions provided by the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recorded message Using a black ink pen, mark your votes with an X as shown in this example. Please do not write outside the designated areas. Annual Meeting Proxy Card 1234 5678 9012 345 IF YOU HAVE</w:t>
            </w:r>
          </w:p>
        </w:tc>
      </w:tr>
      <w:tr>
        <w:trPr>
          <w:trHeight w:val="41"/>
        </w:trPr>
        <w:tc>
          <w:tcPr>
            <w:tcW w:w="5420" w:type="dxa"/>
            <w:vAlign w:val="bottom"/>
            <w:gridSpan w:val="3"/>
          </w:tcPr>
          <w:p>
            <w:pPr>
              <w:spacing w:after="0"/>
              <w:rPr>
                <w:sz w:val="20"/>
                <w:szCs w:val="20"/>
                <w:color w:val="auto"/>
              </w:rPr>
            </w:pPr>
            <w:r>
              <w:rPr>
                <w:rFonts w:ascii="Arial" w:cs="Arial" w:eastAsia="Arial" w:hAnsi="Arial"/>
                <w:sz w:val="3"/>
                <w:szCs w:val="3"/>
                <w:color w:val="FFFFFF"/>
              </w:rPr>
              <w:t>NOT VOTED VIA THE INTERNET OR TELEPHONE, FOLD ALONG THE PERFORATION,</w:t>
            </w:r>
          </w:p>
        </w:tc>
        <w:tc>
          <w:tcPr>
            <w:tcW w:w="6000" w:type="dxa"/>
            <w:vAlign w:val="bottom"/>
            <w:gridSpan w:val="3"/>
          </w:tcPr>
          <w:p>
            <w:pPr>
              <w:ind w:left="140"/>
              <w:spacing w:after="0"/>
              <w:rPr>
                <w:sz w:val="20"/>
                <w:szCs w:val="20"/>
                <w:color w:val="auto"/>
              </w:rPr>
            </w:pPr>
            <w:r>
              <w:rPr>
                <w:rFonts w:ascii="Arial" w:cs="Arial" w:eastAsia="Arial" w:hAnsi="Arial"/>
                <w:sz w:val="3"/>
                <w:szCs w:val="3"/>
                <w:color w:val="FFFFFF"/>
              </w:rPr>
              <w:t>ACH AND RETURN THE BOTTOM PORTION IN THE ENCLOSED ENVELOPE. A Proposals — The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Board of Directors recommends a vote FOR a  the nominees listed, and FOR Proposals 2 and 3. 1.DEToelect the following five directors to serve as members of the Company’s Board of Directors until the next</w:t>
            </w:r>
          </w:p>
        </w:tc>
      </w:tr>
      <w:tr>
        <w:trPr>
          <w:trHeight w:val="41"/>
        </w:trPr>
        <w:tc>
          <w:tcPr>
            <w:tcW w:w="4020" w:type="dxa"/>
            <w:vAlign w:val="bottom"/>
          </w:tcPr>
          <w:p>
            <w:pPr>
              <w:spacing w:after="0"/>
              <w:rPr>
                <w:sz w:val="20"/>
                <w:szCs w:val="20"/>
                <w:color w:val="auto"/>
              </w:rPr>
            </w:pPr>
            <w:r>
              <w:rPr>
                <w:rFonts w:ascii="Arial" w:cs="Arial" w:eastAsia="Arial" w:hAnsi="Arial"/>
                <w:sz w:val="3"/>
                <w:szCs w:val="3"/>
                <w:color w:val="FFFFFF"/>
              </w:rPr>
              <w:t>Annual Meeting or until their successors are elected: 01 - Christopher</w:t>
            </w:r>
          </w:p>
        </w:tc>
        <w:tc>
          <w:tcPr>
            <w:tcW w:w="7400" w:type="dxa"/>
            <w:vAlign w:val="bottom"/>
            <w:gridSpan w:val="5"/>
          </w:tcPr>
          <w:p>
            <w:pPr>
              <w:ind w:left="340"/>
              <w:spacing w:after="0"/>
              <w:rPr>
                <w:sz w:val="20"/>
                <w:szCs w:val="20"/>
                <w:color w:val="auto"/>
              </w:rPr>
            </w:pPr>
            <w:r>
              <w:rPr>
                <w:rFonts w:ascii="Arial" w:cs="Arial" w:eastAsia="Arial" w:hAnsi="Arial"/>
                <w:sz w:val="3"/>
                <w:szCs w:val="3"/>
                <w:color w:val="FFFFFF"/>
              </w:rPr>
              <w:t>02 - Mauro Ferrari 03 - Edward W. Frykman 04 - Douglass Given 05 - Michael S. Perry Mark here to vote FOR all nominees</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Mark here to WITHHOLD vote from all nominees For All EXCEPT - AnzaloneTwithhold authority to vote for any nominee(s), write the name(s) of such nominee(s) below. For Against Abstain 2. To approve the</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compensation paid to the Company’ named executive officers, as disclosed pursuant to Item 402 of Regulation  -K, including the compensation tables and narrative discussion. For Against Abstain 3. T  ratify</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selection of Rose, Snyder &amp; Jacobs LLP as independent auditors of the Company for the fiscal year ending September 30, 2017. B Non-Voting Items Change of Address — Please print new address below.</w:t>
            </w: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Meeting Attendance Mark box to the right if you plan   attend the Annual Meeting. C Authorized Signatures — This section must be completed for your vote to be counted. — Date and Sign Below (This Proxy</w:t>
            </w:r>
          </w:p>
        </w:tc>
      </w:tr>
      <w:tr>
        <w:trPr>
          <w:trHeight w:val="41"/>
        </w:trPr>
        <w:tc>
          <w:tcPr>
            <w:tcW w:w="11420" w:type="dxa"/>
            <w:vAlign w:val="bottom"/>
            <w:gridSpan w:val="6"/>
          </w:tcPr>
          <w:p>
            <w:pPr>
              <w:ind w:left="120"/>
              <w:spacing w:after="0"/>
              <w:rPr>
                <w:sz w:val="20"/>
                <w:szCs w:val="20"/>
                <w:color w:val="auto"/>
              </w:rPr>
            </w:pPr>
            <w:r>
              <w:rPr>
                <w:rFonts w:ascii="Arial" w:cs="Arial" w:eastAsia="Arial" w:hAnsi="Arial"/>
                <w:sz w:val="3"/>
                <w:szCs w:val="3"/>
                <w:color w:val="FFFFFF"/>
              </w:rPr>
              <w:t>ould be marked, dated and signed by the stockholder(s) exactly as his or her name appears hereon, and returned promptly in the enclosed envelope. Persons signing   a fiduciary capacity should so indicate. If</w:t>
            </w:r>
          </w:p>
        </w:tc>
      </w:tr>
      <w:tr>
        <w:trPr>
          <w:trHeight w:val="41"/>
        </w:trPr>
        <w:tc>
          <w:tcPr>
            <w:tcW w:w="4860" w:type="dxa"/>
            <w:vAlign w:val="bottom"/>
            <w:gridSpan w:val="2"/>
          </w:tcPr>
          <w:p>
            <w:pPr>
              <w:ind w:left="60"/>
              <w:spacing w:after="0"/>
              <w:rPr>
                <w:sz w:val="20"/>
                <w:szCs w:val="20"/>
                <w:color w:val="auto"/>
              </w:rPr>
            </w:pPr>
            <w:r>
              <w:rPr>
                <w:rFonts w:ascii="Arial" w:cs="Arial" w:eastAsia="Arial" w:hAnsi="Arial"/>
                <w:sz w:val="3"/>
                <w:szCs w:val="3"/>
                <w:color w:val="FFFFFF"/>
              </w:rPr>
              <w:t>hares are held by joint tenants or as community property, both should sign.) Date</w:t>
            </w:r>
          </w:p>
        </w:tc>
        <w:tc>
          <w:tcPr>
            <w:tcW w:w="6560" w:type="dxa"/>
            <w:vAlign w:val="bottom"/>
            <w:gridSpan w:val="4"/>
          </w:tcPr>
          <w:p>
            <w:pPr>
              <w:ind w:left="420"/>
              <w:spacing w:after="0"/>
              <w:rPr>
                <w:sz w:val="20"/>
                <w:szCs w:val="20"/>
                <w:color w:val="auto"/>
              </w:rPr>
            </w:pPr>
            <w:r>
              <w:rPr>
                <w:rFonts w:ascii="Arial" w:cs="Arial" w:eastAsia="Arial" w:hAnsi="Arial"/>
                <w:sz w:val="3"/>
                <w:szCs w:val="3"/>
                <w:color w:val="FFFFFF"/>
              </w:rPr>
              <w:t>— Please print date below. Signature 1 — Please keep signature within the box. Signature 2 — Please keep</w:t>
            </w:r>
          </w:p>
        </w:tc>
      </w:tr>
      <w:tr>
        <w:trPr>
          <w:trHeight w:val="41"/>
        </w:trPr>
        <w:tc>
          <w:tcPr>
            <w:tcW w:w="4020" w:type="dxa"/>
            <w:vAlign w:val="bottom"/>
          </w:tcPr>
          <w:p>
            <w:pPr>
              <w:spacing w:after="0"/>
              <w:rPr>
                <w:sz w:val="20"/>
                <w:szCs w:val="20"/>
                <w:color w:val="auto"/>
              </w:rPr>
            </w:pPr>
            <w:r>
              <w:rPr>
                <w:rFonts w:ascii="Arial" w:cs="Arial" w:eastAsia="Arial" w:hAnsi="Arial"/>
                <w:sz w:val="3"/>
                <w:szCs w:val="3"/>
                <w:color w:val="FFFFFF"/>
              </w:rPr>
              <w:t>signature within the box. C 1234567890 J N T 1 U  X 3 0 3 3 3 5 1 MR</w:t>
            </w:r>
          </w:p>
        </w:tc>
        <w:tc>
          <w:tcPr>
            <w:tcW w:w="2740" w:type="dxa"/>
            <w:vAlign w:val="bottom"/>
            <w:gridSpan w:val="3"/>
          </w:tcPr>
          <w:p>
            <w:pPr>
              <w:ind w:left="80"/>
              <w:spacing w:after="0"/>
              <w:rPr>
                <w:sz w:val="20"/>
                <w:szCs w:val="20"/>
                <w:color w:val="auto"/>
              </w:rPr>
            </w:pPr>
            <w:r>
              <w:rPr>
                <w:rFonts w:ascii="Arial" w:cs="Arial" w:eastAsia="Arial" w:hAnsi="Arial"/>
                <w:sz w:val="3"/>
                <w:szCs w:val="3"/>
                <w:color w:val="FFFFFF"/>
              </w:rPr>
              <w:t>SAMPLE(mm/dd/yyyy)THISAREA IS SET UP TO</w:t>
            </w:r>
          </w:p>
        </w:tc>
        <w:tc>
          <w:tcPr>
            <w:tcW w:w="4660" w:type="dxa"/>
            <w:vAlign w:val="bottom"/>
            <w:gridSpan w:val="2"/>
          </w:tcPr>
          <w:p>
            <w:pPr>
              <w:ind w:left="460"/>
              <w:spacing w:after="0"/>
              <w:rPr>
                <w:sz w:val="20"/>
                <w:szCs w:val="20"/>
                <w:color w:val="auto"/>
              </w:rPr>
            </w:pPr>
            <w:r>
              <w:rPr>
                <w:rFonts w:ascii="Arial" w:cs="Arial" w:eastAsia="Arial" w:hAnsi="Arial"/>
                <w:sz w:val="3"/>
                <w:szCs w:val="3"/>
                <w:color w:val="FFFFFF"/>
              </w:rPr>
              <w:t>TE 140 CHARACTERS) MR A SAMPLE AND MR A SAMPLE AND MR</w:t>
            </w:r>
          </w:p>
        </w:tc>
      </w:tr>
      <w:tr>
        <w:trPr>
          <w:trHeight w:val="213"/>
        </w:trPr>
        <w:tc>
          <w:tcPr>
            <w:tcW w:w="9440" w:type="dxa"/>
            <w:vAlign w:val="bottom"/>
            <w:gridSpan w:val="5"/>
          </w:tcPr>
          <w:p>
            <w:pPr>
              <w:spacing w:after="0"/>
              <w:rPr>
                <w:sz w:val="20"/>
                <w:szCs w:val="20"/>
                <w:color w:val="auto"/>
              </w:rPr>
            </w:pPr>
            <w:r>
              <w:rPr>
                <w:rFonts w:ascii="Arial" w:cs="Arial" w:eastAsia="Arial" w:hAnsi="Arial"/>
                <w:sz w:val="14"/>
                <w:szCs w:val="14"/>
                <w:color w:val="FFFFFF"/>
              </w:rPr>
              <w:t>A SAMPLE AND MR A SAMPLE AND MR A SAMPLE AND MR A SAMPLE AND MR A SAMPLE AND MR ACCOMMODASAMPLEAND 02I7NB</w:t>
            </w:r>
          </w:p>
        </w:tc>
        <w:tc>
          <w:tcPr>
            <w:tcW w:w="198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20"/>
                <w:szCs w:val="20"/>
                <w:color w:val="auto"/>
              </w:rPr>
            </w:pPr>
            <w:r>
              <w:rPr>
                <w:rFonts w:ascii="Arial" w:cs="Arial" w:eastAsia="Arial" w:hAnsi="Arial"/>
                <w:sz w:val="14"/>
                <w:szCs w:val="14"/>
                <w:color w:val="FFFFFF"/>
              </w:rPr>
              <w:t>Important notice regarding the Internet availability of</w:t>
            </w:r>
          </w:p>
        </w:tc>
        <w:tc>
          <w:tcPr>
            <w:tcW w:w="3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proxy materials for the Annual Meeting of shareholders.</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The Notice of the 2017 Annual Meeting of Stockholders; Company’s 2017</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Proxy Statement; Company’s Annual Report on Form 10-K for the year ended</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September 30, 2016; and Form of Proxy Card are available at:</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www.edocumentview.com/ARWR</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IF YOU HAVE NOT VOTED VIA THE INTERNET OR TELEPHONE, FOLD ALONG THE PERFORATION, DETACH AND RETURN THE BOTTOM PORTION IN THE ENCLOSED ENVELOPE.</w:t>
            </w: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Proxy — ARROWHEAD PHARMACEUTICALS, INC.</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THIS PROXY IS SOLICITED ON BEHALF OF THE BOARD OF DIRECTORS</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ANNUAL MEETING OF STOCKHOLDERS</w:t>
            </w:r>
          </w:p>
        </w:tc>
        <w:tc>
          <w:tcPr>
            <w:tcW w:w="39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60" w:type="dxa"/>
            <w:vAlign w:val="bottom"/>
          </w:tcPr>
          <w:p>
            <w:pPr>
              <w:ind w:left="100"/>
              <w:spacing w:after="0"/>
              <w:rPr>
                <w:sz w:val="20"/>
                <w:szCs w:val="20"/>
                <w:color w:val="auto"/>
              </w:rPr>
            </w:pPr>
            <w:r>
              <w:rPr>
                <w:rFonts w:ascii="Arial" w:cs="Arial" w:eastAsia="Arial" w:hAnsi="Arial"/>
                <w:sz w:val="3"/>
                <w:szCs w:val="3"/>
                <w:color w:val="FFFFFF"/>
              </w:rPr>
              <w:t>UESDAY, MARCH 21, 2017</w:t>
            </w:r>
          </w:p>
        </w:tc>
        <w:tc>
          <w:tcPr>
            <w:tcW w:w="6000" w:type="dxa"/>
            <w:vAlign w:val="bottom"/>
            <w:gridSpan w:val="2"/>
            <w:vMerge w:val="restart"/>
          </w:tcPr>
          <w:p>
            <w:pPr>
              <w:ind w:left="360"/>
              <w:spacing w:after="0" w:line="81" w:lineRule="exact"/>
              <w:rPr>
                <w:sz w:val="20"/>
                <w:szCs w:val="20"/>
                <w:color w:val="auto"/>
              </w:rPr>
            </w:pPr>
            <w:r>
              <w:rPr>
                <w:rFonts w:ascii="Arial" w:cs="Arial" w:eastAsia="Arial" w:hAnsi="Arial"/>
                <w:sz w:val="9"/>
                <w:szCs w:val="9"/>
                <w:color w:val="FFFFFF"/>
              </w:rPr>
              <w:t>hereby acknowledges receipt of the Notice of Annual Meeting of Stockholders and Proxy Statement,</w:t>
            </w:r>
          </w:p>
        </w:tc>
        <w:tc>
          <w:tcPr>
            <w:tcW w:w="0" w:type="dxa"/>
            <w:vAlign w:val="bottom"/>
          </w:tcPr>
          <w:p>
            <w:pPr>
              <w:spacing w:after="0"/>
              <w:rPr>
                <w:sz w:val="1"/>
                <w:szCs w:val="1"/>
                <w:color w:val="auto"/>
              </w:rPr>
            </w:pPr>
          </w:p>
        </w:tc>
      </w:tr>
      <w:tr>
        <w:trPr>
          <w:trHeight w:val="41"/>
        </w:trPr>
        <w:tc>
          <w:tcPr>
            <w:tcW w:w="5360" w:type="dxa"/>
            <w:vAlign w:val="bottom"/>
          </w:tcPr>
          <w:p>
            <w:pPr>
              <w:spacing w:after="0"/>
              <w:rPr>
                <w:sz w:val="20"/>
                <w:szCs w:val="20"/>
                <w:color w:val="auto"/>
              </w:rPr>
            </w:pPr>
            <w:r>
              <w:rPr>
                <w:rFonts w:ascii="Arial" w:cs="Arial" w:eastAsia="Arial" w:hAnsi="Arial"/>
                <w:sz w:val="3"/>
                <w:szCs w:val="3"/>
                <w:color w:val="FFFFFF"/>
              </w:rPr>
              <w:t>The und rsigned stockholder of ARROWHEAD PHARMACEUTICALS, INC., a Delaware</w:t>
            </w:r>
          </w:p>
        </w:tc>
        <w:tc>
          <w:tcPr>
            <w:tcW w:w="6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9260" w:type="dxa"/>
            <w:vAlign w:val="bottom"/>
            <w:gridSpan w:val="2"/>
          </w:tcPr>
          <w:p>
            <w:pPr>
              <w:spacing w:after="0" w:line="80" w:lineRule="exact"/>
              <w:rPr>
                <w:sz w:val="20"/>
                <w:szCs w:val="20"/>
                <w:color w:val="auto"/>
              </w:rPr>
            </w:pPr>
            <w:r>
              <w:rPr>
                <w:rFonts w:ascii="Arial" w:cs="Arial" w:eastAsia="Arial" w:hAnsi="Arial"/>
                <w:sz w:val="9"/>
                <w:szCs w:val="9"/>
                <w:color w:val="FFFFFF"/>
              </w:rPr>
              <w:t>each dated January 31, 2017, a   hereby appoints Christopher Anzalone and Jane Davidson, corporation,anyofthem, proxies and attorneys-in-fact with full power to each of</w:t>
            </w:r>
          </w:p>
        </w:tc>
        <w:tc>
          <w:tcPr>
            <w:tcW w:w="2100" w:type="dxa"/>
            <w:vAlign w:val="bottom"/>
          </w:tcPr>
          <w:p>
            <w:pPr>
              <w:ind w:left="360"/>
              <w:spacing w:after="0" w:line="80" w:lineRule="exact"/>
              <w:rPr>
                <w:sz w:val="20"/>
                <w:szCs w:val="20"/>
                <w:color w:val="auto"/>
              </w:rPr>
            </w:pPr>
            <w:r>
              <w:rPr>
                <w:rFonts w:ascii="Arial" w:cs="Arial" w:eastAsia="Arial" w:hAnsi="Arial"/>
                <w:sz w:val="9"/>
                <w:szCs w:val="9"/>
                <w:color w:val="FFFFFF"/>
              </w:rPr>
              <w:t>on behalf and in the name of the</w:t>
            </w: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5"/>
          <w:szCs w:val="5"/>
          <w:color w:val="FFFFFF"/>
        </w:rPr>
        <w:t>undersigned, to represent the undersigned at the Annual Meeting of Stockholders of Arrowhead Pharmaceuticals, Inc. to be held on Tuesday, March 21, 2017 at 10:00substitution,a.m.local time, at the Sheraton Pasadena, 303 E. Cordova Street, Pasadena, California 91101 and at any adjournment or adjournments thereof, and to vote all shares of capital stock that the undersigned would be entitled to vote if then and there personally present, on the matters set forth on the reverse side.</w:t>
      </w:r>
    </w:p>
    <w:p>
      <w:pPr>
        <w:spacing w:after="0" w:line="25" w:lineRule="exact"/>
        <w:rPr>
          <w:sz w:val="20"/>
          <w:szCs w:val="20"/>
          <w:color w:val="auto"/>
        </w:rPr>
      </w:pPr>
    </w:p>
    <w:p>
      <w:pPr>
        <w:ind w:right="200"/>
        <w:spacing w:after="0"/>
        <w:rPr>
          <w:sz w:val="20"/>
          <w:szCs w:val="20"/>
          <w:color w:val="auto"/>
        </w:rPr>
      </w:pPr>
      <w:r>
        <w:rPr>
          <w:rFonts w:ascii="Arial" w:cs="Arial" w:eastAsia="Arial" w:hAnsi="Arial"/>
          <w:sz w:val="6"/>
          <w:szCs w:val="6"/>
          <w:color w:val="FFFFFF"/>
        </w:rPr>
        <w:t xml:space="preserve">This Proxy, when properly executed, will be voted in the manner directed herein by the undersigned stockholder. If no direction is made, this proxy will be voted FOR the election of each director, and FOR </w:t>
      </w:r>
      <w:r>
        <w:rPr>
          <w:rFonts w:ascii="Arial" w:cs="Arial" w:eastAsia="Arial" w:hAnsi="Arial"/>
          <w:sz w:val="7"/>
          <w:szCs w:val="7"/>
          <w:color w:val="FFFFFF"/>
          <w:vertAlign w:val="subscript"/>
        </w:rPr>
        <w:t>Proxy</w:t>
      </w:r>
      <w:r>
        <w:rPr>
          <w:rFonts w:ascii="Arial" w:cs="Arial" w:eastAsia="Arial" w:hAnsi="Arial"/>
          <w:sz w:val="6"/>
          <w:szCs w:val="6"/>
          <w:color w:val="FFFFFF"/>
        </w:rPr>
        <w:t>posals 2 and 3 and as the proxy holders deem advisable on such other matters as may properly come before the meeting. This Proxy is revocable with respect to any Proposal in the manner set forth in the</w:t>
      </w:r>
    </w:p>
    <w:p>
      <w:pPr>
        <w:ind w:left="360"/>
        <w:spacing w:after="0"/>
        <w:rPr>
          <w:sz w:val="20"/>
          <w:szCs w:val="20"/>
          <w:color w:val="auto"/>
        </w:rPr>
      </w:pPr>
      <w:r>
        <w:rPr>
          <w:rFonts w:ascii="Arial" w:cs="Arial" w:eastAsia="Arial" w:hAnsi="Arial"/>
          <w:sz w:val="14"/>
          <w:szCs w:val="14"/>
          <w:color w:val="FFFFFF"/>
        </w:rPr>
        <w:t>Statement under the heading “Revocability of Proxies.”</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4"/>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30"/>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7"/>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2019-12-05T19:01:00Z</dcterms:created>
  <dcterms:modified xsi:type="dcterms:W3CDTF">2019-12-05T19:01:00Z</dcterms:modified>
</cp:coreProperties>
</file>