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001-38042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177 E. Colorado Blvd, Suite 700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Pasadena, California 91105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(626) 304-3400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and telephone number of principal executive offices) </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the registrant’s common stock outstanding as of May 1, 2025 was 138,100,435.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4"/>
        <w:gridCol w:w="3022"/>
        <w:gridCol w:w="3035"/>
        <w:gridCol w:w="202"/>
        <w:gridCol w:w="202"/>
        <w:gridCol w:w="290"/>
      </w:tblGrid>
      <w:tr>
        <w:trPr/>
        <w:tc>
          <w:tcPr>
            <w:tcW w:w="34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786d852efd74825908578bbbbae8124_10">
              <w:r>
                <w:rPr>
                  <w:rStyle w:val="InternetLink"/>
                  <w:rFonts w:ascii="Times New Roman;sans-serif" w:hAnsi="Times New Roman;sans-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786d852efd74825908578bbbbae8124_13">
              <w:r>
                <w:rPr>
                  <w:rStyle w:val="InternetLink"/>
                  <w:rFonts w:ascii="Times New Roman;sans-serif" w:hAnsi="Times New Roman;sans-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3">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8786d852efd74825908578bbbbae8124_16">
              <w:r>
                <w:rPr>
                  <w:rStyle w:val="InternetLink"/>
                  <w:rFonts w:ascii="Times New Roman;sans-serif" w:hAnsi="Times New Roman;sans-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6">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8786d852efd74825908578bbbbae8124_19">
              <w:r>
                <w:rPr>
                  <w:rStyle w:val="InternetLink"/>
                  <w:rFonts w:ascii="Times New Roman;sans-serif" w:hAnsi="Times New Roman;sans-serif"/>
                  <w:b w:val="false"/>
                  <w:color w:val="0000FF"/>
                  <w:sz w:val="20"/>
                  <w:u w:val="single"/>
                </w:rPr>
                <w:t>Consolidated Statements of Operations and Comprehensive Income (Loss)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9">
              <w:r>
                <w:rPr>
                  <w:rStyle w:val="InternetLink"/>
                  <w:rFonts w:ascii="Times New Roman;sans-serif" w:hAnsi="Times New Roman;sans-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8786d852efd74825908578bbbbae8124_22">
              <w:r>
                <w:rPr>
                  <w:rStyle w:val="InternetLink"/>
                  <w:rFonts w:ascii="Times New Roman;sans-serif" w:hAnsi="Times New Roman;sans-serif"/>
                  <w:b w:val="false"/>
                  <w:color w:val="0000FF"/>
                  <w:sz w:val="20"/>
                  <w:u w:val="single"/>
                </w:rPr>
                <w:t>Consolidated Statements of Stockholders’ Equity</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22">
              <w:r>
                <w:rPr>
                  <w:rStyle w:val="InternetLink"/>
                  <w:rFonts w:ascii="Times New Roman;sans-serif" w:hAnsi="Times New Roman;sans-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8786d852efd74825908578bbbbae8124_25">
              <w:r>
                <w:rPr>
                  <w:rStyle w:val="InternetLink"/>
                  <w:rFonts w:ascii="Times New Roman;sans-serif" w:hAnsi="Times New Roman;sans-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25">
              <w:r>
                <w:rPr>
                  <w:rStyle w:val="InternetLink"/>
                  <w:rFonts w:ascii="Times New Roman;sans-serif" w:hAnsi="Times New Roman;sans-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8786d852efd74825908578bbbbae8124_28">
              <w:r>
                <w:rPr>
                  <w:rStyle w:val="InternetLink"/>
                  <w:rFonts w:ascii="Times New Roman;sans-serif" w:hAnsi="Times New Roman;sans-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28">
              <w:r>
                <w:rPr>
                  <w:rStyle w:val="InternetLink"/>
                  <w:rFonts w:ascii="Times New Roman;sans-serif" w:hAnsi="Times New Roman;sans-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73">
              <w:r>
                <w:rPr>
                  <w:rStyle w:val="InternetLink"/>
                  <w:rFonts w:ascii="Times New Roman;sans-serif" w:hAnsi="Times New Roman;sans-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73">
              <w:r>
                <w:rPr>
                  <w:rStyle w:val="InternetLink"/>
                  <w:rFonts w:ascii="Times New Roman;sans-serif" w:hAnsi="Times New Roman;sans-serif"/>
                  <w:b w:val="false"/>
                  <w:strike w:val="false"/>
                  <w:dstrike w:val="false"/>
                  <w:color w:val="000000"/>
                  <w:sz w:val="20"/>
                  <w:u w:val="none"/>
                  <w:effect w:val="none"/>
                </w:rPr>
                <w:t>23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91">
              <w:r>
                <w:rPr>
                  <w:rStyle w:val="InternetLink"/>
                  <w:rFonts w:ascii="Times New Roman;sans-serif" w:hAnsi="Times New Roman;sans-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91">
              <w:r>
                <w:rPr>
                  <w:rStyle w:val="InternetLink"/>
                  <w:rFonts w:ascii="Times New Roman;sans-serif" w:hAnsi="Times New Roman;sans-serif"/>
                  <w:b w:val="false"/>
                  <w:strike w:val="false"/>
                  <w:dstrike w:val="false"/>
                  <w:color w:val="000000"/>
                  <w:sz w:val="20"/>
                  <w:u w:val="none"/>
                  <w:effect w:val="none"/>
                </w:rPr>
                <w:t>30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94">
              <w:r>
                <w:rPr>
                  <w:rStyle w:val="InternetLink"/>
                  <w:rFonts w:ascii="Times New Roman;sans-serif" w:hAnsi="Times New Roman;sans-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94">
              <w:r>
                <w:rPr>
                  <w:rStyle w:val="InternetLink"/>
                  <w:rFonts w:ascii="Times New Roman;sans-serif" w:hAnsi="Times New Roman;sans-serif"/>
                  <w:b w:val="false"/>
                  <w:strike w:val="false"/>
                  <w:dstrike w:val="false"/>
                  <w:color w:val="000000"/>
                  <w:sz w:val="20"/>
                  <w:u w:val="none"/>
                  <w:effect w:val="none"/>
                </w:rPr>
                <w:t>30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786d852efd74825908578bbbbae8124_97">
              <w:r>
                <w:rPr>
                  <w:rStyle w:val="InternetLink"/>
                  <w:rFonts w:ascii="Times New Roman;sans-serif" w:hAnsi="Times New Roman;sans-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97">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00">
              <w:r>
                <w:rPr>
                  <w:rStyle w:val="InternetLink"/>
                  <w:rFonts w:ascii="Times New Roman;sans-serif" w:hAnsi="Times New Roman;sans-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00">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03">
              <w:r>
                <w:rPr>
                  <w:rStyle w:val="InternetLink"/>
                  <w:rFonts w:ascii="Times New Roman;sans-serif" w:hAnsi="Times New Roman;sans-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03">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06">
              <w:r>
                <w:rPr>
                  <w:rStyle w:val="InternetLink"/>
                  <w:rFonts w:ascii="Times New Roman;sans-serif" w:hAnsi="Times New Roman;sans-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09">
              <w:r>
                <w:rPr>
                  <w:rStyle w:val="InternetLink"/>
                  <w:rFonts w:ascii="Times New Roman;sans-serif" w:hAnsi="Times New Roman;sans-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09">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12">
              <w:r>
                <w:rPr>
                  <w:rStyle w:val="InternetLink"/>
                  <w:rFonts w:ascii="Times New Roman;sans-serif" w:hAnsi="Times New Roman;sans-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15">
              <w:r>
                <w:rPr>
                  <w:rStyle w:val="InternetLink"/>
                  <w:rFonts w:ascii="Times New Roman;sans-serif" w:hAnsi="Times New Roman;sans-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15">
              <w:r>
                <w:rPr>
                  <w:rStyle w:val="InternetLink"/>
                  <w:rFonts w:ascii="Times New Roman;sans-serif" w:hAnsi="Times New Roman;sans-serif"/>
                  <w:b w:val="false"/>
                  <w:strike w:val="false"/>
                  <w:dstrike w:val="false"/>
                  <w:color w:val="000000"/>
                  <w:sz w:val="20"/>
                  <w:u w:val="none"/>
                  <w:effect w:val="none"/>
                </w:rPr>
                <w:t>31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21">
              <w:r>
                <w:rPr>
                  <w:rStyle w:val="InternetLink"/>
                  <w:rFonts w:ascii="Times New Roman;sans-serif" w:hAnsi="Times New Roman;sans-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86d852efd74825908578bbbbae8124_124">
              <w:r>
                <w:rPr>
                  <w:rStyle w:val="InternetLink"/>
                  <w:rFonts w:ascii="Times New Roman;sans-serif" w:hAnsi="Times New Roman;sans-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786d852efd74825908578bbbbae8124_124">
              <w:r>
                <w:rPr>
                  <w:rStyle w:val="InternetLink"/>
                  <w:rFonts w:ascii="Times New Roman;sans-serif" w:hAnsi="Times New Roman;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121" w:type="dxa"/>
        <w:jc w:val="center"/>
        <w:tblInd w:w="0" w:type="dxa"/>
        <w:tblLayout w:type="fixed"/>
        <w:tblCellMar>
          <w:top w:w="28" w:type="dxa"/>
          <w:left w:w="28" w:type="dxa"/>
          <w:bottom w:w="28" w:type="dxa"/>
          <w:right w:w="28" w:type="dxa"/>
        </w:tblCellMar>
      </w:tblPr>
      <w:tblGrid>
        <w:gridCol w:w="2519"/>
        <w:gridCol w:w="2209"/>
        <w:gridCol w:w="2216"/>
        <w:gridCol w:w="207"/>
        <w:gridCol w:w="938"/>
        <w:gridCol w:w="115"/>
        <w:gridCol w:w="109"/>
        <w:gridCol w:w="109"/>
        <w:gridCol w:w="109"/>
        <w:gridCol w:w="252"/>
        <w:gridCol w:w="1140"/>
        <w:gridCol w:w="198"/>
      </w:tblGrid>
      <w:tr>
        <w:trPr/>
        <w:tc>
          <w:tcPr>
            <w:tcW w:w="251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at fair value</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695,471 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1,573,498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1,139,802</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 AND STOCKHOLDERS’ EQUITY</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103,168 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royalties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 net of current portion</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393,183 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668,732 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845,571 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and stockholders’ equity:</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Authorized 290,000 shares; issued and outstanding 138,062 and 124,376 shares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2,106,864 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(1,428,163)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(1,625,523)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Arrowhead Pharmaceuticals, Inc. stockholders’ equity</w:t>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185,444 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noncontrolling interest and stockholders’ equity</w:t>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684,225 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191,063 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Noncontrolling Interest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1,573,498</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1,139,802</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789"/>
        <w:gridCol w:w="1493"/>
        <w:gridCol w:w="1509"/>
        <w:gridCol w:w="200"/>
        <w:gridCol w:w="770"/>
        <w:gridCol w:w="111"/>
        <w:gridCol w:w="111"/>
        <w:gridCol w:w="111"/>
        <w:gridCol w:w="111"/>
        <w:gridCol w:w="200"/>
        <w:gridCol w:w="821"/>
        <w:gridCol w:w="111"/>
        <w:gridCol w:w="109"/>
        <w:gridCol w:w="109"/>
        <w:gridCol w:w="109"/>
        <w:gridCol w:w="196"/>
        <w:gridCol w:w="751"/>
        <w:gridCol w:w="109"/>
        <w:gridCol w:w="109"/>
        <w:gridCol w:w="109"/>
        <w:gridCol w:w="109"/>
        <w:gridCol w:w="196"/>
        <w:gridCol w:w="800"/>
        <w:gridCol w:w="162"/>
      </w:tblGrid>
      <w:tr>
        <w:trPr/>
        <w:tc>
          <w:tcPr>
            <w:tcW w:w="17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4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542,709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545,209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3,551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161,507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126,191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325,419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266,287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(11,586)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(805)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(2,949)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 expense and noncontrolling interest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369,616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(126,996)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194,501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(265,685)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(benefit) </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including noncontrolling interest</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367,863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(126,996)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192,645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(262,372)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 net of tax</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Arrowhead Pharmaceuticals, Inc.</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attributable to Arrowhead Pharmaceuticals, Inc.:</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calculating</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available-for-sale securities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368,116</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(126,836)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192,285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(260,245)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772"/>
        <w:gridCol w:w="439"/>
        <w:gridCol w:w="443"/>
        <w:gridCol w:w="323"/>
        <w:gridCol w:w="323"/>
        <w:gridCol w:w="211"/>
        <w:gridCol w:w="109"/>
        <w:gridCol w:w="109"/>
        <w:gridCol w:w="109"/>
        <w:gridCol w:w="187"/>
        <w:gridCol w:w="405"/>
        <w:gridCol w:w="112"/>
        <w:gridCol w:w="109"/>
        <w:gridCol w:w="109"/>
        <w:gridCol w:w="109"/>
        <w:gridCol w:w="181"/>
        <w:gridCol w:w="751"/>
        <w:gridCol w:w="109"/>
        <w:gridCol w:w="109"/>
        <w:gridCol w:w="109"/>
        <w:gridCol w:w="109"/>
        <w:gridCol w:w="236"/>
        <w:gridCol w:w="649"/>
        <w:gridCol w:w="143"/>
        <w:gridCol w:w="109"/>
        <w:gridCol w:w="109"/>
        <w:gridCol w:w="109"/>
        <w:gridCol w:w="181"/>
        <w:gridCol w:w="749"/>
        <w:gridCol w:w="109"/>
        <w:gridCol w:w="109"/>
        <w:gridCol w:w="109"/>
        <w:gridCol w:w="109"/>
        <w:gridCol w:w="214"/>
        <w:gridCol w:w="589"/>
        <w:gridCol w:w="129"/>
        <w:gridCol w:w="109"/>
        <w:gridCol w:w="109"/>
        <w:gridCol w:w="109"/>
        <w:gridCol w:w="181"/>
        <w:gridCol w:w="646"/>
        <w:gridCol w:w="161"/>
      </w:tblGrid>
      <w:tr>
        <w:trPr/>
        <w:tc>
          <w:tcPr>
            <w:tcW w:w="77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124,376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1,806,000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4,750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(1,625,523)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5,619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191,063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15,209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634</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pre-funded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25,000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(507)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(175,218)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124,655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1,846,843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4,137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(1,798,608)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3,486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56,075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16,027</w:t>
            </w: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2,619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241,387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653</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367,863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138,062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230</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2,106,864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4,390</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(1,428,163)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904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684,225</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65"/>
        <w:gridCol w:w="424"/>
        <w:gridCol w:w="428"/>
        <w:gridCol w:w="323"/>
        <w:gridCol w:w="323"/>
        <w:gridCol w:w="211"/>
        <w:gridCol w:w="109"/>
        <w:gridCol w:w="109"/>
        <w:gridCol w:w="109"/>
        <w:gridCol w:w="187"/>
        <w:gridCol w:w="404"/>
        <w:gridCol w:w="112"/>
        <w:gridCol w:w="109"/>
        <w:gridCol w:w="109"/>
        <w:gridCol w:w="109"/>
        <w:gridCol w:w="181"/>
        <w:gridCol w:w="751"/>
        <w:gridCol w:w="109"/>
        <w:gridCol w:w="109"/>
        <w:gridCol w:w="109"/>
        <w:gridCol w:w="109"/>
        <w:gridCol w:w="240"/>
        <w:gridCol w:w="640"/>
        <w:gridCol w:w="147"/>
        <w:gridCol w:w="109"/>
        <w:gridCol w:w="109"/>
        <w:gridCol w:w="109"/>
        <w:gridCol w:w="181"/>
        <w:gridCol w:w="748"/>
        <w:gridCol w:w="109"/>
        <w:gridCol w:w="109"/>
        <w:gridCol w:w="109"/>
        <w:gridCol w:w="109"/>
        <w:gridCol w:w="204"/>
        <w:gridCol w:w="646"/>
        <w:gridCol w:w="123"/>
        <w:gridCol w:w="109"/>
        <w:gridCol w:w="109"/>
        <w:gridCol w:w="109"/>
        <w:gridCol w:w="181"/>
        <w:gridCol w:w="646"/>
        <w:gridCol w:w="160"/>
      </w:tblGrid>
      <w:tr>
        <w:trPr/>
        <w:tc>
          <w:tcPr>
            <w:tcW w:w="76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107,312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1,300,395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(3,222)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(1,026,030)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15,819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287,162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19,694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267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losses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1,909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(135,376)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107,500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1,320,356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(1,255)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(1,158,894)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13,307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173,714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17,750</w:t>
            </w:r>
            <w:r>
              <w:rPr>
                <w:color w:val="000000"/>
              </w:rPr>
              <w:t>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1,512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issued, net of offering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429,265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losses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(126,996)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124,133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1,768,866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(1,095)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(1,284,194)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11,611</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495,405</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589" w:type="dxa"/>
        <w:jc w:val="center"/>
        <w:tblInd w:w="0" w:type="dxa"/>
        <w:tblLayout w:type="fixed"/>
        <w:tblCellMar>
          <w:top w:w="28" w:type="dxa"/>
          <w:left w:w="28" w:type="dxa"/>
          <w:bottom w:w="28" w:type="dxa"/>
          <w:right w:w="28" w:type="dxa"/>
        </w:tblCellMar>
      </w:tblPr>
      <w:tblGrid>
        <w:gridCol w:w="2197"/>
        <w:gridCol w:w="1929"/>
        <w:gridCol w:w="1934"/>
        <w:gridCol w:w="196"/>
        <w:gridCol w:w="736"/>
        <w:gridCol w:w="109"/>
        <w:gridCol w:w="109"/>
        <w:gridCol w:w="109"/>
        <w:gridCol w:w="109"/>
        <w:gridCol w:w="196"/>
        <w:gridCol w:w="811"/>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flow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note premiums/discounts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liability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exercises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net of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Supplementary disclosure of cash flows: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Recent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presents the Company’s current pipeline:</w:t>
      </w:r>
      <w:r>
        <w:rPr>
          <w:color w:val="EE2724"/>
        </w:rPr>
        <w:t xml:space="preserve"> </w:t>
      </w:r>
    </w:p>
    <w:tbl>
      <w:tblPr>
        <w:tblW w:w="7287" w:type="dxa"/>
        <w:jc w:val="left"/>
        <w:tblInd w:w="0" w:type="dxa"/>
        <w:tblLayout w:type="fixed"/>
        <w:tblCellMar>
          <w:top w:w="28" w:type="dxa"/>
          <w:left w:w="28" w:type="dxa"/>
          <w:bottom w:w="28" w:type="dxa"/>
          <w:right w:w="28" w:type="dxa"/>
        </w:tblCellMar>
      </w:tblPr>
      <w:tblGrid>
        <w:gridCol w:w="919"/>
        <w:gridCol w:w="805"/>
        <w:gridCol w:w="810"/>
        <w:gridCol w:w="686"/>
        <w:gridCol w:w="686"/>
        <w:gridCol w:w="697"/>
        <w:gridCol w:w="289"/>
        <w:gridCol w:w="289"/>
        <w:gridCol w:w="291"/>
        <w:gridCol w:w="531"/>
        <w:gridCol w:w="531"/>
        <w:gridCol w:w="753"/>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Therapeutic Area</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 Rights</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Cardiometabolic</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plozasiran</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zodasiran</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olpasiran</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ARO-PNPLA3</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GSK-4532990</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ARO-INHBE</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ARO-ALK7</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Pulmonary</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ARO-RAGE</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SRP-1002 (ARO-MMP7)</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Sarepta</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Liver</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fazirsiran</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Takeda and 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GSK5637608</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Neuromuscular</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SRP-1001 (ARO-DUX4)</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Sarepta</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SRP-1003 (ARO-DM1)</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Sarepta</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Central Nervous System (CNS)</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SRP-1004 (ARO-ATXN2)</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Sarepta</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Other</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ARO-C3</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ARO-CFB</w:t>
            </w:r>
          </w:p>
        </w:tc>
        <w:tc>
          <w:tcPr>
            <w:tcW w:w="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 also operates an active pharmaceutical ingredient manufacturing and supporting laboratory facility in Verona, Wisconsin.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Thus far in fiscal 2025, the Company has continued to develop and advance its pipeline and partnered candidates. Several key recent developments include: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Topline results from Part 2 of a Phase 1/2 clinical study of ARO-C3, the Company’s investigational RNAi therapeutic designed to reduce liver production of complement component 3 (C3) as a potential therapy for various complement mediated diseases. ARO-C3 achieved reductions in alternative pathway complement activity and proteinuria;</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Showcased preclinical data supporting the advancement of two first-in-class clinical stage, RNAi-based investigational therapeutics being developed by the Company for the treatment of obesity and metabolic diseases;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preclinical results on ARO-ALK7, which is the first RNAi-based therapy designed to silence adipocyte expression of the ACVR1 to reduce the production of Activin receptor-like kinase 7 (ALK7), which acts as a receptor in a pathway that regulates energy homeostasis in adipose tissue. Arrowhead received regulatory clearance to initiate a Phase 1/2a clinical trial of ARO-ALK7 in New Zealand, which the company anticipates will begin dosing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 global licensing and collaboration agreement with Sarepta Therapeutics, Inc (“Sarepta”) on November 25, 2024, which closed on February 7, 2025. Closing of the transaction was subject to the expiration or termination of the waiting period under the Hart-Scott-Rodino Antitrust Improvements Act of 1976 and other customary conditions. Upon closing, the Company received $325.0 million through the purchase of 11,926,301 shares of Company common stock by Sarepta, at a price per share of $27.25, and received $500.0 million as an upfront payment on February 24, 2025. The Company will also receive $250.0 million to be paid in equal installments over five years and is eligible to receive an additional $300.0 million in near-term payments. Additionally, the Company is eligible to receive royalties on commercial sales and up to approximately $10.0 billion in future potential milestone payments;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Submitted a New Drug Application (NDA) to the U.S. Food and Drug Administration (FDA) on November 16, 2024, which was accepted for filing on January 17, 2025. The FDA provided a Prescription Drug User Fee Act (PDUFA) action date of November 18, 2025, and indicated it is not currently planning to hold an advisory committee meeting;</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GSK dosed its fifth patient in a Phase 2 trial in December 2024, triggering a $2.5 million milestone payment to the Company which was paid in the second quarter of fiscal 2025;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that the Company has dosed the first subjects in a Phase 1/2a clinical trial of ARO-INHBE; and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interim results from a Phase 1/2a clinical study of ARO-CFB at the 8th Complement-Based Drug Development Summit. The study resulted in multiple promising findings including: (1) ARO-CFB led to dose dependent reductions in circulating CFB protein by up to 90% with greater than 3 months duration, (2) single and multiple doses of ARO-CFB led to near complete inhibition of alternative pathway activity based on Wieslab AP, and (3) single and multiple doses of ARO-CFB led to near complete inhibition of alternative pathway hemolytic activity, measured by AH50.</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Consolidation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Subsidiaries refer to Arrowhead Madison, Inc., Arrowhead Australia Pty Ltd., Arrowhead Pharmaceuticals Ireland Limited, Arrowhead Pharmaceuticals NZ Limited and Visirna Therapeutics, Inc. (“Visirna”).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as of March 31, 2025 and the results of operations and cash flows for the periods presented. All intercompany transactions and balances have been eliminated. Certain prior period amounts have been reclassified to conform with the current period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2024 for more complete descriptions and discussions. Operating results and cash flows for the six months ended March 31, 2025 are not necessarily indicative of the results that may be expected for the fiscal year ending September 30,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financing have been through the sale of its equity securities, credit facility, revenue from its licensing and collaboration agreements and the sale of certain future royalties. Research and development activities have required significant investment since the Company’s inception and are expected to continue to require significant cash expenditure in the future, particularly as the Company’s pipeline of drug candidates and its headcount have both expanded. Additionally, significant investment will be required as the Company’s pipeline matures into later stage clinical trials and commercialization efforts.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of March 31, 2025, the Company had $185.7 million in cash, cash equivalents and restricted cash ($2.1 million in restricted cash) and $911.7 million in available-for-sale securities to fund operations. During the six months ended March 31, 2025, the Company’s cash, cash equivalents and restricted cash and investments balance increased by</w:t>
      </w:r>
      <w:r>
        <w:rPr>
          <w:color w:val="EE2724"/>
        </w:rPr>
        <w:t xml:space="preserve"> </w:t>
      </w:r>
      <w:r>
        <w:rPr>
          <w:rFonts w:ascii="Times New Roman;sans-serif" w:hAnsi="Times New Roman;sans-serif"/>
          <w:b w:val="false"/>
          <w:color w:val="000000"/>
          <w:sz w:val="20"/>
        </w:rPr>
        <w:t xml:space="preserve">$416.4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which was primarily due to the $500.0 million as an upfront payment and $325.0 million in the form of an equity investment under the Sarepta agreement, partially offset by ongoing expenses related to the Company’s research and development programs and repayments on the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total, the Company is eligible to receive up to $13.3 billion in additional developmental, regulatory and sales milestones, and may receive various royalties on net sales from its licensing and collaboration agreements, subject to the terms and conditions of those agreements.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significant accounting policies disclosed in the Company’s most recent Annual Report on Form 10-K for the fiscal year ended September 30, 2024.</w:t>
      </w:r>
    </w:p>
    <w:p>
      <w:pPr>
        <w:pStyle w:val="TextBody"/>
        <w:bidi w:val="0"/>
        <w:spacing w:lineRule="auto" w:line="288" w:before="240" w:after="283"/>
        <w:jc w:val="left"/>
        <w:rPr/>
      </w:pPr>
      <w:r>
        <w:rPr>
          <w:rFonts w:ascii="Times New Roman;sans-serif" w:hAnsi="Times New Roman;sans-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January 2025, the Financial Accounting Standards Board (“FASB”) issued Accounting Standard Update (“ASU”)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in November 2024, and ASU 2025-01,</w:t>
      </w:r>
      <w:r>
        <w:rPr>
          <w:color w:val="000000"/>
        </w:rPr>
        <w:t xml:space="preserve"> </w:t>
      </w:r>
      <w:r>
        <w:rPr>
          <w:rFonts w:ascii="Times New Roman;sans-serif" w:hAnsi="Times New Roman;sans-serif"/>
          <w:b w:val="false"/>
          <w:i/>
          <w:color w:val="000000"/>
          <w:sz w:val="20"/>
        </w:rPr>
        <w:t>Clarifying the Effective Date</w:t>
      </w:r>
      <w:r>
        <w:rPr>
          <w:rFonts w:ascii="Times New Roman;sans-serif" w:hAnsi="Times New Roman;sans-serif"/>
          <w:b w:val="false"/>
          <w:color w:val="000000"/>
          <w:sz w:val="20"/>
        </w:rPr>
        <w:t>. These updates require entities to provide disaggregated disclosures of income statement expenses. The ASUs do not affect the expense captions presented on the face of the income statement but instead require the disaggregation of certain expense captions into specified categories within the footnotes to the financial statements. The ASUs will become effective for the Company beginning October 1, 2027, and are not expected to have a material impact on its consolidated financial statements and related disclosures.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to improve its income tax disclosure requirements. Under the guidance, entities must annually (1) disclose specific categories in the rate reconciliation and (2) provide additional information for reconciling items that meet a quantitative threshold. This ASU will become effective for the Company beginning October 1, 2025, and is not expected to have a material impact on its consolidated financial statements and related disclosures.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is intended to improve reportable segment disclosure requirements, primarily through additional disclosures about significant segment expenses. This ASU requires public companies with a single reportable segment to provide all disclosures required under ASC 280. In addition, this ASU requires public companies to include in interim reports all disclosures related to a reportable segment’s profit or loss and assets that are currently required in annual reports. While the ASU implements further segment disclosure requirements, it does not change how an entity identifies its operating or reportable segments and it will have no impact on the Company’s consolidated financial condition, results of operations or cash flows. This ASU is applicable to the Company’s Annual Report on Form 10-K for the fiscal year ending September 30, 2025, and subsequent interim periods. Early adoption is permitted and the amendments must be applied retrospectively to all prior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2.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revenue recognized:</w:t>
      </w:r>
    </w:p>
    <w:tbl>
      <w:tblPr>
        <w:tblW w:w="5641" w:type="dxa"/>
        <w:jc w:val="center"/>
        <w:tblInd w:w="0" w:type="dxa"/>
        <w:tblLayout w:type="fixed"/>
        <w:tblCellMar>
          <w:top w:w="28" w:type="dxa"/>
          <w:left w:w="28" w:type="dxa"/>
          <w:bottom w:w="28" w:type="dxa"/>
          <w:right w:w="28" w:type="dxa"/>
        </w:tblCellMar>
      </w:tblPr>
      <w:tblGrid>
        <w:gridCol w:w="232"/>
        <w:gridCol w:w="205"/>
        <w:gridCol w:w="209"/>
        <w:gridCol w:w="226"/>
        <w:gridCol w:w="849"/>
        <w:gridCol w:w="125"/>
        <w:gridCol w:w="125"/>
        <w:gridCol w:w="125"/>
        <w:gridCol w:w="125"/>
        <w:gridCol w:w="226"/>
        <w:gridCol w:w="468"/>
        <w:gridCol w:w="125"/>
        <w:gridCol w:w="109"/>
        <w:gridCol w:w="109"/>
        <w:gridCol w:w="109"/>
        <w:gridCol w:w="196"/>
        <w:gridCol w:w="736"/>
        <w:gridCol w:w="109"/>
        <w:gridCol w:w="109"/>
        <w:gridCol w:w="109"/>
        <w:gridCol w:w="109"/>
        <w:gridCol w:w="196"/>
        <w:gridCol w:w="556"/>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Sarepta</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542,709 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balance of receivables and contract liabilities related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collaboration and license agreements:</w:t>
      </w:r>
    </w:p>
    <w:tbl>
      <w:tblPr>
        <w:tblW w:w="6625" w:type="dxa"/>
        <w:jc w:val="center"/>
        <w:tblInd w:w="0" w:type="dxa"/>
        <w:tblLayout w:type="fixed"/>
        <w:tblCellMar>
          <w:top w:w="28" w:type="dxa"/>
          <w:left w:w="28" w:type="dxa"/>
          <w:bottom w:w="28" w:type="dxa"/>
          <w:right w:w="28" w:type="dxa"/>
        </w:tblCellMar>
      </w:tblPr>
      <w:tblGrid>
        <w:gridCol w:w="1250"/>
        <w:gridCol w:w="1098"/>
        <w:gridCol w:w="1102"/>
        <w:gridCol w:w="259"/>
        <w:gridCol w:w="856"/>
        <w:gridCol w:w="144"/>
        <w:gridCol w:w="109"/>
        <w:gridCol w:w="109"/>
        <w:gridCol w:w="109"/>
        <w:gridCol w:w="411"/>
        <w:gridCol w:w="852"/>
        <w:gridCol w:w="326"/>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included in accounts receivable</w:t>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included in deferred revenue</w:t>
            </w:r>
          </w:p>
        </w:tc>
        <w:tc>
          <w:tcPr>
            <w:tcW w:w="25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GSK-HSD License Agreement</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completed its performance obligation related to this agreement, and the upfront payment of $120.0 million was fully recognized in the year ended September 30, 2022. Further,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 </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GSK-HBV Agreement, the Company received $2.7 million in December 2023, upon signing the amended GSK-HBV Agreement. Further, GSK dosed the fifth patient in a Phase 2 trial in December 2024, triggering a $2.5 million milestone payment to the Company which was paid in the second quarter of fiscal 2025. The Company is eligible to receive up to $830.0 million in development and sales milestone payments under the 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recorded an insignificant amount in accounts receivable and no liabilities.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6, 2023, Amgen completed its acquisition of Horizon and subsequently notified the Company of Amgen’s intent to terminate the HZN-457 license. Horizon exercised its right to terminate the Horizon License Agreement for convenience, which took effect on December 21,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ans-serif" w:hAnsi="Times New Roman;sans-serif"/>
          <w:b w:val="false"/>
          <w:color w:val="000000"/>
          <w:sz w:val="20"/>
          <w:shd w:fill="FFFFFF" w:val="clear"/>
        </w:rPr>
        <w:t>50/50 profit sharing</w:t>
      </w:r>
      <w:r>
        <w:rPr>
          <w:color w:val="000000"/>
        </w:rPr>
        <w:t xml:space="preserve"> </w:t>
      </w:r>
      <w:r>
        <w:rPr>
          <w:rFonts w:ascii="Times New Roman;sans-serif" w:hAnsi="Times New Roman;sans-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 xml:space="preserve">on net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allocated the total $300.0 million initial transaction price to its one distinct performance obligation for the fazirsiran license and the associated Takeda R&amp;D Services. The Company has substantially completed its performance obligation under the Takeda License Agreement by December 31, 2023. As such, all revenue has been fully recognized as of December 31, 2023. There were no further deferred revenue and contract liabilities as of March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$28.8 million as accrued expenses as of March 31, 2025 that was primarily driven by co-development and co-commercialization activities.</w:t>
      </w:r>
    </w:p>
    <w:p>
      <w:pPr>
        <w:pStyle w:val="TextBody"/>
        <w:bidi w:val="0"/>
        <w:spacing w:lineRule="auto" w:line="256"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2023, Janssen voluntarily terminated its collaboration agreement with the Company and the Company regained full rights to ARO-PNPLA3, formerly called JNJ-75220795. ARO-PNPLA3 is in Phase 1 clinical trials, which are now being developed by the Company.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on December 11, 2023, the Company entered into the GSK-HBV Agreement, as discussed above, pursuant to which GSK received an exclusive license for JNJ-3989 (formerly ARO-HBV). JNJ-3989 had previously been licensed to Janssen in October 2018.</w:t>
      </w:r>
    </w:p>
    <w:p>
      <w:pPr>
        <w:pStyle w:val="TextBody"/>
        <w:bidi w:val="0"/>
        <w:spacing w:lineRule="auto" w:line="256"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substantially completed its performance obligations under the Olpasiran Agreement. There were no contract assets and liabilities recorded as of March 31, 2025.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Investments 2019 ICAV (“Royalty Pharma”) and the Company entered into a Royalty Purchase Agreement with Royalty Pharma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 11.</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Sarepta Therapeutics, Inc.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2024, the Company entered into an Exclusive License and Collaboration Agreement (the “Sarepta Collaboration Agreement”) with Sarepta for the development and commercialization of multiple clinical and preclinical programs in rare, genetic diseases of the muscle, central nervous system, and lungs. The Company concurrently entered into a Stock Purchase Agreement (the “Stock Purchase Agreement”) with Sarepta (see Note 6).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Sarepta Collaboration Agreement, Sarepta received an exclusive worldwide license to SRP-1001 (formerly ARO-DUX4), SRP-1003 (formerly ARO-DM1), SRP-1002 (formerly ARO-MMP7), and SRP-1004 (formerly ARO-ATXN2) clinical stage programs (the “C1” programs). Sarepta also received an exclusive sublicensable worldwide license to the Company’s ARO-HTT, ARO-ATXN1, and ARO-ATXN3 preclinical stage programs (the “C2” programs). The Company will perform certain research and development activities for the C1 and C2 programs.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Sarepta may select up to six gene targets for which the Company will perform discovery, optimization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preclinical development activities to identify RNAi compounds against each selected target (the “C3” programs). Upon target acceptance, Sarepta will receive an exclusive license to the Company’s intellectual property rights to exploit compounds directed to those targets and is wholly responsible for clinical development and commercialization of each compound after the Company delivers a CTA ready data package (the "CTA package").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17 performance obligations under the Sarepta Collaboration Agreement. The four C1 licenses are distinct performance obligations from the four C1 research and development performance obligations since the customer can use and benefit from the licenses separately. The performance obligations for the licenses were satisfied during the quarter upon delivery and the research and development performance obligations will be satisfied as the work is performed. The remaining nine performance obligations include three C2 preclinical stage program licenses and research and development activities, and six C3 unidentified discovery target licenses and research and development activity. Each of the three C2 programs and the six C3 programs were determined to represent one performance obligation, as the customer cannot benefit from the use of the product license at the point of transfer until the specified research and development activities are performed. As such, each of the C2 and C3 product licenses and respective research and development work will be combined to form one performance obligation. For these nine performance obligations, revenue will be recognized over time as the work is performed.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Sarepta Collaboration Agreement, the Company received an upfront payment of $500.0 million on February 14, 2025. In addition, on February 7, 2025, the Company received $325.0 million in the form of an equity investment under the Stock Purchase Agreement. Based upon the Company's share price on February 7, 2025, (the “Closing Date”), the difference between the $325.0 million and the fair value of the shares on the Closing date resulted in a premium of $83.6 million. The premium is included as part of the total consideration of the Sarepta Collaboration Agreement for revenue recognition purposes. The Company expects to receive $250.0 million to be paid in annual installments of $50.0 million over the first five years of the agreement. The Company is also eligible receive reimbursement of certain costs related to carrying out the research and development activities for the C1 programs. The fixed consideration of $833.6 million and an estimated variable consideration of $71.2 million were allocated to all performance obligations based on their relative standalone selling price. Standalone selling prices for the product licenses were determined using an adjusted market-based approach through the net present value of the expected future cash flows for each program. The standalone selling prices for the research and development work were determined based on an expected cost plus margin approach. The fixed and estimated variable consideration of $904.9 million was allocated in accordance to the following table:</w:t>
      </w:r>
    </w:p>
    <w:tbl>
      <w:tblPr>
        <w:tblW w:w="3705" w:type="dxa"/>
        <w:jc w:val="left"/>
        <w:tblInd w:w="0" w:type="dxa"/>
        <w:tblLayout w:type="fixed"/>
        <w:tblCellMar>
          <w:top w:w="28" w:type="dxa"/>
          <w:left w:w="28" w:type="dxa"/>
          <w:bottom w:w="28" w:type="dxa"/>
          <w:right w:w="28" w:type="dxa"/>
        </w:tblCellMar>
      </w:tblPr>
      <w:tblGrid>
        <w:gridCol w:w="868"/>
        <w:gridCol w:w="762"/>
        <w:gridCol w:w="770"/>
        <w:gridCol w:w="235"/>
        <w:gridCol w:w="885"/>
        <w:gridCol w:w="185"/>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March 31, 2025</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Upfront payment</w:t>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Annual fees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premium</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Fixed consideration</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833,612 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Estimated variable consideration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transaction price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904,855 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and expenses, phase dates, probability of success, development timelines, and the discount rate. The estimates of the stand-alone selling price for research and development or other service-related performance obligations generally include forecasting the expected costs of satisfying a performance obligation at market rates. The Company identified a discount for accounting revenue recognition purposes which was allocated proportionally to each of the performance obligations based upon their standalone selling price.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will receive reimbursement of certain costs related to carrying out the research and development activities for the C1 programs as well as development milestone payments of up to $300.0 million</w:t>
      </w:r>
      <w:r>
        <w:rPr>
          <w:rFonts w:ascii="Times New Roman;sans-serif" w:hAnsi="Times New Roman;sans-serif"/>
          <w:b w:val="false"/>
          <w:color w:val="000000"/>
          <w:sz w:val="20"/>
        </w:rPr>
        <w:t xml:space="preserve">. Further, for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 programs, the Company is eligible to receive regulatory milestone payments between $110.0 million and $180.0 million per program. Variable consideration associated with the milestones that may be achieved will be allocated to the performance obligation to which it is determined to be related, which will be the respective development work that is being reimbursed and the respective programs to which the milestones relate. ARO-DM1 Development Milestones will be allocated between the license and development work based on the allocation of the standalone selling price. The Company constrained all of the ARO-DM1 Development Milestones and other development milestones as there is a high degree of uncertainty around the occurrence of those events.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eligible to receive sales milestone payments between $500.0 million and $700.0 million per program as well as tiered royalties on net sales of licensed products of up to the low double digits, subject to the terms and conditions of the Sarepta Collaboration Agreement. The Company has applied the sales-based scope exception to the sales milestones and the royalty-based payments.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Sarepta Collaboration Agreement commenced in February 2025 and may be terminated by either party in the event of a material breach as defined therein. In addition, Sarepta may voluntarily terminate the Sarepta Collaboration Agreement with 30 days' written notice to the Company if terminated prior to any regulatory approval of a licensed product. Unless earlier terminated, the Sarepta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recorded $542.7 million in revenue from Sarepta, $2.4 million in accounts receivable and $43.3 million in deferred revenue. The recognition of the remaining revenue for the performance obligations is dependent upon the time it takes to complete the respective research and development activities and in consideration of the timing of the selection of the C3 programs. Accordingly, the end dates are subject to change. The Company expects to recognize the unsatisfied performance obligations in accordance with the various agreements, and all performance obligations are currently estimated to be fully satisfied by March 31,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BALANCE SHEET ACCOUNTS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summarizes the Company’s major classes of property, plant and equipment:</w:t>
      </w:r>
      <w:r>
        <w:rPr>
          <w:color w:val="000000"/>
        </w:rPr>
        <w:t xml:space="preserve"> </w:t>
      </w:r>
    </w:p>
    <w:tbl>
      <w:tblPr>
        <w:tblW w:w="6762" w:type="dxa"/>
        <w:jc w:val="left"/>
        <w:tblInd w:w="0" w:type="dxa"/>
        <w:tblLayout w:type="fixed"/>
        <w:tblCellMar>
          <w:top w:w="28" w:type="dxa"/>
          <w:left w:w="28" w:type="dxa"/>
          <w:bottom w:w="28" w:type="dxa"/>
          <w:right w:w="28" w:type="dxa"/>
        </w:tblCellMar>
      </w:tblPr>
      <w:tblGrid>
        <w:gridCol w:w="1295"/>
        <w:gridCol w:w="1135"/>
        <w:gridCol w:w="1155"/>
        <w:gridCol w:w="237"/>
        <w:gridCol w:w="891"/>
        <w:gridCol w:w="132"/>
        <w:gridCol w:w="109"/>
        <w:gridCol w:w="109"/>
        <w:gridCol w:w="109"/>
        <w:gridCol w:w="287"/>
        <w:gridCol w:w="1078"/>
        <w:gridCol w:w="225"/>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384,803 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386,032 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property, plant and equipment for the three months ended March 31, 2025 and 2024 was $5.6 million and $4.1 million, respectively. Depreciation and amortization expense for property, plant and equipment for the six months ended March 31, 2025 and 2024 was $10.4 million and $7.9 million, respectively.</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fiscal 2025, the Company completed the build out of its manufacturing facility in Verona, Wisconsin. This resulted in the reclassification of $172.9 million from construction in progress to buildings and $13.8 million to manufacturing equipment as of March 31, 2025. Additionally, the Company began depreciating the newly completed manufacturing facility over a 39-year period and the manufacturing equipment over 7- or 10-year periods.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fiscal 2024, the Company completed the build out of its laboratory and office facilities in Verona, Wisconsin, which resulted in the reclassification of $76.0 million from construction in progress to buildings as of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120" w:after="120"/>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Accrued expenses consisted of the following as of:</w:t>
      </w:r>
    </w:p>
    <w:tbl>
      <w:tblPr>
        <w:tblW w:w="6234" w:type="dxa"/>
        <w:jc w:val="left"/>
        <w:tblInd w:w="0" w:type="dxa"/>
        <w:tblLayout w:type="fixed"/>
        <w:tblCellMar>
          <w:top w:w="28" w:type="dxa"/>
          <w:left w:w="28" w:type="dxa"/>
          <w:bottom w:w="28" w:type="dxa"/>
          <w:right w:w="28" w:type="dxa"/>
        </w:tblCellMar>
      </w:tblPr>
      <w:tblGrid>
        <w:gridCol w:w="1106"/>
        <w:gridCol w:w="975"/>
        <w:gridCol w:w="978"/>
        <w:gridCol w:w="259"/>
        <w:gridCol w:w="856"/>
        <w:gridCol w:w="144"/>
        <w:gridCol w:w="109"/>
        <w:gridCol w:w="109"/>
        <w:gridCol w:w="109"/>
        <w:gridCol w:w="313"/>
        <w:gridCol w:w="1031"/>
        <w:gridCol w:w="245"/>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September 30, 2024</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 xml:space="preserve">(in thousands) </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w:t>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28,069 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 co-development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23,351 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capital expenditures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4,206 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7,391 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Total accrued expenses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63,017 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consisted of the following:</w:t>
      </w:r>
    </w:p>
    <w:tbl>
      <w:tblPr>
        <w:tblW w:w="8052"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06"/>
        <w:gridCol w:w="872"/>
        <w:gridCol w:w="172"/>
        <w:gridCol w:w="109"/>
        <w:gridCol w:w="109"/>
        <w:gridCol w:w="109"/>
        <w:gridCol w:w="364"/>
        <w:gridCol w:w="812"/>
        <w:gridCol w:w="204"/>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910,744 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910,744 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64"/>
        <w:gridCol w:w="782"/>
        <w:gridCol w:w="204"/>
        <w:gridCol w:w="109"/>
        <w:gridCol w:w="109"/>
        <w:gridCol w:w="109"/>
        <w:gridCol w:w="414"/>
        <w:gridCol w:w="732"/>
        <w:gridCol w:w="233"/>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577,465 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577,465 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 maturity of the available-for-sale securities as of:</w:t>
      </w:r>
    </w:p>
    <w:tbl>
      <w:tblPr>
        <w:tblW w:w="4976" w:type="dxa"/>
        <w:jc w:val="left"/>
        <w:tblInd w:w="0" w:type="dxa"/>
        <w:tblLayout w:type="fixed"/>
        <w:tblCellMar>
          <w:top w:w="28" w:type="dxa"/>
          <w:left w:w="28" w:type="dxa"/>
          <w:bottom w:w="28" w:type="dxa"/>
          <w:right w:w="28" w:type="dxa"/>
        </w:tblCellMar>
      </w:tblPr>
      <w:tblGrid>
        <w:gridCol w:w="649"/>
        <w:gridCol w:w="571"/>
        <w:gridCol w:w="579"/>
        <w:gridCol w:w="237"/>
        <w:gridCol w:w="891"/>
        <w:gridCol w:w="132"/>
        <w:gridCol w:w="109"/>
        <w:gridCol w:w="109"/>
        <w:gridCol w:w="109"/>
        <w:gridCol w:w="287"/>
        <w:gridCol w:w="1078"/>
        <w:gridCol w:w="225"/>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September 30, 2024</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Within one year</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After one to two years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After two to three years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September 30, 2024, the gross unrealized losses were immaterial. The Company has determined that the available-for-sale securities that were in an unrealized loss position did not have any credit loss impairment as of March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31"/>
        <w:gridCol w:w="588"/>
        <w:gridCol w:w="591"/>
        <w:gridCol w:w="347"/>
        <w:gridCol w:w="1145"/>
        <w:gridCol w:w="193"/>
        <w:gridCol w:w="109"/>
        <w:gridCol w:w="109"/>
        <w:gridCol w:w="109"/>
        <w:gridCol w:w="383"/>
        <w:gridCol w:w="1268"/>
        <w:gridCol w:w="215"/>
        <w:gridCol w:w="109"/>
        <w:gridCol w:w="109"/>
        <w:gridCol w:w="109"/>
        <w:gridCol w:w="264"/>
        <w:gridCol w:w="548"/>
        <w:gridCol w:w="149"/>
        <w:gridCol w:w="109"/>
        <w:gridCol w:w="109"/>
        <w:gridCol w:w="109"/>
        <w:gridCol w:w="349"/>
        <w:gridCol w:w="992"/>
        <w:gridCol w:w="194"/>
        <w:gridCol w:w="109"/>
        <w:gridCol w:w="109"/>
        <w:gridCol w:w="109"/>
        <w:gridCol w:w="273"/>
        <w:gridCol w:w="273"/>
        <w:gridCol w:w="394"/>
      </w:tblGrid>
      <w:tr>
        <w:trPr/>
        <w:tc>
          <w:tcPr>
            <w:tcW w:w="73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17,146 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8,562 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annually for impairment and more frequently if potential impairment indicators exist. No impairment indicators were identified during the six months ended March 31, 2025 and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useful lives are amortized on a straight-line basis over their useful lives. Intangible assets amortization expense was $0.4 million for the three months ended March 31, 2025 and 2024, and $0.9 million for each of six months ended March 31, 2025 and 2024.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amortization expense related to intangible assets as of March 31, 2025:</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48"/>
        <w:gridCol w:w="659"/>
        <w:gridCol w:w="663"/>
        <w:gridCol w:w="196"/>
        <w:gridCol w:w="556"/>
        <w:gridCol w:w="109"/>
        <w:gridCol w:w="368"/>
        <w:gridCol w:w="368"/>
        <w:gridCol w:w="306"/>
        <w:gridCol w:w="368"/>
        <w:gridCol w:w="368"/>
        <w:gridCol w:w="181"/>
        <w:gridCol w:w="368"/>
        <w:gridCol w:w="368"/>
        <w:gridCol w:w="437"/>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124,376 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September 30, 2024, respectively, 10,134,173 and 11,492,293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2024, the Company entered into a Securities Purchase Agreement (the “Securities Purchase Agreement”) with an institutional and accredited investor for a private placement of pre-funded warrants to purchase shares of common stock with an exercise price of $0.001 per share (“Avoro Pre-Funded Warrants”). Pursuant to the Securities Purchase Agreement, the Company sold pre-funded warrants to purchase up to 917,441 shares of common stock at a purchase price of $27.25 per pre-funded warrant, for an aggregate value of approximately $25.0 million. The outstanding Avoro Pre-Funded Warrants are exercisable at any time and do not have an expiration date.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determined that the Avoro Pre-Funded Warrants are freestanding financial instruments because they (i) are immediately exercisable, (ii) do not embody an obligation for the Company to repurchase its shares, (iii) permit the holders to receive a fixed number of shares of common stock upon exercise, and (iv) are indexed to the Company’s common stock. As such, the Company evaluated the Avoro Pre-Funded Warrants to determine whether they represent instruments that require liability classification pursuant to the guidance in ASC 480. However, the Company concluded that the Avoro Pre-Funded Warrants are not a liability within the scope of ASC 480 due to their characteristics. Further, the Company determined that the Avoro Pre-Funded Warrants do not meet the definition of a derivative under ASC 815 because they do not meet the criteria regarding no or little initial net investment. Accordingly, the Company assessed the Avoro Pre-Funded Warrants relative to the guidance in ASC 815-40, </w:t>
      </w:r>
      <w:r>
        <w:rPr>
          <w:rFonts w:ascii="Times New Roman;sans-serif" w:hAnsi="Times New Roman;sans-serif"/>
          <w:b w:val="false"/>
          <w:i/>
          <w:color w:val="000000"/>
          <w:sz w:val="20"/>
        </w:rPr>
        <w:t>Contracts in Entity's Own Equity</w:t>
      </w:r>
      <w:r>
        <w:rPr>
          <w:rFonts w:ascii="Times New Roman;sans-serif" w:hAnsi="Times New Roman;sans-serif"/>
          <w:b w:val="false"/>
          <w:color w:val="000000"/>
          <w:sz w:val="20"/>
        </w:rPr>
        <w:t xml:space="preserve">, to determine the appropriate treatment. The Company concluded that the Avoro Pre-funded Warrants are both indexed to its own stock and meet all other conditions for equity classification. Accordingly, the Company has classified the Avoro Pre-funded Warrants as permanent equity. As of March 31, 2025, no shares underlying the Avoro Pre-Funded Warrants had been exercised.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Sarepta Collaboration Agreement, on November 25, 2024, the Company entered into the Stock Purchase Agreement with an affiliate of Sarepta for a private placement of shares of common stock of the Company (the “Private Placement”). Pursuant to the Stock Purchase Agreement, the Company sold 11,926,301 shares of common stock, at a price per share of $27.25, for an aggregate value of approximately $325.0 million. The Private Placement closed on February 7,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Open Market Sale Agreement and (ii) the termination of the Open Market Sale Agreement as permitted therein. The Company and Jefferies may each terminate the Open Market Sale Agreement at any time upon prior notice. As of March 31, 2025, no shares have been issued under the Open Market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2025.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land in the Verona Technology Park in Verona, Wisconsin, where it has constructed an approximately 160,000 square foot drug manufacturing facility and an approximately 140,000 square foot laboratory and office facility to support manufacturing process development and analytical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build-out of these facilities was completed, with total costs incurred of $292.6 million. The Company has an expected outstanding balance of approximately $3.7 million remaining to be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20" w:after="283"/>
        <w:jc w:val="both"/>
        <w:rPr/>
      </w:pPr>
      <w:r>
        <w:rPr>
          <w:rFonts w:ascii="Times New Roman;sans-serif" w:hAnsi="Times New Roman;sans-serif"/>
          <w:b/>
          <w:color w:val="000000"/>
          <w:sz w:val="20"/>
          <w:u w:val="single"/>
        </w:rPr>
        <w:t>Pasadena, California</w:t>
      </w:r>
      <w:r>
        <w:rPr>
          <w:rFonts w:ascii="Times New Roman;sans-serif" w:hAnsi="Times New Roman;sans-serif"/>
          <w:b w:val="false"/>
          <w:color w:val="000000"/>
          <w:sz w:val="20"/>
        </w:rPr>
        <w:t>: The Company leases 49,000 square feet of office space located at 177 East Colorado Blvd. for its corporate headquarters from 177 Colorado Owner, LLC, which lease expires on April 30, 2027. The lease contains an option to renew for one additional five-year term. The Company is not reasonably certain that it will exercise this option to renew and therefore it is not included in right-of-use assets and liabilities as of March 31, 2025.</w:t>
      </w:r>
    </w:p>
    <w:p>
      <w:pPr>
        <w:pStyle w:val="TextBody"/>
        <w:bidi w:val="0"/>
        <w:spacing w:lineRule="auto" w:line="288" w:before="120" w:after="283"/>
        <w:jc w:val="both"/>
        <w:rPr/>
      </w:pPr>
      <w:r>
        <w:rPr>
          <w:rFonts w:ascii="Times New Roman;sans-serif" w:hAnsi="Times New Roman;sans-serif"/>
          <w:b/>
          <w:color w:val="000000"/>
          <w:sz w:val="20"/>
          <w:u w:val="single"/>
        </w:rPr>
        <w:t>San Diego, California</w:t>
      </w:r>
      <w:r>
        <w:rPr>
          <w:rFonts w:ascii="Times New Roman;sans-serif" w:hAnsi="Times New Roman;sans-serif"/>
          <w:b w:val="false"/>
          <w:color w:val="000000"/>
          <w:sz w:val="20"/>
        </w:rPr>
        <w:t>: The Company leases 144,000 square feet of office and research and development laboratory space located at 10102 Hoyt Park from 11404 &amp; 11408 Sorrento Valley Owner, 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March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lease agreement, as amended, granted the Company the right to receive an Additional Tenant Improvement Allowance (“ATIA”) funded by the lessor. The Company received $30.8 million in ATIA, including a final payment of $3.1 million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jc w:val="both"/>
        <w:rPr/>
      </w:pPr>
      <w:r>
        <w:rPr>
          <w:rFonts w:ascii="Times New Roman;sans-serif" w:hAnsi="Times New Roman;sans-serif"/>
          <w:b/>
          <w:color w:val="000000"/>
          <w:sz w:val="20"/>
          <w:u w:val="single"/>
        </w:rPr>
        <w:t>Madison, Wisconsin</w:t>
      </w:r>
      <w:r>
        <w:rPr>
          <w:rFonts w:ascii="Times New Roman;sans-serif" w:hAnsi="Times New Roman;sans-serif"/>
          <w:b w:val="false"/>
          <w:color w:val="000000"/>
          <w:sz w:val="20"/>
        </w:rPr>
        <w:t>: The Company leases 107,000 square feet space located at 502 South Rosa Road for its office and laboratory facilities, which lease expires on September 30, 2031. The lease contains options to renew for two terms of five years. The Company is not reasonably certain that it will exercise this option and therefore it is not included in right-of-use assets and liabilities as of March 31,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liabilities along with their classification on the Company’s consolidated balance sheets were as follows:</w:t>
      </w:r>
    </w:p>
    <w:tbl>
      <w:tblPr>
        <w:tblW w:w="9127"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266"/>
        <w:gridCol w:w="876"/>
        <w:gridCol w:w="147"/>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6,342 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111,027 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9541" w:type="dxa"/>
        <w:jc w:val="left"/>
        <w:tblInd w:w="0" w:type="dxa"/>
        <w:tblLayout w:type="fixed"/>
        <w:tblCellMar>
          <w:top w:w="28" w:type="dxa"/>
          <w:left w:w="28" w:type="dxa"/>
          <w:bottom w:w="28" w:type="dxa"/>
          <w:right w:w="28" w:type="dxa"/>
        </w:tblCellMar>
      </w:tblPr>
      <w:tblGrid>
        <w:gridCol w:w="592"/>
        <w:gridCol w:w="520"/>
        <w:gridCol w:w="523"/>
        <w:gridCol w:w="869"/>
        <w:gridCol w:w="869"/>
        <w:gridCol w:w="872"/>
        <w:gridCol w:w="109"/>
        <w:gridCol w:w="109"/>
        <w:gridCol w:w="109"/>
        <w:gridCol w:w="229"/>
        <w:gridCol w:w="651"/>
        <w:gridCol w:w="127"/>
        <w:gridCol w:w="127"/>
        <w:gridCol w:w="127"/>
        <w:gridCol w:w="127"/>
        <w:gridCol w:w="229"/>
        <w:gridCol w:w="651"/>
        <w:gridCol w:w="127"/>
        <w:gridCol w:w="109"/>
        <w:gridCol w:w="109"/>
        <w:gridCol w:w="109"/>
        <w:gridCol w:w="210"/>
        <w:gridCol w:w="597"/>
        <w:gridCol w:w="117"/>
        <w:gridCol w:w="117"/>
        <w:gridCol w:w="117"/>
        <w:gridCol w:w="117"/>
        <w:gridCol w:w="210"/>
        <w:gridCol w:w="597"/>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Variable lease cost </w:t>
            </w:r>
            <w:r>
              <w:rPr>
                <w:rFonts w:ascii="Times New Roman;sans-serif" w:hAnsi="Times New Roman;sans-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short-term lease cost during the three and six months ended March 31, 2025 and 2024, respectively.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operating lease liabilities on an undiscounted basis as of March 31, 2025:</w:t>
      </w:r>
    </w:p>
    <w:tbl>
      <w:tblPr>
        <w:tblW w:w="5265" w:type="dxa"/>
        <w:jc w:val="left"/>
        <w:tblInd w:w="0" w:type="dxa"/>
        <w:tblLayout w:type="fixed"/>
        <w:tblCellMar>
          <w:top w:w="28" w:type="dxa"/>
          <w:left w:w="28" w:type="dxa"/>
          <w:bottom w:w="28" w:type="dxa"/>
          <w:right w:w="28" w:type="dxa"/>
        </w:tblCellMar>
      </w:tblPr>
      <w:tblGrid>
        <w:gridCol w:w="1479"/>
        <w:gridCol w:w="1299"/>
        <w:gridCol w:w="1317"/>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14,974 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180,863 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 (includes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902"/>
        <w:gridCol w:w="1627"/>
        <w:gridCol w:w="1638"/>
        <w:gridCol w:w="224"/>
        <w:gridCol w:w="639"/>
        <w:gridCol w:w="124"/>
        <w:gridCol w:w="124"/>
        <w:gridCol w:w="124"/>
        <w:gridCol w:w="124"/>
        <w:gridCol w:w="224"/>
        <w:gridCol w:w="639"/>
        <w:gridCol w:w="124"/>
        <w:gridCol w:w="109"/>
        <w:gridCol w:w="109"/>
        <w:gridCol w:w="109"/>
        <w:gridCol w:w="196"/>
        <w:gridCol w:w="556"/>
        <w:gridCol w:w="241"/>
        <w:gridCol w:w="109"/>
        <w:gridCol w:w="109"/>
        <w:gridCol w:w="109"/>
        <w:gridCol w:w="196"/>
        <w:gridCol w:w="556"/>
        <w:gridCol w:w="293"/>
      </w:tblGrid>
      <w:tr>
        <w:trPr/>
        <w:tc>
          <w:tcPr>
            <w:tcW w:w="190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amounts included in the measurement of lease liabilities:</w:t>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amended operating lease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r>
      <w:tr>
        <w:trPr/>
        <w:tc>
          <w:tcPr>
            <w:tcW w:w="51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plans that provide for equity-based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2013 Incentive Plan (the “2013 Plan”), 2,391,211 shares of the Company’s common stock are reserved for grants of stock options and restricted stock awards to employees and directors as of March 31, 2025.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Incentive Plan (the “2021 Plan”), 8,000,000 shares (subject to certain adjustments)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Company’s common stock are reserved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March 31, 2025, the total number of shares available for issuance was 2,282,102 shares, which includes 166,023 and 331,638 shares that were forfeited under the 2013 and 2021 Plans, respectively, and 6,215,559 shares have been granted under the 2021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Under the Company</w:t>
      </w:r>
      <w:r>
        <w:rPr>
          <w:color w:val="000000"/>
        </w:rPr>
        <w:t>’</w:t>
      </w:r>
      <w:r>
        <w:rPr>
          <w:rFonts w:ascii="Times New Roman;sans-serif" w:hAnsi="Times New Roman;sans-serif"/>
          <w:b w:val="false"/>
          <w:color w:val="000000"/>
          <w:sz w:val="20"/>
        </w:rPr>
        <w:t>s Inducement Plan (the “Inducement Plan”), 832,950 shares of the Company’s common stock are authorized for issuance pursuant to grants of stock options, stock appreciation rights, restricted and unrestricted stock, stock units (including restricted stock units), performance awards, cash awards, and other awards convertible into or otherwise based on shares of the Company’s common stock. Awards under the Inducement Plan may only be granted to new employees of the Company in accordance with the provisions of Rule 5635(c)(4) of the Nasdaq Listing Rules. As of March 31, 2025,</w:t>
      </w:r>
      <w:r>
        <w:rPr>
          <w:color w:val="000000"/>
        </w:rPr>
        <w:t xml:space="preserve"> </w:t>
      </w:r>
      <w:r>
        <w:rPr>
          <w:rFonts w:ascii="Times New Roman;sans-serif" w:hAnsi="Times New Roman;sans-serif"/>
          <w:b w:val="false"/>
          <w:color w:val="000000"/>
          <w:sz w:val="20"/>
        </w:rPr>
        <w:t>the total number of shares remaining available for issuance was 392,611 shares, and 507,340 shares have been granted under the Inducement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addition, prior to adoption of the Inducement Plan, the Company previously granted stand-alone inducement awards in the form of stock options and restricted stock units outside of the Company</w:t>
      </w:r>
      <w:r>
        <w:rPr>
          <w:color w:val="000000"/>
        </w:rPr>
        <w:t>’</w:t>
      </w:r>
      <w:r>
        <w:rPr>
          <w:rFonts w:ascii="Times New Roman;sans-serif" w:hAnsi="Times New Roman;sans-serif"/>
          <w:b w:val="false"/>
          <w:color w:val="000000"/>
          <w:sz w:val="20"/>
        </w:rPr>
        <w:t>s equity plans to new employees under Rule 5635(c)(4) of the Nasdaq Listing Rules. As of March 31, 2025, there were 602,355 and 151,500 shares underlying outstanding stand-alone inducement options and restricted stock units,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awards outstanding attributable to Arrowhead Pharmaceuticals, Inc.:</w:t>
      </w:r>
    </w:p>
    <w:tbl>
      <w:tblPr>
        <w:tblW w:w="9011" w:type="dxa"/>
        <w:jc w:val="center"/>
        <w:tblInd w:w="0" w:type="dxa"/>
        <w:tblLayout w:type="fixed"/>
        <w:tblCellMar>
          <w:top w:w="28" w:type="dxa"/>
          <w:left w:w="28" w:type="dxa"/>
          <w:bottom w:w="28" w:type="dxa"/>
          <w:right w:w="28" w:type="dxa"/>
        </w:tblCellMar>
      </w:tblPr>
      <w:tblGrid>
        <w:gridCol w:w="1000"/>
        <w:gridCol w:w="877"/>
        <w:gridCol w:w="882"/>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Granted and outstanding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891,211 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602,355 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1,525,717 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3,939,734 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494,009 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5,933,743 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2,391,211 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3,971,885 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1,096,364 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7,459,460 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expenses included in operating expenses:</w:t>
      </w:r>
    </w:p>
    <w:tbl>
      <w:tblPr>
        <w:tblW w:w="7008" w:type="dxa"/>
        <w:jc w:val="center"/>
        <w:tblInd w:w="0" w:type="dxa"/>
        <w:tblLayout w:type="fixed"/>
        <w:tblCellMar>
          <w:top w:w="28" w:type="dxa"/>
          <w:left w:w="28" w:type="dxa"/>
          <w:bottom w:w="28" w:type="dxa"/>
          <w:right w:w="28" w:type="dxa"/>
        </w:tblCellMar>
      </w:tblPr>
      <w:tblGrid>
        <w:gridCol w:w="728"/>
        <w:gridCol w:w="640"/>
        <w:gridCol w:w="642"/>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stock option activity for the six months ended March 31, 2025:</w:t>
      </w:r>
    </w:p>
    <w:tbl>
      <w:tblPr>
        <w:tblW w:w="759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87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2024</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1,978,516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2025</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1,525,717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March 31, 2025</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3,831,887 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values represent the amount by which the market price of the underlying stock exceeds the exercise price of the option. The total intrinsic value of the options exercised during the three months ended March 31, 2025 and 2024 was $3.7 million and $2.5 million, respectively. The total intrinsic value of the options exercised during the six months ended March 31, 2025 and 2024 was $4.6 million and $3.1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outstanding for the three months ended March 31, 2025 and 2024, was $3.0 thousand and $0.6 million, respectively. Stock-based compensation expense related to stock options outstanding for the six months ended March 31, 2025 and 2024, was $0.1 million and $2.1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pre-tax compensation expense for all outstanding unvested stock options is considered nominal.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No options were granted during the six months ended March 31, 2025 and 2024.</w:t>
      </w:r>
    </w:p>
    <w:p>
      <w:pPr>
        <w:pStyle w:val="TextBody"/>
        <w:bidi w:val="0"/>
        <w:spacing w:lineRule="auto" w:line="288" w:before="180" w:after="283"/>
        <w:ind w:left="0" w:right="0" w:firstLine="540"/>
        <w:jc w:val="both"/>
        <w:rPr/>
      </w:pPr>
      <w:r>
        <w:rPr>
          <w:rFonts w:ascii="Times New Roman;sans-serif" w:hAnsi="Times New Roman;sans-serif"/>
          <w:b/>
          <w:color w:val="000000"/>
          <w:sz w:val="20"/>
          <w:u w:val="single"/>
        </w:rPr>
        <w:t>Visirna ESOP</w:t>
      </w:r>
      <w:r>
        <w:rPr>
          <w:rFonts w:ascii="Times New Roman;sans-serif" w:hAnsi="Times New Roman;sans-serif"/>
          <w:b w:val="false"/>
          <w:color w:val="000000"/>
          <w:sz w:val="20"/>
        </w:rPr>
        <w:t>: On October 1, 2023, Visirna, a subsidiary of the Company, granted 7,500,000 stock options to its employees from the Employee Stock Option Plan (the “Visirna ESOP”), which authorizes 20,000,000 shares for issuance. The Visirna ESOP is independently managed by Visirna, including the valuation process. For the three months ended March 31, 2025 and 2024, stock-based compensation expense related to the Visirna ESOP was $0.9 million and $1.2 million, respectively. For the six months ended March 31, 2025 and 2024, stock-based compensation expense related to the Visirna ESOP was $1.9 million and $3.2 million, respectively.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including market-based, time-based and performance-based awards, have been granted under the Company’s 2013 and 2021 Plans, the Inducement Plan, and as inducements awards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RSUs:</w:t>
      </w:r>
    </w:p>
    <w:tbl>
      <w:tblPr>
        <w:tblW w:w="4826" w:type="dxa"/>
        <w:jc w:val="left"/>
        <w:tblInd w:w="0" w:type="dxa"/>
        <w:tblLayout w:type="fixed"/>
        <w:tblCellMar>
          <w:top w:w="28" w:type="dxa"/>
          <w:left w:w="28" w:type="dxa"/>
          <w:bottom w:w="28" w:type="dxa"/>
          <w:right w:w="28" w:type="dxa"/>
        </w:tblCellMar>
      </w:tblPr>
      <w:tblGrid>
        <w:gridCol w:w="950"/>
        <w:gridCol w:w="835"/>
        <w:gridCol w:w="840"/>
        <w:gridCol w:w="321"/>
        <w:gridCol w:w="321"/>
        <w:gridCol w:w="302"/>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2024</w:t>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4,913,312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(1,337,263)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2025</w:t>
            </w:r>
          </w:p>
        </w:tc>
        <w:tc>
          <w:tcPr>
            <w:tcW w:w="94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5,933,743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recorded $15.1 million and $16.0 million of expense related to RSUs, respectively. For the six months ended March 31, 2025 and 2024, the Company recorded $29.2 million and $32.2 million of expense related to RSUs, respectively. As of March 31, 2025, there was $97.9 million of total unrecognized compensation cost related to RSUs that is expected to be recognized over a weighted-average period of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employs a fair value hierarchy that prioritizes the inputs to valuation techniques used to measure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year ended September 30,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March 31, 2025 and September 30, 2024,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Company’s assets and liabilities measured at fair value on a recurring basis, and indicates the fair value hierarchy of the valuation techniques utilized by the Company: </w:t>
      </w:r>
    </w:p>
    <w:tbl>
      <w:tblPr>
        <w:tblW w:w="7874" w:type="dxa"/>
        <w:jc w:val="left"/>
        <w:tblInd w:w="0" w:type="dxa"/>
        <w:tblLayout w:type="fixed"/>
        <w:tblCellMar>
          <w:top w:w="28" w:type="dxa"/>
          <w:left w:w="28" w:type="dxa"/>
          <w:bottom w:w="28" w:type="dxa"/>
          <w:right w:w="28" w:type="dxa"/>
        </w:tblCellMar>
      </w:tblPr>
      <w:tblGrid>
        <w:gridCol w:w="1043"/>
        <w:gridCol w:w="916"/>
        <w:gridCol w:w="920"/>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87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Available-for-sale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available-for-sale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available-for-sale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LIABILITY RELATED TO THE SALE OF FUTURE ROYALTIES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March 31, 2025, the estimated effective interest rate was 6.3%.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with respect to the liability related to the sale of future royalties.</w:t>
      </w:r>
    </w:p>
    <w:tbl>
      <w:tblPr>
        <w:tblW w:w="6293" w:type="dxa"/>
        <w:jc w:val="left"/>
        <w:tblInd w:w="0" w:type="dxa"/>
        <w:tblLayout w:type="fixed"/>
        <w:tblCellMar>
          <w:top w:w="28" w:type="dxa"/>
          <w:left w:w="28" w:type="dxa"/>
          <w:bottom w:w="28" w:type="dxa"/>
          <w:right w:w="28" w:type="dxa"/>
        </w:tblCellMar>
      </w:tblPr>
      <w:tblGrid>
        <w:gridCol w:w="1010"/>
        <w:gridCol w:w="886"/>
        <w:gridCol w:w="893"/>
        <w:gridCol w:w="109"/>
        <w:gridCol w:w="109"/>
        <w:gridCol w:w="109"/>
        <w:gridCol w:w="237"/>
        <w:gridCol w:w="891"/>
        <w:gridCol w:w="132"/>
        <w:gridCol w:w="109"/>
        <w:gridCol w:w="109"/>
        <w:gridCol w:w="109"/>
        <w:gridCol w:w="287"/>
        <w:gridCol w:w="1078"/>
        <w:gridCol w:w="225"/>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Milestone payment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Ending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352,276 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341,361 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FINANCING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2024 (the “Closing Date”), the Company entered into the Financing Agreement with the guarantors party thereto, the lenders party thereto (the “Lenders”), and Sixth Street Lending Partners (“Sixth Street”), as the administrative agent and collateral agent for the Lenders. The Financing Agreement establishes a senior secured term loan facility of $500.0 million (the “Credit Facility”), consisting of $400.0 million funded on the Closing Date and an additional $100.0 million available at the Company’s option, subject to mutual agreement with Sixth Street, over the seven-year term. The loans under the Credit Facility bear interest at an annual rate 15.0%, and the interest is paid in kind and added to the outstanding principal balance of the Credit Facility each period. The outstanding principal balance of this Credit Facility, including amounts representing accrued but unpaid interest previously paid in kind, is due and payable on August 7, 2031.</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permitted to use the net proceeds for working capital, capital expenditures and general corporate purposes of the Company and its subsidiaries.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If the Company repays in full the aggregate principal outstanding under the Credit Facility and such payment in full occurs on or prior to August 7, 2028, the Company will be required to make an additional payment to the lenders under the Credit Facility on such date in an amount necessary for the lenders to achieve a multiple of two times on invested capital of the aggregate principal amount funded on the Closing Date. If such payment in full occurs after August 7, 2028, the Company will be required to make an additional payment to the lenders under the Credit Facility on such date in an amount necessary for the lenders to achieve the greater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of two times on invested capital of the aggregate principal amount funded on the Closing Date and the present value of all interest payments that would have been payable from such date through the maturity date of the Credit Facility.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26, 2024, the Company entered into an amendment to the Financing Agreement (the "Amendment") to modify, amongst other things, some of the prepayment terms of the loans under the Credit Facility, including, the prepayment terms related to the Sarepta Collaboration Agreement. The Amendment was effective on February 14, 2025, following the closing of the Sarepta Collaboration Agreement and receipt of the $500.0 million upfront payment from Sarepta. As a result, the Company paid $150.0 million of the loans under the Credit Facility during the second quarter of fiscal 2025.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Amendment was accounted for as a debt modification under ASC 470-50, </w:t>
      </w:r>
      <w:r>
        <w:rPr>
          <w:color w:val="000000"/>
        </w:rPr>
        <w:t>“</w:t>
      </w:r>
      <w:r>
        <w:rPr>
          <w:rFonts w:ascii="Times New Roman;sans-serif" w:hAnsi="Times New Roman;sans-serif"/>
          <w:b w:val="false"/>
          <w:i/>
          <w:color w:val="000000"/>
          <w:sz w:val="20"/>
        </w:rPr>
        <w:t>Debt—Modification and extinguishments</w:t>
      </w:r>
      <w:r>
        <w:rPr>
          <w:color w:val="000000"/>
        </w:rPr>
        <w:t xml:space="preserve">” </w:t>
      </w:r>
      <w:r>
        <w:rPr>
          <w:rFonts w:ascii="Times New Roman;sans-serif" w:hAnsi="Times New Roman;sans-serif"/>
          <w:b w:val="false"/>
          <w:color w:val="000000"/>
          <w:sz w:val="20"/>
        </w:rPr>
        <w:t>since the amendment did not result in substantially different terms. In connection with the Amendment, the Company did not incur significant third-party fees.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paid $1.6 million during the second quarter of fiscal 2025, representing 65% of the milestone payments from GSK under the Credit Facility term. See Note 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obligations under the Financing Agreement will be secured on a first-priority basis, subject to certain exceptions, by security interests in substantially all assets of the Company and material subsidiaries of the Company, including its intellectual property, and will be guaranteed by material subsidiaries of the Company, including foreign subsidiaries, subject to certain exceptions.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Financing Agreement contains customary covenants, including, without limitation, a financial covenant to maintain liquidity (cash, cash equivalents and investments) of at least $100.0 million if the Company</w:t>
      </w:r>
      <w:r>
        <w:rPr>
          <w:color w:val="000000"/>
        </w:rPr>
        <w:t>’</w:t>
      </w:r>
      <w:r>
        <w:rPr>
          <w:rFonts w:ascii="Times New Roman;sans-serif" w:hAnsi="Times New Roman;sans-serif"/>
          <w:b w:val="false"/>
          <w:color w:val="000000"/>
          <w:sz w:val="20"/>
        </w:rPr>
        <w:t>s market capitalization is above $1.5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The Company is subject to restrictions on sales and licensing transactions with respect to certain core intellectual property, subject to certain exceptions, including certain transactions related to areas outside the United States, United Kingdom, European Union, Japan and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Agreement contains certain embedded features that were identified and evaluated as not material to the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balance of the Credit Facility consisted of the following:</w:t>
      </w:r>
    </w:p>
    <w:tbl>
      <w:tblPr>
        <w:tblW w:w="7298" w:type="dxa"/>
        <w:jc w:val="left"/>
        <w:tblInd w:w="0" w:type="dxa"/>
        <w:tblLayout w:type="fixed"/>
        <w:tblCellMar>
          <w:top w:w="28" w:type="dxa"/>
          <w:left w:w="28" w:type="dxa"/>
          <w:bottom w:w="28" w:type="dxa"/>
          <w:right w:w="28" w:type="dxa"/>
        </w:tblCellMar>
      </w:tblPr>
      <w:tblGrid>
        <w:gridCol w:w="1371"/>
        <w:gridCol w:w="1203"/>
        <w:gridCol w:w="1220"/>
        <w:gridCol w:w="109"/>
        <w:gridCol w:w="109"/>
        <w:gridCol w:w="109"/>
        <w:gridCol w:w="237"/>
        <w:gridCol w:w="891"/>
        <w:gridCol w:w="132"/>
        <w:gridCol w:w="109"/>
        <w:gridCol w:w="109"/>
        <w:gridCol w:w="109"/>
        <w:gridCol w:w="287"/>
        <w:gridCol w:w="1078"/>
        <w:gridCol w:w="225"/>
      </w:tblGrid>
      <w:tr>
        <w:trPr/>
        <w:tc>
          <w:tcPr>
            <w:tcW w:w="137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Initial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interest on the Initial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total interest expense recognized related to the Credit Facility:</w:t>
      </w:r>
    </w:p>
    <w:tbl>
      <w:tblPr>
        <w:tblW w:w="8879" w:type="dxa"/>
        <w:jc w:val="left"/>
        <w:tblInd w:w="0" w:type="dxa"/>
        <w:tblLayout w:type="fixed"/>
        <w:tblCellMar>
          <w:top w:w="28" w:type="dxa"/>
          <w:left w:w="28" w:type="dxa"/>
          <w:bottom w:w="28" w:type="dxa"/>
          <w:right w:w="28" w:type="dxa"/>
        </w:tblCellMar>
      </w:tblPr>
      <w:tblGrid>
        <w:gridCol w:w="1299"/>
        <w:gridCol w:w="1139"/>
        <w:gridCol w:w="1146"/>
        <w:gridCol w:w="109"/>
        <w:gridCol w:w="109"/>
        <w:gridCol w:w="109"/>
        <w:gridCol w:w="236"/>
        <w:gridCol w:w="779"/>
        <w:gridCol w:w="131"/>
        <w:gridCol w:w="131"/>
        <w:gridCol w:w="131"/>
        <w:gridCol w:w="131"/>
        <w:gridCol w:w="236"/>
        <w:gridCol w:w="490"/>
        <w:gridCol w:w="131"/>
        <w:gridCol w:w="109"/>
        <w:gridCol w:w="109"/>
        <w:gridCol w:w="109"/>
        <w:gridCol w:w="216"/>
        <w:gridCol w:w="714"/>
        <w:gridCol w:w="120"/>
        <w:gridCol w:w="120"/>
        <w:gridCol w:w="120"/>
        <w:gridCol w:w="120"/>
        <w:gridCol w:w="216"/>
        <w:gridCol w:w="449"/>
        <w:gridCol w:w="170"/>
      </w:tblGrid>
      <w:tr>
        <w:trPr/>
        <w:tc>
          <w:tcPr>
            <w:tcW w:w="129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shown in the table below, related to the Credit Facility, represent the maximum payments the Company is obligated to make to the Lenders during the indicated periods. Principal repayment of up to $160.0 million is scheduled through the fifth year, in line with the contractual terms of the Credit Facility. Actual payments may vary and could be lower than the amounts presented in the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2846" w:type="dxa"/>
        <w:jc w:val="left"/>
        <w:tblInd w:w="0" w:type="dxa"/>
        <w:tblLayout w:type="fixed"/>
        <w:tblCellMar>
          <w:top w:w="28" w:type="dxa"/>
          <w:left w:w="28" w:type="dxa"/>
          <w:bottom w:w="28" w:type="dxa"/>
          <w:right w:w="28" w:type="dxa"/>
        </w:tblCellMar>
      </w:tblPr>
      <w:tblGrid>
        <w:gridCol w:w="487"/>
        <w:gridCol w:w="428"/>
        <w:gridCol w:w="434"/>
        <w:gridCol w:w="109"/>
        <w:gridCol w:w="109"/>
        <w:gridCol w:w="109"/>
        <w:gridCol w:w="211"/>
        <w:gridCol w:w="793"/>
        <w:gridCol w:w="166"/>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363,063 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NET INCOME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net income (loss) per share for the three and six months ended March 31, 2025 and 2024.</w:t>
      </w:r>
    </w:p>
    <w:tbl>
      <w:tblPr>
        <w:tblW w:w="10205" w:type="dxa"/>
        <w:jc w:val="left"/>
        <w:tblInd w:w="0" w:type="dxa"/>
        <w:tblLayout w:type="fixed"/>
        <w:tblCellMar>
          <w:top w:w="28" w:type="dxa"/>
          <w:left w:w="28" w:type="dxa"/>
          <w:bottom w:w="28" w:type="dxa"/>
          <w:right w:w="28" w:type="dxa"/>
        </w:tblCellMar>
      </w:tblPr>
      <w:tblGrid>
        <w:gridCol w:w="1647"/>
        <w:gridCol w:w="1446"/>
        <w:gridCol w:w="1452"/>
        <w:gridCol w:w="109"/>
        <w:gridCol w:w="109"/>
        <w:gridCol w:w="109"/>
        <w:gridCol w:w="196"/>
        <w:gridCol w:w="736"/>
        <w:gridCol w:w="109"/>
        <w:gridCol w:w="109"/>
        <w:gridCol w:w="109"/>
        <w:gridCol w:w="109"/>
        <w:gridCol w:w="196"/>
        <w:gridCol w:w="806"/>
        <w:gridCol w:w="109"/>
        <w:gridCol w:w="109"/>
        <w:gridCol w:w="109"/>
        <w:gridCol w:w="109"/>
        <w:gridCol w:w="196"/>
        <w:gridCol w:w="736"/>
        <w:gridCol w:w="109"/>
        <w:gridCol w:w="109"/>
        <w:gridCol w:w="109"/>
        <w:gridCol w:w="109"/>
        <w:gridCol w:w="196"/>
        <w:gridCol w:w="806"/>
        <w:gridCol w:w="157"/>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Weighted-average basic shares outstanding</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Weighted-average diluted shares outstanding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(1) Includes shares of common stock into which the Avoro Pre-Funded Warrants may be exercised. See Note 6.</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potentially dilutive securities that have been excluded from the calculation of diluted net income (loss) per share because to include them would be anti-dilutive.</w:t>
      </w:r>
    </w:p>
    <w:tbl>
      <w:tblPr>
        <w:tblW w:w="7257" w:type="dxa"/>
        <w:jc w:val="left"/>
        <w:tblInd w:w="0" w:type="dxa"/>
        <w:tblLayout w:type="fixed"/>
        <w:tblCellMar>
          <w:top w:w="28" w:type="dxa"/>
          <w:left w:w="28" w:type="dxa"/>
          <w:bottom w:w="28" w:type="dxa"/>
          <w:right w:w="28" w:type="dxa"/>
        </w:tblCellMar>
      </w:tblPr>
      <w:tblGrid>
        <w:gridCol w:w="590"/>
        <w:gridCol w:w="518"/>
        <w:gridCol w:w="526"/>
        <w:gridCol w:w="109"/>
        <w:gridCol w:w="109"/>
        <w:gridCol w:w="109"/>
        <w:gridCol w:w="351"/>
        <w:gridCol w:w="266"/>
        <w:gridCol w:w="266"/>
        <w:gridCol w:w="266"/>
        <w:gridCol w:w="266"/>
        <w:gridCol w:w="266"/>
        <w:gridCol w:w="351"/>
        <w:gridCol w:w="266"/>
        <w:gridCol w:w="266"/>
        <w:gridCol w:w="109"/>
        <w:gridCol w:w="109"/>
        <w:gridCol w:w="109"/>
        <w:gridCol w:w="315"/>
        <w:gridCol w:w="241"/>
        <w:gridCol w:w="239"/>
        <w:gridCol w:w="239"/>
        <w:gridCol w:w="239"/>
        <w:gridCol w:w="239"/>
        <w:gridCol w:w="315"/>
        <w:gridCol w:w="241"/>
        <w:gridCol w:w="337"/>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estimated annual effective tax rate significantly fluctuates for fiscal year 2025 with small changes to the Company’s estimated income. For the three months ended March 31, 2025, the Company has recorded a discrete income tax expense of $1.8 million. The income tax provision for the three months ended March 31, 2024, resulted in no tax expense. For the six months ended March 31, 2025, the Company has recorded a discrete income tax expense of $1.9 million and for the six months ended March 31, 2024, the Company has recorded a discrete income tax benefit of $3.3 million. Income tax expense for the three and six months ended March 31, 2025 was based on actual year to date income recorded and statutory tax rates.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anticipate any changes in its unrecognized tax benefits over the next 12 months. Due to the presence of net operating loss carryforwards, all of the income tax years remain open for examination domestically. The Company has not been notified that it is under audit by the Internal Revenue Service or foreign taxing authorities; however, the Company has been notified of an income tax examination by the state of California. There are no other audits in any other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“might,” “will,” “expect,” “believe,” “anticipate,”</w:t>
      </w:r>
      <w:r>
        <w:rPr>
          <w:color w:val="000000"/>
        </w:rPr>
        <w:t xml:space="preserve"> “</w:t>
      </w:r>
      <w:r>
        <w:rPr>
          <w:rFonts w:ascii="Times New Roman;sans-serif" w:hAnsi="Times New Roman;sans-serif"/>
          <w:b w:val="false"/>
          <w:i/>
          <w:color w:val="000000"/>
          <w:sz w:val="20"/>
        </w:rPr>
        <w:t>goal,” “endeavor,” “strive,” “intend,” “plan,” “project,” “could,” “estimate,” “target,” “might,” “forecast,” “potential,”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regulatory approval for and commercial launch of plozasiran;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or outcomes and timing of certain events may differ materially from those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2. Management's Discussion and Analysis of Financial Condition and Results of Operations” of Part I and “Item 1A. Risk Factors” of Part II of this Quarterly Report on Form 10-Q as well as “Item 1. Business” and </w:t>
      </w:r>
      <w:r>
        <w:rPr>
          <w:color w:val="000000"/>
        </w:rPr>
        <w:t>“</w:t>
      </w:r>
      <w:r>
        <w:rPr>
          <w:rFonts w:ascii="Times New Roman;sans-serif" w:hAnsi="Times New Roman;sans-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medicines that treat intractable diseases by silencing the genes that cause them. Using a broad portfolio of RNA chemistries and efficient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believes that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enabled therapeutics offer several potential advantages over prior generations and competing technologies, including: simplified manufacturing and reduced costs; multiple routes of administration including subcutaneous injection and inhaled administration; the ability to target multiple tissue types including liver, lung, central nervous system (CNS), muscle, and adipose tissue;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pipeline includes: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Hypertriglyceridemia - plozasiran (formerly ARO-APOC3);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Homozygous familial hypercholesterolemia (HoFH) - zodasiran (formerly ARO-ANG3);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Cardiovascular disease - olpasiran (formerly AMG 890 or ARO-LPA, out-licensed to Amgen);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Inflammatory pulmonary conditions - ARO-RAGE;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Idiopathic pulmonary fibrosis - SRP-1002 (formerly ARO-MMP7, out-licensed to Sarepta);</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Metabolic-dysfunction associated steatohepatitis (MASH) - GSK-4532990 (formerly ARO-HSD, out</w:t>
        <w:br/>
        <w: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Alpha-1 antitrypsin deficiency (AATD) - fazirsiran (formerly ARO-AAT, a collaboration with Takeda);</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Chronic Hepatitis B virus - daplusiran/tomligisiran - GSK5637608 (formerly JNJ-3989 and ARO-HBV, out-licensed to GSK);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Complement mediated diseases - ARO-C3 and ARO-CFB;</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Metabolic-dysfunction associated steatohepatitis (MASH) - ARO-PNPLA3 (formerly JNJ-75220795 or ARO-JNJ1);</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Obesity - ARO-INHBE and ARO- ALK7</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Facioscapulohumeral muscular dystrophy -SRP-1001 (formerly ARO-DUX4, out-licensed to Sarepta);</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Dystrophia myotonica protein kinase (DMPK) - SRP1003 (formerly ARO-DM1 out-licensed to Sarepta; and</w:t>
      </w:r>
    </w:p>
    <w:p>
      <w:pPr>
        <w:pStyle w:val="TextBody"/>
        <w:bidi w:val="0"/>
        <w:spacing w:lineRule="auto" w:line="276" w:before="0" w:after="0"/>
        <w:ind w:left="0" w:right="0" w:firstLine="180"/>
        <w:jc w:val="both"/>
        <w:rPr/>
      </w:pPr>
      <w:r>
        <w:rPr>
          <w:color w:val="000000"/>
        </w:rPr>
        <w:t>•</w:t>
      </w:r>
      <w:r>
        <w:rPr>
          <w:rFonts w:ascii="Times New Roman;sans-serif" w:hAnsi="Times New Roman;sans-serif"/>
          <w:b w:val="false"/>
          <w:color w:val="000000"/>
          <w:sz w:val="20"/>
        </w:rPr>
        <w:t>Spinocerebellar ataxia 2 -SRP-1004 (formerly ARO-ATXN2, out-licensed to Sarepta).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develop other clinical candidates for future clinical trials. Clinical candidates are tested internally and through Good Laboratory Practice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First Half of Fiscal 2025 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recent developments through fiscal 2025 included the following: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Topline results from Part 2 of a Phase 1/2 clinical study of ARO-C3, the Company’s investigational RNAi therapeutic designed to reduce liver production of complement component 3 (C3) as a potential therapy for various complement mediated diseases. ARO-C3 achieved reductions in alternative pathway complement activity and proteinuria;</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Showcased preclinical data supporting the advancement of two first-in-class clinical stage, RNAi-based investigational therapeutics being developed by the Company for the treatment of obesity and metabolic diseases;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Announced preclinical results on ARO-ALK7, which is the first RNAi-based therapy designed to silence adipocyte expression of the ACVR1 to reduce the production of Activin receptor-like kinase 7 (ALK7), which acts as a receptor in a pathway that regulates energy homeostasis in adipose tissue. Arrowhead received regulatory clearance to initiate a Phase 1/2a clinical trial of ARO-ALK7 in New Zealand, which the company anticipates will begin dosing in the second quarter of 2025;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 global licensing and collaboration agreement with Sarepta Therapeutics, Inc (</w:t>
      </w:r>
      <w:r>
        <w:rPr>
          <w:color w:val="000000"/>
        </w:rPr>
        <w:t>“</w:t>
      </w:r>
      <w:r>
        <w:rPr>
          <w:rFonts w:ascii="Times New Roman;sans-serif" w:hAnsi="Times New Roman;sans-serif"/>
          <w:b w:val="false"/>
          <w:color w:val="000000"/>
          <w:sz w:val="20"/>
        </w:rPr>
        <w:t>Sarepta</w:t>
      </w:r>
      <w:r>
        <w:rPr>
          <w:color w:val="000000"/>
        </w:rPr>
        <w:t>”</w:t>
      </w:r>
      <w:r>
        <w:rPr>
          <w:rFonts w:ascii="Times New Roman;sans-serif" w:hAnsi="Times New Roman;sans-serif"/>
          <w:b w:val="false"/>
          <w:color w:val="000000"/>
          <w:sz w:val="20"/>
        </w:rPr>
        <w:t>) on November 25, 2024, which closed on February 7, 2025. Closing of the transaction was subject to the expiration or termination of the waiting period under the Hart-Scott-Rodino Antitrust Improvements Act of 1976 and other customary conditions. Upon closing, the Company received $325.0 million through the purchase of 11,926,301 shares of Company common stock by Sarepta, at a price per share of $27.25, and received $500.0 million as an upfront payment on February 24, 2025. The Company will also receive $250.0 million to be paid in equal installments over five years and is eligible to receive an additional $300.0 million in near-term payments. Additionally, the Company is eligible to receive royalties on commercial sales and up to approximately $10.0 billion in future potential milestone payments;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Submitted a New Drug Application (NDA) to the U.S. Food and Drug Administration (FDA) on November 16, 2024, which was accepted for filing on January 17, 2025. The FDA provided a Prescription Drug User Fee Act (PDUFA) action date of November 18, 2025, and indicated it is not currently planning to hold an advisory committee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GSK dosed its fifth patient in a Phase 2 trial in December 2024, triggering a $2.5 million milestone payment to the Company which was paid in the second quarter of fiscal 2025;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that the Company has dosed the first subjects in a Phase 1/2a clinical trial of ARO-INHBE; and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interim results from a Phase 1/2a clinical study of ARO-CFB at the 8th Complement-Based Drug Development Summit. The study resulted in multiple promising findings including: (1) ARO-CFB led to dose dependent reductions in circulating CFB protein by up to 90% with greater than 3 months duration, (2) single and multiple doses of ARO-CFB led to near complete inhibition of alternative pathway activity based on Wieslab AP, and (3) single and multiple doses of ARO-CFB led to near complete inhibition of alternative pathway hemolytic activity, measured by AH50.</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Arrowhead Pharmaceuticals, Inc. was $370.4 million for the three months ended March 31, 2025 and net loss attributable to Arrowhead Pharmaceuticals, Inc. was $125.3 million for the three months ended March 31, 2024. Net income attributable to Arrowhead Pharmaceuticals, Inc. was $197.4 million for the six months ended March 31, 2025 and net loss attributable to Arrowhead Pharmaceuticals, Inc. was $258.2 million for the six months ended March 31, 2024. Net income per diluted share was $2.75 for the three months ended March 31, 2025 and net loss per diluted share was $1.02 for the three months ended March 31, 2024. Net income per diluted share was $1.52 for the six months ended March 31, 2025 and net loss per diluted share was $2.24 for the six months ended March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income for the three and six months ended March 31, 2025 was due to an increase in revenue from the Company's Sarepta Collaboration Agreement partially offset by research and development expenses, which have continued to increase as the Company's pipeline of candidates has expanded and progressed through clinical trial phases.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$185.7 million of cash, cash equivalents and restricted cash and $911.7 million in available-for-sale securities as of March 31, 2025, as compared to $102.7 million of cash, cash equivalents and restricted cash and $578.3 million in available-for-sale securities as of September 30, 2024. Based upon the Company’s current cash and investment resources and operating plan, the Company expects to have sufficient liquidity to fund operations for at least the next twelve months from the date of the issuance of these unaudited consolidated financial statements.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Critical Accounting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critical accounting estimates disclosed in the most recent Annual Report on Form 10-K for the fiscal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data summarizes the Company’s results of operations for the following periods indicated: </w:t>
      </w:r>
    </w:p>
    <w:tbl>
      <w:tblPr>
        <w:tblW w:w="10205" w:type="dxa"/>
        <w:jc w:val="center"/>
        <w:tblInd w:w="0" w:type="dxa"/>
        <w:tblLayout w:type="fixed"/>
        <w:tblCellMar>
          <w:top w:w="28" w:type="dxa"/>
          <w:left w:w="28" w:type="dxa"/>
          <w:bottom w:w="28" w:type="dxa"/>
          <w:right w:w="28" w:type="dxa"/>
        </w:tblCellMar>
      </w:tblPr>
      <w:tblGrid>
        <w:gridCol w:w="1912"/>
        <w:gridCol w:w="1646"/>
        <w:gridCol w:w="1652"/>
        <w:gridCol w:w="196"/>
        <w:gridCol w:w="736"/>
        <w:gridCol w:w="109"/>
        <w:gridCol w:w="109"/>
        <w:gridCol w:w="109"/>
        <w:gridCol w:w="109"/>
        <w:gridCol w:w="196"/>
        <w:gridCol w:w="800"/>
        <w:gridCol w:w="109"/>
        <w:gridCol w:w="196"/>
        <w:gridCol w:w="736"/>
        <w:gridCol w:w="109"/>
        <w:gridCol w:w="109"/>
        <w:gridCol w:w="109"/>
        <w:gridCol w:w="109"/>
        <w:gridCol w:w="196"/>
        <w:gridCol w:w="800"/>
        <w:gridCol w:w="158"/>
      </w:tblGrid>
      <w:tr>
        <w:trPr/>
        <w:tc>
          <w:tcPr>
            <w:tcW w:w="191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5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per share amounts)</w:t>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Arrowhead Pharmaceuticals, Inc.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diluted share attributable to Arrowhead Pharmaceuticals, Inc.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for the three months ended March 31, 2025 increased by $542.7 million from the same periods of 2024. Total revenue for the six months ended March 31, 2025 increased by $541.7 million from the same periods of 2024. The change was primarily driven by the revenue recognition associated with GSK and Sarepta license agreements as discussed below.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evaluated each agreement in accordance with FASB Topic 808–</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and Topic 606-</w:t>
      </w:r>
      <w:r>
        <w:rPr>
          <w:rFonts w:ascii="Times New Roman;sans-serif" w:hAnsi="Times New Roman;sans-serif"/>
          <w:b w:val="false"/>
          <w:i/>
          <w:color w:val="000000"/>
          <w:sz w:val="20"/>
        </w:rPr>
        <w:t>Revenue for Contracts from Customers</w:t>
      </w:r>
      <w:r>
        <w:rPr>
          <w:rFonts w:ascii="Times New Roman;sans-serif" w:hAnsi="Times New Roman;sans-serif"/>
          <w:b w:val="false"/>
          <w:color w:val="000000"/>
          <w:sz w:val="20"/>
        </w:rPr>
        <w:t>. See Note 2 — Collaboration and License Agreements of the Notes to Consolidated Financial Statements of Part I, “Item 1. Financial Statements” for more information on revenue recognized under the collaboration and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color w:val="000000"/>
          <w:sz w:val="20"/>
        </w:rPr>
        <w:t>GSK</w:t>
      </w:r>
      <w:r>
        <w:rPr>
          <w:rFonts w:ascii="Times New Roman;sans-serif" w:hAnsi="Times New Roman;sans-serif"/>
          <w:b w:val="false"/>
          <w:color w:val="000000"/>
          <w:sz w:val="20"/>
        </w:rPr>
        <w:t xml:space="preserve">: On December 11, 2023, the Company entered into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GSK-HBV Agreement, the Company received $2.7 million in December 2023, upon signing the GSK-HBV Agreement. Further, GSK dosed the fifth patient in a Phase 2 trial in December 2024, triggering a $2.5 million milestone payment to the Company which was paid in the second quarter of fiscal 2025. During the six months ended March 31, 2025, the Company recorded $2.5 million revenue.</w:t>
      </w:r>
    </w:p>
    <w:p>
      <w:pPr>
        <w:pStyle w:val="TextBody"/>
        <w:bidi w:val="0"/>
        <w:spacing w:lineRule="auto" w:line="288" w:before="120" w:after="283"/>
        <w:ind w:left="0" w:right="0" w:firstLine="540"/>
        <w:jc w:val="both"/>
        <w:rPr/>
      </w:pPr>
      <w:r>
        <w:rPr>
          <w:rFonts w:ascii="Times New Roman;sans-serif" w:hAnsi="Times New Roman;sans-serif"/>
          <w:b/>
          <w:color w:val="000000"/>
          <w:sz w:val="20"/>
        </w:rPr>
        <w:t>Takeda</w:t>
      </w:r>
      <w:r>
        <w:rPr>
          <w:rFonts w:ascii="Times New Roman;sans-serif" w:hAnsi="Times New Roman;sans-serif"/>
          <w:b w:val="false"/>
          <w:color w:val="000000"/>
          <w:sz w:val="20"/>
        </w:rPr>
        <w:t>: In October 2020, Takeda and the Company entered into the Takeda License Agreement. The Company has allocated the total $300.0 million initial transaction price to its one distinct performance obligation for the fazirsiran license and the associated Takeda R&amp;D Services. Revenue was recognized using the input method (based on actual patient visits completed versus total estimated visits completed for the ongoing SEQUOIA and AROAAT2002 clinical studies). The Phase 2 study visits for patients in the SEQUOIA and AROAAT2002 studies concluded by December 31, 2023, and the Company has substantially completed its performance obligation under the Takeda License Agreement. As such, all revenue has been fully recognized as of December 31, 2023. During the six months ended March 31, 2024, the Company recorded $0.9 million revenue.</w:t>
      </w:r>
    </w:p>
    <w:p>
      <w:pPr>
        <w:pStyle w:val="TextBody"/>
        <w:bidi w:val="0"/>
        <w:spacing w:lineRule="auto" w:line="288" w:before="120" w:after="283"/>
        <w:ind w:left="0" w:right="0" w:firstLine="540"/>
        <w:jc w:val="both"/>
        <w:rPr/>
      </w:pPr>
      <w:r>
        <w:rPr>
          <w:rFonts w:ascii="Times New Roman;sans-serif" w:hAnsi="Times New Roman;sans-serif"/>
          <w:b/>
          <w:color w:val="000000"/>
          <w:sz w:val="20"/>
        </w:rPr>
        <w:t>Sarepta</w:t>
      </w:r>
      <w:r>
        <w:rPr>
          <w:rFonts w:ascii="Times New Roman;sans-serif" w:hAnsi="Times New Roman;sans-serif"/>
          <w:b w:val="false"/>
          <w:color w:val="000000"/>
          <w:sz w:val="20"/>
        </w:rPr>
        <w:t xml:space="preserve">: On November 25, 2024, the Company entered into the Sarepta Collaboration Agreement and Stock Purchase Agreement with Sarepta for the development and commercialization of multiple clinical and preclinical programs in rare, genetic diseases of the muscle, central nervous system, and lungs. During the six months ended March 31, 2025, the Company recorded $542.7 million in revenue. As of March 31, 2025, no revenue was recorded for the milestone payments or royalties, as none had been achieved.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below details the operating expenses and discusses the expenditures of the Company within the major expense categories. For purposes of comparison, the amounts for the three and six months ended March 31, 2025 and 2024 are shown in the tables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tables provide details of research and development expenses for the periods indicated: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59"/>
        <w:gridCol w:w="796"/>
        <w:gridCol w:w="799"/>
        <w:gridCol w:w="241"/>
        <w:gridCol w:w="909"/>
        <w:gridCol w:w="134"/>
        <w:gridCol w:w="109"/>
        <w:gridCol w:w="109"/>
        <w:gridCol w:w="109"/>
        <w:gridCol w:w="210"/>
        <w:gridCol w:w="211"/>
        <w:gridCol w:w="439"/>
        <w:gridCol w:w="109"/>
        <w:gridCol w:w="109"/>
        <w:gridCol w:w="109"/>
        <w:gridCol w:w="241"/>
        <w:gridCol w:w="909"/>
        <w:gridCol w:w="134"/>
        <w:gridCol w:w="109"/>
        <w:gridCol w:w="109"/>
        <w:gridCol w:w="109"/>
        <w:gridCol w:w="210"/>
        <w:gridCol w:w="211"/>
        <w:gridCol w:w="439"/>
        <w:gridCol w:w="109"/>
        <w:gridCol w:w="109"/>
        <w:gridCol w:w="109"/>
        <w:gridCol w:w="196"/>
        <w:gridCol w:w="646"/>
        <w:gridCol w:w="109"/>
        <w:gridCol w:w="109"/>
        <w:gridCol w:w="109"/>
        <w:gridCol w:w="109"/>
        <w:gridCol w:w="183"/>
        <w:gridCol w:w="186"/>
        <w:gridCol w:w="308"/>
      </w:tblGrid>
      <w:tr>
        <w:trPr/>
        <w:tc>
          <w:tcPr>
            <w:tcW w:w="10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6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654"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Candidate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discovery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related</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 excluding non-cash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133,102 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0"/>
        <w:gridCol w:w="839"/>
        <w:gridCol w:w="842"/>
        <w:gridCol w:w="229"/>
        <w:gridCol w:w="863"/>
        <w:gridCol w:w="127"/>
        <w:gridCol w:w="109"/>
        <w:gridCol w:w="109"/>
        <w:gridCol w:w="109"/>
        <w:gridCol w:w="210"/>
        <w:gridCol w:w="211"/>
        <w:gridCol w:w="440"/>
        <w:gridCol w:w="109"/>
        <w:gridCol w:w="109"/>
        <w:gridCol w:w="109"/>
        <w:gridCol w:w="229"/>
        <w:gridCol w:w="863"/>
        <w:gridCol w:w="127"/>
        <w:gridCol w:w="109"/>
        <w:gridCol w:w="109"/>
        <w:gridCol w:w="109"/>
        <w:gridCol w:w="210"/>
        <w:gridCol w:w="211"/>
        <w:gridCol w:w="440"/>
        <w:gridCol w:w="109"/>
        <w:gridCol w:w="109"/>
        <w:gridCol w:w="109"/>
        <w:gridCol w:w="196"/>
        <w:gridCol w:w="646"/>
        <w:gridCol w:w="109"/>
        <w:gridCol w:w="109"/>
        <w:gridCol w:w="109"/>
        <w:gridCol w:w="109"/>
        <w:gridCol w:w="184"/>
        <w:gridCol w:w="187"/>
        <w:gridCol w:w="307"/>
      </w:tblGrid>
      <w:tr>
        <w:trPr/>
        <w:tc>
          <w:tcPr>
            <w:tcW w:w="110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7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781" w:type="dxa"/>
            <w:gridSpan w:val="3"/>
            <w:vMerge w:val="continue"/>
            <w:tcBorders/>
            <w:tcMar>
              <w:top w:w="0" w:type="dxa"/>
              <w:left w:w="0" w:type="dxa"/>
              <w:bottom w:w="0" w:type="dxa"/>
              <w:right w:w="0" w:type="dxa"/>
            </w:tcMar>
            <w:vAlign w:val="center"/>
          </w:tcPr>
          <w:p>
            <w:pPr>
              <w:pStyle w:val="Normal"/>
              <w:bidi w:val="0"/>
              <w:jc w:val="left"/>
              <w:rPr/>
            </w:pPr>
            <w:r>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Candidate costs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discovery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related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 excluding non-cash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270,104 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217,613 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Candidate costs increased $30.1 million, or 73%, for the three months ended March 31, 2025 and $54.0 million, or 57%, for the six months ended March 31, 2025 compared to the same periods of 2024. This increase was primarily due to the additional progression of the Company’s pipeline of candidates into and through clinical trials, which resulted in higher manufacturing, outsourced clinical trial, and toxicity study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R&amp;D discovery costs decreased $2.8 million, or 16%, for the three months ended March 31, 2025 and $11.4 million, or 29%, for the six months ended March 31, 2025 compared to the same periods of 2024. This decrease was primarily driven by strategic shifts toward clinical development and commercial launch. R&amp;D discovery costs are influenced by the Company’s ongoing discovery efforts, continued advancements into novel therapeutic areas and tissue types, and increasing costs related to CNS studies and lab supplies.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consist of salary, bonuses, payroll taxes, and related benefits for the Company’s R&amp;D personnel. Salaries expense increased $2.0 million, or 8%, for the three months ended March 31, 2025 and $6.5 million, or 14%, for the six months ended March 31, 2025 compared to the same periods of 2024. The increase was primarily due to an increase in R&amp;D headcount that has occurred as the Company has expanded its pipeline of candidates, in addition to annual salary increases.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Facilities-related expense includes lease costs for the Company’s research and development facilities in San Diego, California and in Madison and Verona, Wisconsin. These expenses increased $0.8 million, or 14%, for the three months ended March 31, 2025 and $2.0 million, or 16%, for the six months ended March 31, 2025 compared to the same periods of 2024. This increase was primarily due to property taxes charged to the laboratory and office facilities in Verona, Wisconsin, which completed their build out during the first quarter of fiscal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a non-cash expense, is based up the valuation of stock options and restricted stock units granted to employees. Stock compensation expense increased $0.4 million, or 5%, for the three months ended March 31, 2025, which was primarily due to an increase in R&amp;D headcount. Stock compensation decreased $1.1 million, or 6%, for the six months ended March 31, 2025 compared to the same periods of 2024. The decrease was primarily due to the cancellation of awards upon the departure of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relates to depreciation on buildings, lab equipment and leasehold improvements. These expenses increased $1.5 million, or 36% for the three months ended March 31, 2025 and $2.3 million, or 30%, for the six months ended March 31, 2025 compared to the same periods of 2024. The increase was primarily attributed to completion of the build out of facilities in Verona, Wisconsin, and the commencement of 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R&amp;D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&amp;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details of general and administrative expenses for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7"/>
        <w:gridCol w:w="857"/>
        <w:gridCol w:w="818"/>
        <w:gridCol w:w="256"/>
        <w:gridCol w:w="846"/>
        <w:gridCol w:w="142"/>
        <w:gridCol w:w="109"/>
        <w:gridCol w:w="109"/>
        <w:gridCol w:w="109"/>
        <w:gridCol w:w="210"/>
        <w:gridCol w:w="211"/>
        <w:gridCol w:w="440"/>
        <w:gridCol w:w="109"/>
        <w:gridCol w:w="109"/>
        <w:gridCol w:w="109"/>
        <w:gridCol w:w="256"/>
        <w:gridCol w:w="846"/>
        <w:gridCol w:w="142"/>
        <w:gridCol w:w="109"/>
        <w:gridCol w:w="109"/>
        <w:gridCol w:w="109"/>
        <w:gridCol w:w="210"/>
        <w:gridCol w:w="211"/>
        <w:gridCol w:w="440"/>
        <w:gridCol w:w="109"/>
        <w:gridCol w:w="109"/>
        <w:gridCol w:w="109"/>
        <w:gridCol w:w="196"/>
        <w:gridCol w:w="556"/>
        <w:gridCol w:w="109"/>
        <w:gridCol w:w="109"/>
        <w:gridCol w:w="109"/>
        <w:gridCol w:w="109"/>
        <w:gridCol w:w="184"/>
        <w:gridCol w:w="186"/>
        <w:gridCol w:w="307"/>
      </w:tblGrid>
      <w:tr>
        <w:trPr/>
        <w:tc>
          <w:tcPr>
            <w:tcW w:w="11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82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3"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160"/>
        <w:gridCol w:w="875"/>
        <w:gridCol w:w="838"/>
        <w:gridCol w:w="242"/>
        <w:gridCol w:w="797"/>
        <w:gridCol w:w="134"/>
        <w:gridCol w:w="109"/>
        <w:gridCol w:w="109"/>
        <w:gridCol w:w="109"/>
        <w:gridCol w:w="210"/>
        <w:gridCol w:w="211"/>
        <w:gridCol w:w="440"/>
        <w:gridCol w:w="109"/>
        <w:gridCol w:w="109"/>
        <w:gridCol w:w="109"/>
        <w:gridCol w:w="242"/>
        <w:gridCol w:w="797"/>
        <w:gridCol w:w="134"/>
        <w:gridCol w:w="109"/>
        <w:gridCol w:w="109"/>
        <w:gridCol w:w="109"/>
        <w:gridCol w:w="210"/>
        <w:gridCol w:w="211"/>
        <w:gridCol w:w="440"/>
        <w:gridCol w:w="109"/>
        <w:gridCol w:w="109"/>
        <w:gridCol w:w="109"/>
        <w:gridCol w:w="196"/>
        <w:gridCol w:w="646"/>
        <w:gridCol w:w="109"/>
        <w:gridCol w:w="109"/>
        <w:gridCol w:w="109"/>
        <w:gridCol w:w="109"/>
        <w:gridCol w:w="184"/>
        <w:gridCol w:w="187"/>
        <w:gridCol w:w="307"/>
      </w:tblGrid>
      <w:tr>
        <w:trPr/>
        <w:tc>
          <w:tcPr>
            <w:tcW w:w="11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87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73"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Professional, outside services, and other</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expense increased $0.8 million, or 11%, for the three months ended March 31, 2025 and $1.8 million, or 14%, for the six months ended March 31, 2025 compared to the same periods of 2024. The increase was driven by the combination of annual salary increases and increased headcount required to support the Company’s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outside services, and other expenses include costs related to legal, audit, consulting, patent filings, business insurance, other external services, as well as travel, communication, and technology expenses. This expense increased $4.5 million, or 72%, for the three months ended March 31, 2025 and $9.4 million, or 82%, for the six months ended March 31, 2025 compared to the same periods of 2024. The increase was mainly due to professional services associated with commercialization and business development efforts.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related expense primarily includes rental costs and other facilities-related costs for the Company’s corporate headquarters in Pasadena, California.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a non-cash expense, is based on the valuation of stock options and restricted stock units granted to employees. This expense decreased $2.1 million, or 21%, for the three months ended March 31, 2025 and $5.2 million, or 25%, for the six months ended March 31, 2025 compared to the same periods of 2024. The decrease was primarily due to lower compensation costs related to performance awards, as the timing of these expenses can vary based on the achievement of related performance targets.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general and administrative expenses to continue to increase as its pipeline of candidates grows and progresses to later phase clinical trials including commercialization efforts, in addition to inflationary pressure on goods and services and the labor market.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Income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is primarily related to interest income and expense. Other expense increased $10.8 million and $22.3 million for the three and six months ended March 31, 2025 compared to the same periods of 2024. The increase was primarily due to non-cash interest expense associated with the liability related to the sale of future royalties and the Credit Facility, partially offset by higher income from increased investment yields due to higher average cash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historically financed its operations through the sale of its equity securities, credit facility,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including commercialization efforts.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Company’s cash, cash equivalents and restricted cash was $185.7 million as of March 31, 2025 compared to $102.7 million as of September 30, 2024. Cash invested in available-for-sale securities was $911.7 million as of March 31, 2025 compared to $578.3 million as of September 30, 2024.</w:t>
      </w:r>
      <w:r>
        <w:rPr>
          <w:color w:val="EE2724"/>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2022, the Company entered into an open market sale agreement (the “Open Market Sale Agreement”), pursuant to which the Company may, from time to time, sell up to $250.0 million in shares of the Company’s common stock through Jefferies LLC, acting as the sales agent and/or principal, in an at-the-market offering. As of March 31, 2025, no shares have been issued under the Open Market Sale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2024, the Company entered into the Credit Facility, which provides for a senior secured term loan facility of $500.0 million, which includes $400.0 million funded on the closing date with an additional $100.0 million at the Company’s option during the seven-year term of the agreement. The Company received net proceeds of $388.9 million, after issuance costs as of September 30,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25, 2024, the Company entered into a licensing and collaboration agreement with Sarepta. Upon closing, the Company received $325.0 million for the purchase of 11,926,301 shares of common stock, at a price per share of $27.25, and received $500.0 million as an upfront payment on February 24, 2025.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current financial resources are sufficient to fund its operations through at least the next twelve months from the date of the issuance of these unaudited consolidated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cash flows:</w:t>
      </w:r>
    </w:p>
    <w:tbl>
      <w:tblPr>
        <w:tblW w:w="6758" w:type="dxa"/>
        <w:jc w:val="left"/>
        <w:tblInd w:w="0" w:type="dxa"/>
        <w:tblLayout w:type="fixed"/>
        <w:tblCellMar>
          <w:top w:w="28" w:type="dxa"/>
          <w:left w:w="28" w:type="dxa"/>
          <w:bottom w:w="28" w:type="dxa"/>
          <w:right w:w="28" w:type="dxa"/>
        </w:tblCellMar>
      </w:tblPr>
      <w:tblGrid>
        <w:gridCol w:w="1527"/>
        <w:gridCol w:w="1347"/>
        <w:gridCol w:w="1355"/>
        <w:gridCol w:w="196"/>
        <w:gridCol w:w="736"/>
        <w:gridCol w:w="109"/>
        <w:gridCol w:w="109"/>
        <w:gridCol w:w="109"/>
        <w:gridCol w:w="109"/>
        <w:gridCol w:w="196"/>
        <w:gridCol w:w="81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During the six months ended March 31, 2025, cash flow provided by operating activities was $313.8 million, which was primarily due to $500.0 million of cash received as part of the Sarepta agreement, partially offset by ongoing expenses related to the Company's research and development programs and general and administrative expenses. Cash used in investing activities amounted to $343.3 million, which was primarily attributable to capital expenditures of $12.8 million and investment purchases of $677.9 million, offset by proceeds from maturities of investments of $347.4 million. Cash provided by financing activities of $113.0 million was primarily related to cash received from the issuance of common stock in the Sarepta agreement and pre-funded warrants and stock option exercises (See Note 6 — Stockholders’</w:t>
      </w:r>
      <w:r>
        <w:rPr>
          <w:color w:val="000000"/>
        </w:rPr>
        <w:t xml:space="preserve"> </w:t>
      </w:r>
      <w:r>
        <w:rPr>
          <w:rFonts w:ascii="Times New Roman;sans-serif" w:hAnsi="Times New Roman;sans-serif"/>
          <w:b w:val="false"/>
          <w:color w:val="000000"/>
          <w:sz w:val="20"/>
        </w:rPr>
        <w:t xml:space="preserve">Equity of Notes to Consolidated Financial Statements of Part I, “Item 1.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cash flow used in operating activities was $210.2 million, which was primarily due to the ongoing expenses related to the Company’s research and development programs and general and administrative expenses. Cash used in investing activities was $204.1 million, which was primarily attributable to capital expenditures of $102.7 million and investment purchases of $310.0 million, partially offset by proceeds from sales and maturities of investments of $208.6 million. Cash provided by financing activities of $431.0 million was primarily related to cash received from the issuance of common stock as well as stock option exercises.</w:t>
      </w:r>
    </w:p>
    <w:p>
      <w:pPr>
        <w:pStyle w:val="TextBody"/>
        <w:bidi w:val="0"/>
        <w:spacing w:lineRule="auto" w:line="288" w:before="1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contractual obligations from that described in Item 7 of its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pPr>
      <w:r>
        <w:rPr>
          <w:rFonts w:ascii="Times New Roman;sans-serif" w:hAnsi="Times New Roman;sans-serif"/>
          <w:b w:val="false"/>
          <w:color w:val="000000"/>
          <w:sz w:val="20"/>
        </w:rPr>
        <w:t xml:space="preserve">There has been no material change in the </w:t>
      </w:r>
      <w:r>
        <w:rPr>
          <w:rFonts w:ascii="Times New Roman;sans-serif" w:hAnsi="Times New Roman;sans-serif"/>
          <w:b w:val="false"/>
          <w:color w:val="000000"/>
          <w:sz w:val="20"/>
          <w:shd w:fill="FFFFFF" w:val="clear"/>
        </w:rPr>
        <w:t>Company</w:t>
      </w:r>
      <w:r>
        <w:rPr>
          <w:color w:val="000000"/>
        </w:rPr>
        <w:t>’</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exposure to market risk from that described in Item 7A of its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w:t>
      </w:r>
      <w:r>
        <w:rPr>
          <w:color w:val="000000"/>
        </w:rPr>
        <w:t>’</w:t>
      </w:r>
      <w:r>
        <w:rPr>
          <w:rFonts w:ascii="Times New Roman;sans-serif" w:hAnsi="Times New Roman;sans-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ans-serif" w:hAnsi="Times New Roman;sans-serif"/>
          <w:b w:val="false"/>
          <w:color w:val="000000"/>
          <w:sz w:val="20"/>
          <w:shd w:fill="FFFFFF" w:val="clear"/>
        </w:rPr>
        <w:t>s other filings with the SEC, including the Company</w:t>
      </w:r>
      <w:r>
        <w:rPr>
          <w:color w:val="000000"/>
        </w:rPr>
        <w:t>’</w:t>
      </w:r>
      <w:r>
        <w:rPr>
          <w:rFonts w:ascii="Times New Roman;sans-serif" w:hAnsi="Times New Roman;sans-serif"/>
          <w:b w:val="false"/>
          <w:color w:val="000000"/>
          <w:sz w:val="20"/>
          <w:shd w:fill="FFFFFF" w:val="clear"/>
        </w:rPr>
        <w:t>s Annual Report on Form 10-K for the year ended September 30, 2024. There have been no material changes from the risk factors identified in the Company</w:t>
      </w:r>
      <w:r>
        <w:rPr>
          <w:color w:val="000000"/>
        </w:rPr>
        <w:t>’</w:t>
      </w:r>
      <w:r>
        <w:rPr>
          <w:rFonts w:ascii="Times New Roman;sans-serif" w:hAnsi="Times New Roman;sans-serif"/>
          <w:b w:val="false"/>
          <w:color w:val="000000"/>
          <w:sz w:val="20"/>
          <w:shd w:fill="FFFFFF" w:val="clear"/>
        </w:rPr>
        <w:t>s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 Severance and Change of Control Agreements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Severance and Change of Control Agreements with each of Daniel Apel and James Hamilton on May 8, 2025 and each of Christopher Anzalone and Patrick O’Brien on May 9, 2025 (the “Severance Agreements”). Under the Severance Agreements, upon a termination of the executive’s employment by the Company without “Cause” (and not as a result of the executive’s death or disability) or due to the executive’s “Resignation for Good Reason” (each quoted term as defined in each Severance Agreement), the Company will provide the following severance benefits: (i) payment of accrued but unpaid base salary, accrued but unused vacation, and any annual cash bonus earned but unpaid for the preceding fiscal year; (ii) a lump sum severance payment equal to six months’ worth of the executive’s base salary (or, for Dr. Anzalone, 12 months’ worth of his base salary, plus a pro-rated portion of his target annual cash bonus for the year in which the termination occurs) (the “Severance Payment”); and (iii) reimbursement of health care continuation premiums for the 12-month period (or, for Dr. Anzalone, the 18-month period) following the termination date.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termination of employment described above occurs within the period beginning three months prior to the signing of a definitive agreement that would result in a “Change of Control” (as defined in each Severance Agreement) through the first anniversary of such Change of Control, the Company will provide the following severance benefits in lieu of the benefits described above: (i) payment of accrued but unpaid base salary, accrued but unused vacation, and any annual cash bonus earned but unpaid for the preceding fiscal year; (ii) a lump sum severance payment equal to (a) 12 months’ worth (or, for Dr. Anzalone, 24 months’ worth) of the executive’s base salary, plus (b) one and one-half times (or, for Dr. Anzalone, two times) the executive’s target annual cash bonus for the year in which the termination occurs (the “COC Severance Payment”); provided, however, that if the executive has received a Severance Payment, the COC Severance Payment shall be reduced by the amount of such Severance Payment; (iii) reimbursement of health care continuation premiums for the 18-month period following the termination date; and (iv) accelerated vesting of all outstanding equity awards, with any performance-based vesting criteria deemed achieved at the target level of performance (and, if the termination occurs within the permitted period prior to the Change of Control, a lump sum cash payment equal to the value of any equity awards that would have vested had the executive remained employed through the Change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severance benefits provided under the Severance Agreements are subject to each executive’s execution and non-revocation of a release of claims in favor of the Company and its affiliates. Further, in the event that any payments or benefits provided under the Severance Agreements or otherwise constitute “parachute payments” within the meaning of Section 280G of the Internal Revenue Code of 1986, as amended (the “Code”), the executive will receive the portion of such payments and benefits that results in the greatest after-tax benefit to the executive (including after payment of any excise tax under Section 4999 of the Code).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CFO Retirement Letter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announced, Ken Myszkowski is expected to retire as Chief Financial Officer of the Company, effective as of May 13, 2025 (the “Effective Date”). In connection therewith, on May 9, 2025, the Company entered into a transition agreement with Mr. Myszkowski (the “CFO Retirement Letter”). Under the CFO Retirement Letter, Mr. Myszkowski will remain an employee of the Company following the Effective Date through January 31, 2026 (the “Transition Period”) to be reasonably available for consultation at the request of his successor, Mr. Apel, and to assist Mr. Apel with certain regulatory filings. In consideration for his services, Mr. Myszkowski will receive a base salary at an annualized rate of $200,000 through the end of the Transition Period, subject to his continued employment. If the Company terminates Mr. Myszkowski’s employment without cause prior to the end of the Transition Period, Mr. Myszkowski will receive (i) a lump sum payment equal to three months’ worth of his annualized base salary and (ii) an amount equal to the cost of three months of healthcare insurance.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descriptions of the Severance Agreements and the CFO Retirement Letter are not complete and are qualified in their entirety by reference to the full texts of the Severance Agreements and the CFO Retirement Letter, copies of which are filed as Exhibits 10.1, 10.2, 10.3, 10.4 and 10.5 to this Quarterly Report on Form 10-Q and are incorporated herein by reference.</w:t>
      </w:r>
    </w:p>
    <w:p>
      <w:pPr>
        <w:pStyle w:val="TextBody"/>
        <w:bidi w:val="0"/>
        <w:spacing w:before="0" w:after="0"/>
        <w:ind w:left="0" w:right="0" w:firstLine="540"/>
        <w:jc w:val="both"/>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 Trading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 director or officer (as defined in Exchange Act Rule 16a-1(f)) adopted or terminated trading plans intended to satisfy Rule 10b5-1(c), except as set forth in the following table:</w:t>
      </w:r>
    </w:p>
    <w:tbl>
      <w:tblPr>
        <w:tblW w:w="10205" w:type="dxa"/>
        <w:jc w:val="left"/>
        <w:tblInd w:w="0" w:type="dxa"/>
        <w:tblLayout w:type="fixed"/>
        <w:tblCellMar>
          <w:top w:w="28" w:type="dxa"/>
          <w:left w:w="28" w:type="dxa"/>
          <w:bottom w:w="28" w:type="dxa"/>
          <w:right w:w="28" w:type="dxa"/>
        </w:tblCellMar>
      </w:tblPr>
      <w:tblGrid>
        <w:gridCol w:w="469"/>
        <w:gridCol w:w="411"/>
        <w:gridCol w:w="419"/>
        <w:gridCol w:w="109"/>
        <w:gridCol w:w="109"/>
        <w:gridCol w:w="109"/>
        <w:gridCol w:w="653"/>
        <w:gridCol w:w="646"/>
        <w:gridCol w:w="658"/>
        <w:gridCol w:w="109"/>
        <w:gridCol w:w="109"/>
        <w:gridCol w:w="109"/>
        <w:gridCol w:w="553"/>
        <w:gridCol w:w="553"/>
        <w:gridCol w:w="555"/>
        <w:gridCol w:w="109"/>
        <w:gridCol w:w="109"/>
        <w:gridCol w:w="109"/>
        <w:gridCol w:w="288"/>
        <w:gridCol w:w="288"/>
        <w:gridCol w:w="289"/>
        <w:gridCol w:w="109"/>
        <w:gridCol w:w="109"/>
        <w:gridCol w:w="109"/>
        <w:gridCol w:w="277"/>
        <w:gridCol w:w="270"/>
        <w:gridCol w:w="273"/>
        <w:gridCol w:w="109"/>
        <w:gridCol w:w="109"/>
        <w:gridCol w:w="109"/>
        <w:gridCol w:w="269"/>
        <w:gridCol w:w="268"/>
        <w:gridCol w:w="251"/>
        <w:gridCol w:w="109"/>
        <w:gridCol w:w="109"/>
        <w:gridCol w:w="109"/>
        <w:gridCol w:w="247"/>
        <w:gridCol w:w="247"/>
        <w:gridCol w:w="359"/>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Adoption or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Vesting and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Subject to</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Sell-To-</w:t>
            </w:r>
          </w:p>
          <w:p>
            <w:pPr>
              <w:pStyle w:val="TableContents"/>
              <w:bidi w:val="0"/>
              <w:spacing w:lineRule="auto" w:line="288" w:before="0" w:after="0"/>
              <w:jc w:val="center"/>
              <w:rPr/>
            </w:pPr>
            <w:r>
              <w:rPr>
                <w:rFonts w:ascii="Times New Roman;sans-serif" w:hAnsi="Times New Roman;sans-serif"/>
                <w:b/>
                <w:color w:val="000000"/>
                <w:sz w:val="14"/>
              </w:rPr>
              <w:t xml:space="preserve">Cover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Other</w:t>
              <w:br/>
              <w:t>Shares</w:t>
              <w:br/>
              <w:t>Being Sold</w:t>
              <w:br/>
              <w:t>(Subject to</w:t>
              <w:br/>
              <w:t>Certain</w:t>
              <w:br/>
              <w:t>Conditions)</w:t>
            </w:r>
          </w:p>
        </w:tc>
      </w:tr>
      <w:tr>
        <w:trPr/>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15"/>
              </w:rPr>
              <w:t>Terminated on 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115,000</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170,599</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James Hamilton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Medical Officer, Head of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60,000</w:t>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Christopher Anzalone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5"/>
              </w:rPr>
            </w:pPr>
            <w:r>
              <w:rPr>
                <w:rFonts w:ascii="Times New Roman;sans-serif" w:hAnsi="Times New Roman;sans-serif"/>
                <w:b w:val="false"/>
                <w:color w:val="000000"/>
                <w:sz w:val="15"/>
              </w:rPr>
              <w:t>Terminated on 3/12/2025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2,082,892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 xml:space="preserve">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2764"/>
        <w:gridCol w:w="2600"/>
        <w:gridCol w:w="3711"/>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Amended and Restated Certificate of Incorporation (incorporated by reference from Exhibit 3.3 of the Company’s Form 8-K filed on April 6, 2016)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Certificate of Amendment to the Amended and Restated Certificate of Incorporation of Arrowhead Pharmaceuticals, Inc</w:t>
              </w:r>
            </w:hyperlink>
            <w:r>
              <w:rPr>
                <w:rFonts w:ascii="Times New Roman;sans-serif" w:hAnsi="Times New Roman;sans-serif"/>
                <w:b w:val="false"/>
                <w:color w:val="000000"/>
                <w:sz w:val="18"/>
              </w:rPr>
              <w:t xml:space="preserve">. </w:t>
            </w:r>
            <w:hyperlink r:id="rId4">
              <w:r>
                <w:rPr>
                  <w:rStyle w:val="InternetLink"/>
                  <w:rFonts w:ascii="Times New Roman;sans-serif" w:hAnsi="Times New Roman;sans-serif"/>
                  <w:b w:val="false"/>
                  <w:color w:val="0000FF"/>
                  <w:sz w:val="18"/>
                  <w:u w:val="single"/>
                </w:rPr>
                <w:t>(incorporated by reference from Exhibit 3.2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Second Amended and Restated Bylaws of Arrowhead Pharmaceuticals, Inc., as amended January 24, 2023(incorporated by reference from Exhibit 3.3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oseveranceandchangeofcon.htm">
              <w:r>
                <w:rPr>
                  <w:rStyle w:val="InternetLink"/>
                  <w:rFonts w:ascii="Times New Roman;sans-serif" w:hAnsi="Times New Roman;sans-serif"/>
                  <w:b w:val="false"/>
                  <w:color w:val="000080"/>
                  <w:sz w:val="18"/>
                  <w:u w:val="single"/>
                </w:rPr>
                <w:t xml:space="preserve">Severance and Change of Control Agreement by and between Company and Christopher Anzalone, dated </w:t>
              </w:r>
            </w:hyperlink>
            <w:hyperlink w:anchor="ceoseveranceandchangeofcon.htm">
              <w:r>
                <w:rPr>
                  <w:rStyle w:val="InternetLink"/>
                  <w:rFonts w:ascii="Times New Roman;sans-serif" w:hAnsi="Times New Roman;sans-serif"/>
                  <w:b w:val="false"/>
                  <w:color w:val="000080"/>
                  <w:sz w:val="18"/>
                  <w:u w:val="single"/>
                </w:rPr>
                <w:t xml:space="preserve">May </w:t>
              </w:r>
            </w:hyperlink>
            <w:hyperlink w:anchor="ceoseveranceandchangeofcon.htm">
              <w:r>
                <w:rPr>
                  <w:rStyle w:val="InternetLink"/>
                  <w:rFonts w:ascii="Times New Roman;sans-serif" w:hAnsi="Times New Roman;sans-serif"/>
                  <w:b w:val="false"/>
                  <w:color w:val="000080"/>
                  <w:sz w:val="18"/>
                  <w:u w:val="single"/>
                </w:rPr>
                <w:t>9</w:t>
              </w:r>
            </w:hyperlink>
            <w:hyperlink w:anchor="ceoseveranceandchangeofcon.htm">
              <w:r>
                <w:rPr>
                  <w:rStyle w:val="InternetLink"/>
                  <w:rFonts w:ascii="Times New Roman;sans-serif" w:hAnsi="Times New Roman;sans-serif"/>
                  <w:b w:val="false"/>
                  <w:color w:val="000080"/>
                  <w:sz w:val="18"/>
                  <w:u w:val="single"/>
                </w:rPr>
                <w:t>, 2025</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foseveranceandchangeofcon.htm">
              <w:r>
                <w:rPr>
                  <w:rStyle w:val="InternetLink"/>
                  <w:rFonts w:ascii="Times New Roman;sans-serif" w:hAnsi="Times New Roman;sans-serif"/>
                  <w:b w:val="false"/>
                  <w:color w:val="000080"/>
                  <w:sz w:val="18"/>
                  <w:u w:val="single"/>
                </w:rPr>
                <w:t>Severance and Change of Control Agreement by and between Company and Daniel Apel, dated</w:t>
              </w:r>
            </w:hyperlink>
            <w:hyperlink w:anchor="cfoseveranceandchangeofcon.htm">
              <w:r>
                <w:rPr>
                  <w:rStyle w:val="InternetLink"/>
                  <w:rFonts w:ascii="Times New Roman;sans-serif" w:hAnsi="Times New Roman;sans-serif"/>
                  <w:b w:val="false"/>
                  <w:color w:val="000080"/>
                  <w:sz w:val="18"/>
                  <w:u w:val="single"/>
                </w:rPr>
                <w:t xml:space="preserve"> </w:t>
              </w:r>
            </w:hyperlink>
            <w:hyperlink w:anchor="cfoseveranceandchangeofcon.htm">
              <w:r>
                <w:rPr>
                  <w:rStyle w:val="InternetLink"/>
                  <w:rFonts w:ascii="Times New Roman;sans-serif" w:hAnsi="Times New Roman;sans-serif"/>
                  <w:b w:val="false"/>
                  <w:color w:val="000080"/>
                  <w:sz w:val="18"/>
                  <w:u w:val="single"/>
                </w:rPr>
                <w:t xml:space="preserve">May </w:t>
              </w:r>
            </w:hyperlink>
            <w:hyperlink w:anchor="cfoseveranceandchangeofcon.htm">
              <w:r>
                <w:rPr>
                  <w:rStyle w:val="InternetLink"/>
                  <w:rFonts w:ascii="Times New Roman;sans-serif" w:hAnsi="Times New Roman;sans-serif"/>
                  <w:b w:val="false"/>
                  <w:color w:val="000080"/>
                  <w:sz w:val="18"/>
                  <w:u w:val="single"/>
                </w:rPr>
                <w:t>8</w:t>
              </w:r>
            </w:hyperlink>
            <w:hyperlink w:anchor="cfoseveranceandchangeofcon.htm">
              <w:r>
                <w:rPr>
                  <w:rStyle w:val="InternetLink"/>
                  <w:rFonts w:ascii="Times New Roman;sans-serif" w:hAnsi="Times New Roman;sans-serif"/>
                  <w:b w:val="false"/>
                  <w:color w:val="000080"/>
                  <w:sz w:val="18"/>
                  <w:u w:val="single"/>
                </w:rPr>
                <w:t>, 2025</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everanceandchangeofcontro.htm">
              <w:r>
                <w:rPr>
                  <w:rStyle w:val="InternetLink"/>
                  <w:rFonts w:ascii="Times New Roman;sans-serif" w:hAnsi="Times New Roman;sans-serif"/>
                  <w:b w:val="false"/>
                  <w:color w:val="000080"/>
                  <w:sz w:val="18"/>
                  <w:u w:val="single"/>
                </w:rPr>
                <w:t>Severance and Change of Control Agreement by and between Company and Patrick O'Brien, dated</w:t>
              </w:r>
            </w:hyperlink>
            <w:hyperlink w:anchor="severanceandchangeofcontro.htm">
              <w:r>
                <w:rPr>
                  <w:rStyle w:val="InternetLink"/>
                  <w:rFonts w:ascii="Times New Roman;sans-serif" w:hAnsi="Times New Roman;sans-serif"/>
                  <w:b w:val="false"/>
                  <w:color w:val="000080"/>
                  <w:sz w:val="18"/>
                  <w:u w:val="single"/>
                </w:rPr>
                <w:t xml:space="preserve"> </w:t>
              </w:r>
            </w:hyperlink>
            <w:hyperlink w:anchor="severanceandchangeofcontro.htm">
              <w:r>
                <w:rPr>
                  <w:rStyle w:val="InternetLink"/>
                  <w:rFonts w:ascii="Times New Roman;sans-serif" w:hAnsi="Times New Roman;sans-serif"/>
                  <w:b w:val="false"/>
                  <w:color w:val="000080"/>
                  <w:sz w:val="18"/>
                  <w:u w:val="single"/>
                </w:rPr>
                <w:t xml:space="preserve">May </w:t>
              </w:r>
            </w:hyperlink>
            <w:hyperlink w:anchor="severanceandchangeofcontro.htm">
              <w:r>
                <w:rPr>
                  <w:rStyle w:val="InternetLink"/>
                  <w:rFonts w:ascii="Times New Roman;sans-serif" w:hAnsi="Times New Roman;sans-serif"/>
                  <w:b w:val="false"/>
                  <w:color w:val="000080"/>
                  <w:sz w:val="18"/>
                  <w:u w:val="single"/>
                </w:rPr>
                <w:t>9</w:t>
              </w:r>
            </w:hyperlink>
            <w:hyperlink w:anchor="severanceandchangeofcontro.htm">
              <w:r>
                <w:rPr>
                  <w:rStyle w:val="InternetLink"/>
                  <w:rFonts w:ascii="Times New Roman;sans-serif" w:hAnsi="Times New Roman;sans-serif"/>
                  <w:b w:val="false"/>
                  <w:color w:val="000080"/>
                  <w:sz w:val="18"/>
                  <w:u w:val="single"/>
                </w:rPr>
                <w:t>, 2025</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moseveranceandchangeofcon.htm">
              <w:r>
                <w:rPr>
                  <w:rStyle w:val="InternetLink"/>
                  <w:rFonts w:ascii="Times New Roman;sans-serif" w:hAnsi="Times New Roman;sans-serif"/>
                  <w:b w:val="false"/>
                  <w:color w:val="000080"/>
                  <w:sz w:val="18"/>
                  <w:u w:val="single"/>
                </w:rPr>
                <w:t xml:space="preserve">Severance and Change of Control Agreement by and between Company and James Hamilton, dated </w:t>
              </w:r>
            </w:hyperlink>
            <w:hyperlink w:anchor="cmoseveranceandchangeofcon.htm">
              <w:r>
                <w:rPr>
                  <w:rStyle w:val="InternetLink"/>
                  <w:rFonts w:ascii="Times New Roman;sans-serif" w:hAnsi="Times New Roman;sans-serif"/>
                  <w:b w:val="false"/>
                  <w:color w:val="000080"/>
                  <w:sz w:val="18"/>
                  <w:u w:val="single"/>
                </w:rPr>
                <w:t xml:space="preserve">May </w:t>
              </w:r>
            </w:hyperlink>
            <w:hyperlink w:anchor="cmoseveranceandchangeofcon.htm">
              <w:r>
                <w:rPr>
                  <w:rStyle w:val="InternetLink"/>
                  <w:rFonts w:ascii="Times New Roman;sans-serif" w:hAnsi="Times New Roman;sans-serif"/>
                  <w:b w:val="false"/>
                  <w:color w:val="000080"/>
                  <w:sz w:val="18"/>
                  <w:u w:val="single"/>
                </w:rPr>
                <w:t>8</w:t>
              </w:r>
            </w:hyperlink>
            <w:hyperlink w:anchor="cmoseveranceandchangeofcon.htm">
              <w:r>
                <w:rPr>
                  <w:rStyle w:val="InternetLink"/>
                  <w:rFonts w:ascii="Times New Roman;sans-serif" w:hAnsi="Times New Roman;sans-serif"/>
                  <w:b w:val="false"/>
                  <w:color w:val="000080"/>
                  <w:sz w:val="18"/>
                  <w:u w:val="single"/>
                </w:rPr>
                <w:t>, 2025</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etirementletteragreement-.htm">
              <w:r>
                <w:rPr>
                  <w:rStyle w:val="InternetLink"/>
                  <w:rFonts w:ascii="Times New Roman;sans-serif" w:hAnsi="Times New Roman;sans-serif"/>
                  <w:b w:val="false"/>
                  <w:color w:val="000080"/>
                  <w:sz w:val="18"/>
                  <w:u w:val="single"/>
                </w:rPr>
                <w:t>CF</w:t>
              </w:r>
            </w:hyperlink>
            <w:hyperlink w:anchor="retirementletteragreement-.htm">
              <w:r>
                <w:rPr>
                  <w:rStyle w:val="InternetLink"/>
                  <w:rFonts w:ascii="Times New Roman;sans-serif" w:hAnsi="Times New Roman;sans-serif"/>
                  <w:b w:val="false"/>
                  <w:color w:val="000080"/>
                  <w:sz w:val="18"/>
                  <w:u w:val="single"/>
                </w:rPr>
                <w:t xml:space="preserve">O </w:t>
              </w:r>
            </w:hyperlink>
            <w:hyperlink w:anchor="retirementletteragreement-.htm">
              <w:r>
                <w:rPr>
                  <w:rStyle w:val="InternetLink"/>
                  <w:rFonts w:ascii="Times New Roman;sans-serif" w:hAnsi="Times New Roman;sans-serif"/>
                  <w:b w:val="false"/>
                  <w:color w:val="000080"/>
                  <w:sz w:val="18"/>
                  <w:u w:val="single"/>
                </w:rPr>
                <w:t>Retirement</w:t>
              </w:r>
            </w:hyperlink>
            <w:hyperlink w:anchor="retirementletteragreement-.htm">
              <w:r>
                <w:rPr>
                  <w:rStyle w:val="InternetLink"/>
                  <w:rFonts w:ascii="Times New Roman;sans-serif" w:hAnsi="Times New Roman;sans-serif"/>
                  <w:b w:val="false"/>
                  <w:color w:val="000080"/>
                  <w:sz w:val="18"/>
                  <w:u w:val="single"/>
                </w:rPr>
                <w:t xml:space="preserve"> </w:t>
              </w:r>
            </w:hyperlink>
            <w:hyperlink w:anchor="retirementletteragreement-.htm">
              <w:r>
                <w:rPr>
                  <w:rStyle w:val="InternetLink"/>
                  <w:rFonts w:ascii="Times New Roman;sans-serif" w:hAnsi="Times New Roman;sans-serif"/>
                  <w:b w:val="false"/>
                  <w:color w:val="000080"/>
                  <w:sz w:val="18"/>
                  <w:u w:val="single"/>
                </w:rPr>
                <w:t xml:space="preserve">Letter by and </w:t>
              </w:r>
            </w:hyperlink>
            <w:hyperlink w:anchor="retirementletteragreement-.htm">
              <w:r>
                <w:rPr>
                  <w:rStyle w:val="InternetLink"/>
                  <w:rFonts w:ascii="Times New Roman;sans-serif" w:hAnsi="Times New Roman;sans-serif"/>
                  <w:b w:val="false"/>
                  <w:color w:val="000080"/>
                  <w:sz w:val="18"/>
                  <w:u w:val="single"/>
                </w:rPr>
                <w:t>between Company and Ken</w:t>
              </w:r>
            </w:hyperlink>
            <w:hyperlink w:anchor="retirementletteragreement-.htm">
              <w:r>
                <w:rPr>
                  <w:rStyle w:val="InternetLink"/>
                  <w:rFonts w:ascii="Times New Roman;sans-serif" w:hAnsi="Times New Roman;sans-serif"/>
                  <w:b w:val="false"/>
                  <w:color w:val="000080"/>
                  <w:sz w:val="18"/>
                  <w:u w:val="single"/>
                </w:rPr>
                <w:t xml:space="preserve"> </w:t>
              </w:r>
            </w:hyperlink>
            <w:hyperlink w:anchor="retirementletteragreement-.htm">
              <w:r>
                <w:rPr>
                  <w:rStyle w:val="InternetLink"/>
                  <w:rFonts w:ascii="Times New Roman;sans-serif" w:hAnsi="Times New Roman;sans-serif"/>
                  <w:b w:val="false"/>
                  <w:color w:val="000080"/>
                  <w:sz w:val="18"/>
                  <w:u w:val="single"/>
                </w:rPr>
                <w:t>Myszkowski</w:t>
              </w:r>
            </w:hyperlink>
            <w:hyperlink w:anchor="retirementletteragreement-.htm">
              <w:r>
                <w:rPr>
                  <w:rStyle w:val="InternetLink"/>
                  <w:rFonts w:ascii="Times New Roman;sans-serif" w:hAnsi="Times New Roman;sans-serif"/>
                  <w:b w:val="false"/>
                  <w:color w:val="000080"/>
                  <w:sz w:val="18"/>
                  <w:u w:val="single"/>
                </w:rPr>
                <w:t xml:space="preserve">, dated </w:t>
              </w:r>
            </w:hyperlink>
            <w:hyperlink w:anchor="retirementletteragreement-.htm">
              <w:r>
                <w:rPr>
                  <w:rStyle w:val="InternetLink"/>
                  <w:rFonts w:ascii="Times New Roman;sans-serif" w:hAnsi="Times New Roman;sans-serif"/>
                  <w:b w:val="false"/>
                  <w:color w:val="000080"/>
                  <w:sz w:val="18"/>
                  <w:u w:val="single"/>
                </w:rPr>
                <w:t xml:space="preserve">May </w:t>
              </w:r>
            </w:hyperlink>
            <w:hyperlink w:anchor="retirementletteragreement-.htm">
              <w:r>
                <w:rPr>
                  <w:rStyle w:val="InternetLink"/>
                  <w:rFonts w:ascii="Times New Roman;sans-serif" w:hAnsi="Times New Roman;sans-serif"/>
                  <w:b w:val="false"/>
                  <w:color w:val="000080"/>
                  <w:sz w:val="18"/>
                  <w:u w:val="single"/>
                </w:rPr>
                <w:t>9</w:t>
              </w:r>
            </w:hyperlink>
            <w:hyperlink w:anchor="retirementletteragreement-.htm">
              <w:r>
                <w:rPr>
                  <w:rStyle w:val="InternetLink"/>
                  <w:rFonts w:ascii="Times New Roman;sans-serif" w:hAnsi="Times New Roman;sans-serif"/>
                  <w:b w:val="false"/>
                  <w:color w:val="000080"/>
                  <w:sz w:val="18"/>
                  <w:u w:val="single"/>
                </w:rPr>
                <w:t>, 2025</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5xexx311.htm">
              <w:r>
                <w:rPr>
                  <w:rStyle w:val="InternetLink"/>
                  <w:rFonts w:ascii="Times New Roman;sans-serif" w:hAnsi="Times New Roman;sans-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5xexx312.htm">
              <w:r>
                <w:rPr>
                  <w:rStyle w:val="InternetLink"/>
                  <w:rFonts w:ascii="Times New Roman;sans-serif" w:hAnsi="Times New Roman;sans-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5xex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5xex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Inline XBRL Instance Document </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lineRule="auto" w:line="268" w:before="0" w:after="0"/>
        <w:ind w:left="0" w:right="0" w:hanging="720"/>
        <w:jc w:val="left"/>
        <w:rPr/>
      </w:pPr>
      <w:r>
        <w:rPr>
          <w:color w:val="000000"/>
        </w:rPr>
        <w:t xml:space="preserve">† </w:t>
      </w:r>
      <w:r>
        <w:rPr>
          <w:rFonts w:ascii="Times New Roman;sans-serif" w:hAnsi="Times New Roman;sans-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12, 2025</w:t>
      </w:r>
    </w:p>
    <w:tbl>
      <w:tblPr>
        <w:tblW w:w="6885"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A. Myszkowski</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SEVERANCE AND CHANGE OF CONTROL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Severance and Change of Control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9,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Christopher Anzalone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considers the continued availability of Employee’s services to be in the best interest of the Company and its stockholders and desires to assure the continued services of Employee on behalf of the Company, including through a Change of Control (as defined below);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further believes that it is necessary to provide Employee with certain benefits upon termination of Employee’s employment, which benefits are intended to provide Employee with financial security and provide sufficient income and encouragement to Employee to remain employed by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covenants and agreements contained herein, and in consideration of the continuing employment of Employee by the Company, the parties hereto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val="false"/>
          <w:color w:val="000000"/>
          <w:sz w:val="24"/>
          <w:u w:val="single"/>
        </w:rPr>
        <w:t>Awards</w:t>
      </w:r>
      <w:r>
        <w:rPr>
          <w:color w:val="000000"/>
        </w:rPr>
        <w:t xml:space="preserve">” </w:t>
      </w:r>
      <w:r>
        <w:rPr>
          <w:rFonts w:ascii="Times New Roman;sans-serif" w:hAnsi="Times New Roman;sans-serif"/>
          <w:b w:val="false"/>
          <w:color w:val="000000"/>
          <w:sz w:val="24"/>
        </w:rPr>
        <w:t xml:space="preserve">means Employee’s outstanding stock options, restricted stock awards, restricted stock units, stock appreciation rights and other equity-based awards granted under the Company Equity Plans, in each case that remain outstanding immediately following a Change of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 xml:space="preserve">means Employee’s gross monthly salary as in effect on the Termination Date, which, for the avoidance of doubt, excludes any bonus or other incentive compensation; provided, however, that in the event of a Resignation for Good Reason as a result of a material diminution in Employee’s annualized base salary, “Base Salary” means Employee’s gross monthly salary as in effect immediately prior to such diminution (excluding any bonus or other incentive compensation).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if applicable, have the meaning set forth in the Employment Agreement; provided, however, that if there is no Employment Agreement, or if the Employment Agreement does not define “cause” (or a substantially similar term), means: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Employee's failure to perform his or her duties (other than any such failure resulting from incapacity due to physical or mental illness);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Employee’s failure to comply with any valid and legal directive of the Board or the person to whom the Employee reports;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Employee’s engagement in dishonesty, illegal conduct or misconduct, which is, in each case, materially injurious to the Company or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Employee’s embezzlement, misappropriation or fraud, whether or not related to the Employee’s employment with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Employee’s conviction of or plea of guilty or nolo contendere to a crime that constitutes a felony (or state law equivalent) or a crime that constitutes a misdemeanor involving moral turpitude, if such felony or other crime is work-related, materially impairs the Employee’s ability to perform services for the Company or results in reputational or financial harm to the Company or its affiliates;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Employee’s violation of a material policy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have occurred if, and only if: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individual, partnership, firm, corporation, association, trust, unincorporated organization or other entity or person, or any syndicate or group deemed to be a person under Section 14(d)(2)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is or becomes the “Beneficial Owner” (as defined in Rule 13d-3 under the Exchange Act), directly or indirectly, of securities of the Company representing 50% or more of the combined voting power of the Company’s then outstanding securities entitled to vote in the election of directors of the Company;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there occurs a reorganization, merger, consolidation or other corporate transaction involving the Company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in each case, with respect to which the equity holders of the Company immediately prior to such Transaction do not, immediately after the Transaction, own, directly or indirectly, more than 50% of the combined voting power of the Company’s then outstanding securities entitled to vote in the election of directors of the Company or of the securities of any other corporation resulting from such Transaction;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or substantially all of the assets of the Company are sold, liquidated or distributed to an unrelated third party, other than in connection with a bankruptcy, insolvency or other similar proceeding, or an assignment for the benefit of creditors.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 Termination</w:t>
      </w:r>
      <w:r>
        <w:rPr>
          <w:color w:val="000000"/>
        </w:rPr>
        <w:t xml:space="preserve">” </w:t>
      </w:r>
      <w:r>
        <w:rPr>
          <w:rFonts w:ascii="Times New Roman;sans-serif" w:hAnsi="Times New Roman;sans-serif"/>
          <w:b w:val="false"/>
          <w:color w:val="000000"/>
          <w:sz w:val="24"/>
        </w:rPr>
        <w:t>shall have occurred if Employee’s employment with the Company, or any of its subsidiaries or affiliates, is terminated by the Company without Cause (and not due to Employee’s death or Disability) or Employee resigns in a Resignation for Good Reason, in each case, during the period beginning on the date that is three months preceding the signing of a definitive agreement, the consummation of which would result in a Change of Control through the first anniversary of the effective date of a Change of Control; provided, however, that any such termination of employment that occurs prior to the occurrence of a Change of Control shall only be considered a “Change of Control Termination” if and when the applicable Change of Control is consummated.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 xml:space="preserve">means (a) Employee is unable to engage in any substantial gainful activity because of a medically determinable physical or mental impairment that can be expected to result in death or to last for a continuous period of at least 12 months; or (b) Employee has been receiving income replacement benefits for at least three months under an accident and health plan as the result of a medically determinable physical or mental impairment that can be expected to result in death or to last for a continuous period of at least 12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val="false"/>
          <w:color w:val="000000"/>
          <w:sz w:val="24"/>
          <w:u w:val="single"/>
        </w:rPr>
        <w:t>COBRA</w:t>
      </w:r>
      <w:r>
        <w:rPr>
          <w:color w:val="000000"/>
        </w:rPr>
        <w:t xml:space="preserve">” </w:t>
      </w:r>
      <w:r>
        <w:rPr>
          <w:rFonts w:ascii="Times New Roman;sans-serif" w:hAnsi="Times New Roman;sans-serif"/>
          <w:b w:val="false"/>
          <w:color w:val="000000"/>
          <w:sz w:val="24"/>
        </w:rPr>
        <w:t>means the Consolidated Omnibus Budget Reconciliation Act of 1985.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val="false"/>
          <w:color w:val="000000"/>
          <w:sz w:val="24"/>
          <w:u w:val="single"/>
        </w:rPr>
        <w:t>COBRA Period</w:t>
      </w:r>
      <w:r>
        <w:rPr>
          <w:color w:val="000000"/>
        </w:rPr>
        <w:t xml:space="preserve">” </w:t>
      </w:r>
      <w:r>
        <w:rPr>
          <w:rFonts w:ascii="Times New Roman;sans-serif" w:hAnsi="Times New Roman;sans-serif"/>
          <w:b w:val="false"/>
          <w:color w:val="000000"/>
          <w:sz w:val="24"/>
        </w:rPr>
        <w:t xml:space="preserve">means the 18-month period following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9865"/>
                <wp:effectExtent l="0" t="0" r="0" b="0"/>
                <wp:wrapNone/>
                <wp:docPr id="38" name="Frame38"/>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val="false"/>
          <w:color w:val="000000"/>
          <w:sz w:val="24"/>
          <w:u w:val="single"/>
        </w:rPr>
        <w:t>COC Severance Payment</w:t>
      </w:r>
      <w:r>
        <w:rPr>
          <w:color w:val="000000"/>
        </w:rPr>
        <w:t xml:space="preserve">” </w:t>
      </w:r>
      <w:r>
        <w:rPr>
          <w:rFonts w:ascii="Times New Roman;sans-serif" w:hAnsi="Times New Roman;sans-serif"/>
          <w:b w:val="false"/>
          <w:color w:val="000000"/>
          <w:sz w:val="24"/>
        </w:rPr>
        <w:t>means a payment equal to two times the sum of (a) 12 months’ worth of Employee’s Base Salary, and (b) Employee’s target annual cash bonus amount for the year in which the Termination Date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val="false"/>
          <w:color w:val="000000"/>
          <w:sz w:val="24"/>
          <w:u w:val="single"/>
        </w:rPr>
        <w:t>Company Equity Plans</w:t>
      </w:r>
      <w:r>
        <w:rPr>
          <w:color w:val="000000"/>
        </w:rPr>
        <w:t xml:space="preserve">” </w:t>
      </w:r>
      <w:r>
        <w:rPr>
          <w:rFonts w:ascii="Times New Roman;sans-serif" w:hAnsi="Times New Roman;sans-serif"/>
          <w:b w:val="false"/>
          <w:color w:val="000000"/>
          <w:sz w:val="24"/>
        </w:rPr>
        <w:t>means the Arrowhead Research Corporation 2004 Equity Incentive Plan, the Arrowhead Research Corporation 2013 Incentive Plan, and any other equity incentive plan of the Company, and any stock option agreements, award notices, stock purchase agreements or other agreements or instruments executed and delivered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val="false"/>
          <w:color w:val="000000"/>
          <w:sz w:val="24"/>
          <w:u w:val="single"/>
        </w:rPr>
        <w:t>Employment Agreement</w:t>
      </w:r>
      <w:r>
        <w:rPr>
          <w:color w:val="000000"/>
        </w:rPr>
        <w:t xml:space="preserve">” </w:t>
      </w:r>
      <w:r>
        <w:rPr>
          <w:rFonts w:ascii="Times New Roman;sans-serif" w:hAnsi="Times New Roman;sans-serif"/>
          <w:b w:val="false"/>
          <w:color w:val="000000"/>
          <w:sz w:val="24"/>
        </w:rPr>
        <w:t>means the employment agreement by and between Employee and the Company or any of its affiliates.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color w:val="000000"/>
        </w:rPr>
        <w:t xml:space="preserve"> “</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means a general release,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 may be modified to account for changes in applicable laws), by Employee of all claims against the Company and its affiliates as of the date such general release is executed by Employee.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val="false"/>
          <w:color w:val="000000"/>
          <w:sz w:val="24"/>
          <w:u w:val="single"/>
        </w:rPr>
        <w:t>Release Expiration Date</w:t>
      </w:r>
      <w:r>
        <w:rPr>
          <w:color w:val="000000"/>
        </w:rPr>
        <w:t xml:space="preserve">” </w:t>
      </w:r>
      <w:r>
        <w:rPr>
          <w:rFonts w:ascii="Times New Roman;sans-serif" w:hAnsi="Times New Roman;sans-serif"/>
          <w:b w:val="false"/>
          <w:color w:val="000000"/>
          <w:sz w:val="24"/>
        </w:rPr>
        <w:t>is the date that is 21 days following the date upon which the Company delivers the Release to Employee (which shall occur no later than seven days after the Termination Date) or, the event that such termination of employment is “in connection with an exit incentive or other employment termination program” (as such phrase is defined in the Age Discrimination in Employment Act of 1967), the date that is 45 days following such delivery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val="false"/>
          <w:color w:val="000000"/>
          <w:sz w:val="24"/>
          <w:u w:val="single"/>
        </w:rPr>
        <w:t>Resignation for Good Reason</w:t>
      </w:r>
      <w:r>
        <w:rPr>
          <w:color w:val="000000"/>
        </w:rPr>
        <w:t xml:space="preserve">” </w:t>
      </w:r>
      <w:r>
        <w:rPr>
          <w:rFonts w:ascii="Times New Roman;sans-serif" w:hAnsi="Times New Roman;sans-serif"/>
          <w:b w:val="false"/>
          <w:color w:val="000000"/>
          <w:sz w:val="24"/>
        </w:rPr>
        <w:t xml:space="preserve">shall, if applicable, have the meaning set forth in the Employment Agreement; provided, however, that if there is no Employment Agreement, or if the Employment Agreement does not define what shall constitute a termination for “good reason” (or a substantially similar term), then “Resignation for Good Reason” for purposes of this Agreement means a resignation based on any of the following events occurring in each case without Employee’s consent, each of which shall constitute “Good Reason,” subject to the notice and cure provisions set forth below: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material diminution in Employee’s authority, duties, reporting relationship,</w:t>
      </w:r>
      <w:r>
        <w:rPr>
          <w:color w:val="0000FF"/>
        </w:rPr>
        <w:t xml:space="preserve"> </w:t>
      </w:r>
      <w:r>
        <w:rPr>
          <w:rFonts w:ascii="Times New Roman;sans-serif" w:hAnsi="Times New Roman;sans-serif"/>
          <w:b w:val="false"/>
          <w:color w:val="000000"/>
          <w:sz w:val="24"/>
        </w:rPr>
        <w:t xml:space="preserve">or responsibilities;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material diminution in Employee’s annualized base salary;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 material change in geographic location at which the Employee must perform the services; 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any other action or inaction that constitutes a material breach of the terms of an Employment Agreement, if 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constitute a Resignation for Good Reason: (i) Employee must provide written notice to the Company within 90 days of the initial existence of the event constituting Good Reason; (ii) Employee may not terminate his or her employment unless the Company fails to remedy the event constituting Good Reason within 30 days after such notice has been deemed given pursuant to this Agreement; and (iii) Employee must terminate employment with the Company no later than 30 days after the end of the 30-day period in which the Company fails to remedy the event constituting Good Reason.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9865"/>
                <wp:effectExtent l="0" t="0" r="0" b="0"/>
                <wp:wrapNone/>
                <wp:docPr id="39" name="Frame39"/>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val="false"/>
          <w:color w:val="000000"/>
          <w:sz w:val="24"/>
          <w:u w:val="single"/>
        </w:rPr>
        <w:t>Severance Payment</w:t>
      </w:r>
      <w:r>
        <w:rPr>
          <w:color w:val="000000"/>
        </w:rPr>
        <w:t xml:space="preserve">” </w:t>
      </w:r>
      <w:r>
        <w:rPr>
          <w:rFonts w:ascii="Times New Roman;sans-serif" w:hAnsi="Times New Roman;sans-serif"/>
          <w:b w:val="false"/>
          <w:color w:val="000000"/>
          <w:sz w:val="24"/>
        </w:rPr>
        <w:t xml:space="preserve">means a payment equal to (a) 12 months’ worth of Employee’s Base Salary,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(b) a pro-rated portion of Employee’s target annual cash bonus amount for the year in which the Termination Date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Employee’s employment with the Company, or any of its subsidiaries or affiliates, terminates.</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 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Payment upon Termination of Employment</w:t>
      </w:r>
      <w:r>
        <w:rPr>
          <w:rFonts w:ascii="Times New Roman;sans-serif" w:hAnsi="Times New Roman;sans-serif"/>
          <w:b w:val="false"/>
          <w:color w:val="000000"/>
          <w:sz w:val="24"/>
        </w:rPr>
        <w:t>. Subject to Sections 2.3 and 2.4, in the event of the termination of Employee’s employment with the Company, or any of its subsidiaries or affiliates, by the Company without Cause (and not due to Employee’s death or Disability) or due to Employee’s Resignation for Good Reason, in each case, so long as such termination is not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Severance Payment in one lum-sum payment on the Company’s first regular payroll date occurring after 30 days following the Termination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Payment upon Change of Control Termination</w:t>
      </w:r>
      <w:r>
        <w:rPr>
          <w:rFonts w:ascii="Times New Roman;sans-serif" w:hAnsi="Times New Roman;sans-serif"/>
          <w:b w:val="false"/>
          <w:color w:val="000000"/>
          <w:sz w:val="24"/>
        </w:rPr>
        <w:t>. Subject to Sections 2.3 and 2.4, in the event of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9865"/>
                <wp:effectExtent l="0" t="0" r="0" b="0"/>
                <wp:wrapNone/>
                <wp:docPr id="40" name="Frame40"/>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COC Severance Payment in one lum-sum payment on the Company’s first regular payroll date occurring after 30 days following the Termination Date; provided, however, that in the event Employee has received a Severance Payment under Section 2.1(b), the COC Severance Payment shall be reduced by the amount of such Severance Payment and payable on the Company’s first regular payroll date occurring after 30 days following the effective date of a Change of Control;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Termination Date occurs after the applicable Change of Control is consummated, as of the Termination Date, the vesting of all Awards shall accelerate in full and all rights of repurchase of Award shares shall immediately lapse, with any performance-based vesting criteria deemed achieved at the target level of performance. If the Termination Date occurs prior to the date on which the applicable Change of Control is consummated, the Company shall pay Employee a lump sum cash payment based on the value of any Awards that terminated as a result of Employee’s termination of employment, but would have vested had Employee remained employed and the Termination Date had been the date the applicable Change of Control is consummated.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Employee Release</w:t>
      </w:r>
      <w:r>
        <w:rPr>
          <w:rFonts w:ascii="Times New Roman;sans-serif" w:hAnsi="Times New Roman;sans-serif"/>
          <w:b w:val="false"/>
          <w:color w:val="000000"/>
          <w:sz w:val="24"/>
        </w:rPr>
        <w:t>. In consideration for the benefits set forth above in Sections 2.1(b), 2.1(c), 2.2(b), 2.2(c) and 2.2(d), Employee shall execute and deliver the Release no later than the Release Expiration Date and the required revocation period, if any, must fully expire without revocation by Employee (the “</w:t>
      </w:r>
      <w:r>
        <w:rPr>
          <w:rFonts w:ascii="Times New Roman;sans-serif" w:hAnsi="Times New Roman;sans-serif"/>
          <w:b w:val="false"/>
          <w:color w:val="000000"/>
          <w:sz w:val="24"/>
          <w:u w:val="single"/>
        </w:rPr>
        <w:t>Release Requirement</w:t>
      </w:r>
      <w:r>
        <w:rPr>
          <w:color w:val="000000"/>
        </w:rPr>
        <w:t>”</w:t>
      </w:r>
      <w:r>
        <w:rPr>
          <w:rFonts w:ascii="Times New Roman;sans-serif" w:hAnsi="Times New Roman;sans-serif"/>
          <w:b w:val="false"/>
          <w:color w:val="000000"/>
          <w:sz w:val="24"/>
        </w:rPr>
        <w:t>). The Company shall have no obligation to pay or grant the benefits set forth in Section 2.1(b), 2.1(c), 2.2(b), 2.2(c) or 2.2(d) unless Employee satisfies the Release Requirement.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xml:space="preserve">. In the event that the Employment Agreement provides for specific benefits upon a termination of employment, Change of Control or a Change of Control Termination that are materially more favorable to Employee than like benefits set forth herein, then Employee shall be entitled to those benefits set forth in the Employment Agreement in lieu of the lesser like benefits set forth herein. For the avoidance of doubt, in no event shall Employee be entitled to severance compensation upon a termination of employment under both this Agreement and the Employment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9865"/>
                <wp:effectExtent l="0" t="0" r="0" b="0"/>
                <wp:wrapNone/>
                <wp:docPr id="41" name="Frame41"/>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Excise Tax Cutback</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Anything in this Agreement to the contrary notwithstanding, in the event that any compensation, payment or distribution by the Company to or for the benefit of Employee, whether paid or payable or distributed or distributable pursuant to the terms of this Agreement or otherwise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(a) constitute “parachute payments” within the meaning of Section 280G of the Code, and (b) but for this Section 3 would be subject to the excise tax imposed by Section 4999 of the Code, or any comparable successor provisions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Employee’s Payments hereunder shall be either (i) provided to Employee in full, or (ii) provided to Employee as to such lesser extent which would result in no portion of such benefits being subject to the Excise Tax, whichever of the foregoing amounts, when taking into account applicable federal, state, local and foreign income and employment taxes, the Excise Tax, and any other applicable taxes, results in the receipt by Employee, on an after-tax basis, of the greatest amount of benefits, notwithstanding that all or some portion of such benefits may be subject to the Excise Tax.</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In the event the Payments are to be reduced pursuant to Section 3.1, the Payments shall be reduced in the following order: (a) cash payments not subject to Section 409A of the Code; (b) cash payments subject to Section 409A of the Code; (c) equity-based payments and acceleration; and (d) non-cash forms of benefits. To the extent any payment is to be made over time (e.g., in installments, etc.), then the payments shall be reduced in reverse chronological order. The determination any reduction pursuant to this Section 3 shall be made by a nationally recognized accounting firm selected and paid for by the Company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which shall provide detailed supporting calculations both to the Company and the Employee within 15 business days of the date of termination of service, if applicable, or at such earlier time as is reasonably requested by the Company or the Employee. For purposes of this determination, the Accounting Firm may make reasonable assumptions and approximations concerning applicable taxes and may rely on reasonable, good faith interpretations concerning the application of the Code, and other applicable legal authority. Any determination by the Accounting Firm shall be binding upon the Company and Employee.</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Dispute Resolution Procedures</w:t>
      </w:r>
      <w:r>
        <w:rPr>
          <w:rFonts w:ascii="Times New Roman;sans-serif" w:hAnsi="Times New Roman;sans-serif"/>
          <w:b w:val="false"/>
          <w:color w:val="000000"/>
          <w:sz w:val="24"/>
        </w:rPr>
        <w:t>. Any dispute or claim arising out of this Agreement shall be subject to final and binding arbitration. The arbitration will be conducted by one arbitrator who is a member of the American Arbitration Association (AAA) or of the Judicial Arbitration and Mediation Services (JAMS). The arbitration shall be held in Los Angeles, California. The arbitrator shall have all authority to determine the arbitrability of any claim and enter a final and binding judgment at the conclusion of any proceedings in respect of the arbitration. The party prevailing in the resolution of any such claim will be entitled, in addition to such other relief as may be granted, to an award of all fees and costs incurred in pursuit of the claim (including reasonable attorneys’ fees) without regard to any statute, schedule, or rule of court purported to restrict such award.</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Notwithstanding anything to the contrary herein, Employee reaffirms that Employee’s employment relationship with the Company is at-will, terminable at any time and for any reason by either the Company or Employee. While certain paragraphs of this Agreement describe events that could occur at a particular time in the future, nothing in this Agreement may be construed as a guarantee of employment of any length.</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and construed in accordance with the laws of the State of California, without regard to conflict-of-law principles.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9865"/>
                <wp:effectExtent l="0" t="0" r="0" b="0"/>
                <wp:wrapNone/>
                <wp:docPr id="42" name="Frame42"/>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provisions of this Agreement shall inure to the benefit of, and be binding upon, the Company and its successors and assigns. Employee may not assign, pledge or encumber her interest in this Agreement or any part thereof, provided, however, that the provisions of this Agreement shall inure to the benefit of, and be binding upon Employee’s estate.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 Waiver of Breach</w:t>
      </w:r>
      <w:r>
        <w:rPr>
          <w:rFonts w:ascii="Times New Roman;sans-serif" w:hAnsi="Times New Roman;sans-serif"/>
          <w:b w:val="false"/>
          <w:color w:val="000000"/>
          <w:sz w:val="24"/>
        </w:rPr>
        <w:t>. If either party should waive any breach of any provisions of this Agreement, such party shall not thereby be deemed to have waived any preceding or succeeding breach of the same or any other provision of this Agreement. The rights granted the parties are cumulative, and the election of one will not constitute a waiver of such party’s right to assert all other legal and equitable remedies available under the circumstances.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provision will be held to be invalid or otherwise unenforceable, in whole or in part, the remainder of the provisions, or enforceable parts of this Agreement, will not be affected.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including Exhibit A, constitutes the entire agreement of the parties with respect to the subject matter of this Agreement, and supersedes all prior and contemporaneous negotiations, agreements and understandings between the parties, oral or written, except those provisions of any Employment Agreement expressly referred to herein. This Agreement may be amended or supplemented only by writing signed by both of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Modification; Waivers</w:t>
      </w:r>
      <w:r>
        <w:rPr>
          <w:rFonts w:ascii="Times New Roman;sans-serif" w:hAnsi="Times New Roman;sans-serif"/>
          <w:b w:val="false"/>
          <w:color w:val="000000"/>
          <w:sz w:val="24"/>
        </w:rPr>
        <w:t>. No modification, termination or attempted waiver of this Agreement will be valid unless in writing, signed by the party against whom such modification, termination or waiver is sought to be enforced.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Duplicate Counterparts</w:t>
      </w:r>
      <w:r>
        <w:rPr>
          <w:rFonts w:ascii="Times New Roman;sans-serif" w:hAnsi="Times New Roman;sans-serif"/>
          <w:b w:val="false"/>
          <w:color w:val="000000"/>
          <w:sz w:val="24"/>
        </w:rPr>
        <w:t>. This Agreement may be executed in duplicate counterparts; each of, which shall be deemed an original; provided, however, such counterparts shall together constitute only one instrument.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The headings contained in this Agreement are for reference purposes only and shall not affect in any way the meaning or interpretation of this Agreement. As used in this Agreement, words of the masculine gender shall mean and include corresponding neuter words or words of the feminine gender. The word “or” is not exclusive.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xml:space="preserve">. No payment to which Employee is entitled pursuant to Section 2.1 hereof shall be reduced by reason of compensation or other income received by her for services rendered after termination of her employment with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6.10</w:t>
      </w:r>
      <w:r>
        <w:rPr>
          <w:rFonts w:ascii="Times New Roman;sans-serif" w:hAnsi="Times New Roman;sans-serif"/>
          <w:b w:val="false"/>
          <w:color w:val="000000"/>
          <w:sz w:val="24"/>
          <w:u w:val="single"/>
        </w:rPr>
        <w:t>Withholding of Taxes</w:t>
      </w:r>
      <w:r>
        <w:rPr>
          <w:rFonts w:ascii="Times New Roman;sans-serif" w:hAnsi="Times New Roman;sans-serif"/>
          <w:b w:val="false"/>
          <w:color w:val="000000"/>
          <w:sz w:val="24"/>
        </w:rPr>
        <w:t xml:space="preserve">. The Company shall withhold appropriate federal, state, local (and foreign, if applicable) income and employment taxes from any payments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6.11</w:t>
      </w:r>
      <w:r>
        <w:rPr>
          <w:rFonts w:ascii="Times New Roman;sans-serif" w:hAnsi="Times New Roman;sans-serif"/>
          <w:b w:val="false"/>
          <w:color w:val="000000"/>
          <w:sz w:val="24"/>
          <w:u w:val="single"/>
        </w:rPr>
        <w:t>Drafting Ambiguities; Representation by Counsel</w:t>
      </w:r>
      <w:r>
        <w:rPr>
          <w:rFonts w:ascii="Times New Roman;sans-serif" w:hAnsi="Times New Roman;sans-serif"/>
          <w:b w:val="false"/>
          <w:color w:val="000000"/>
          <w:sz w:val="24"/>
        </w:rPr>
        <w:t xml:space="preserve">. Each party to this Agreement and its counsel have reviewed and revised this Agreement and the Release. The rule of construction that any ambiguities are to be resolved against the drafting party shall not be employed in the interpretation of this Agreement, the Release or any of the amendments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6.12</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9865"/>
                <wp:effectExtent l="0" t="0" r="0" b="0"/>
                <wp:wrapNone/>
                <wp:docPr id="43" name="Frame43"/>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is intended to comply with the requirements of Section 409A of the Code and the regulations and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from Section 409A. The Company shall undertake to administer, interpret, and construe this Agreement in a manner that does not result in the imposition on Employee of any additional tax, penalty, or interest under Section 409A. Each payment under this Agreement shall be treated as a separate payment for purposes of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anything herein to the contrary, in the event that Employee is a “specified employee” within the meaning of that term under Section 409A(a)(2)(B) of the Code, then with regard to any payment or the provision of any benefit (whether under this Agreement or otherwise) that is considered deferred compensation under Section 409A payable on account of a “separation from service,” and that is not exempt from Section 409A as involuntary separation pay or a short-term deferral (or otherwise), to the extent necessary to avoid the imposition of excise taxes under Section 409A, such payment or benefit shall be made or provided at the date which is the earlier of (i) the expiration of the six (6)-month period measured from the date of such “separation from service” of Employee or (B) the date of Employee’s death (the “</w:t>
      </w:r>
      <w:r>
        <w:rPr>
          <w:rFonts w:ascii="Times New Roman;sans-serif" w:hAnsi="Times New Roman;sans-serif"/>
          <w:b w:val="false"/>
          <w:color w:val="000000"/>
          <w:sz w:val="24"/>
          <w:u w:val="single"/>
        </w:rPr>
        <w:t>Delay Period</w:t>
      </w:r>
      <w:r>
        <w:rPr>
          <w:color w:val="000000"/>
        </w:rPr>
        <w:t>”</w:t>
      </w:r>
      <w:r>
        <w:rPr>
          <w:rFonts w:ascii="Times New Roman;sans-serif" w:hAnsi="Times New Roman;sans-serif"/>
          <w:b w:val="false"/>
          <w:color w:val="000000"/>
          <w:sz w:val="24"/>
        </w:rPr>
        <w:t>). Upon the expiration of the Delay Period, all payments and benefits delayed pursuant to this Section 6.13(c) (whether they would have otherwise been payable in a single sum or in installments in the absence of such delay) shall be paid or reimbursed to Employee in a lump sum without interest, and any remaining payments and benefits due under this Agreement shall be paid or provided in accordance with the normal payment dates specified for them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With regard to any provision herein that provides for reimbursement of costs and expenses or in-kind benefits, except as permitted by Section 409A, all such payments shall be made on or before the last day of calendar year following the calendar year in which the expense occurred.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9865"/>
                <wp:effectExtent l="0" t="0" r="0" b="0"/>
                <wp:wrapNone/>
                <wp:docPr id="44" name="Frame44"/>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In witness whereof, this Severance and Change of Control Agreement has been executed as of the date first set forth above.</w:t>
      </w:r>
    </w:p>
    <w:p>
      <w:pPr>
        <w:pStyle w:val="TextBody"/>
        <w:bidi w:val="0"/>
        <w:spacing w:before="0" w:after="24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Arrowhead Pharmaceuticals, Inc. </w:t>
      </w:r>
    </w:p>
    <w:p>
      <w:pPr>
        <w:pStyle w:val="TextBody"/>
        <w:bidi w:val="0"/>
        <w:spacing w:before="240" w:after="24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Patrick O’Brien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Patrick O’Brien, COO &amp; General Counsel</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Employee</w:t>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pPr>
      <w:r>
        <w:rPr>
          <w:color w:val="000000"/>
        </w:rPr>
        <w:t>                            </w:t>
      </w:r>
      <w:r>
        <w:rPr>
          <w:color w:val="000000"/>
          <w:u w:val="single"/>
        </w:rPr>
        <w:t xml:space="preserve"> </w:t>
      </w:r>
      <w:r>
        <w:rPr>
          <w:rFonts w:ascii="Times New Roman;sans-serif" w:hAnsi="Times New Roman;sans-serif"/>
          <w:b w:val="false"/>
          <w:color w:val="000000"/>
          <w:sz w:val="24"/>
          <w:u w:val="single"/>
        </w:rPr>
        <w:t>/s/ Christopher Anzalone        </w:t>
        <w:br/>
      </w:r>
      <w:r>
        <w:rPr>
          <w:color w:val="000000"/>
        </w:rPr>
        <w:t xml:space="preserve">                             </w:t>
      </w:r>
      <w:r>
        <w:rPr>
          <w:rFonts w:ascii="Times New Roman;sans-serif" w:hAnsi="Times New Roman;sans-serif"/>
          <w:b w:val="false"/>
          <w:color w:val="000000"/>
          <w:sz w:val="24"/>
        </w:rPr>
        <w:t>Christopher Anzalone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General Release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is entered into as of &lt;Date&gt;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with reference to the following facts:</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WHEREAS, Employee and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entered into a Severance and Change of Control Agreement dated _________ __, 2024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which the parties agreed that in certain circumstances Employee would become eligible for severance payments and benefits following certain terminations of employment in exchange for Employee’s release of the Company from all claims which Employee may have against the Company.</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WHEREAS, Employee desires to dispose of, fully and completely, all claims that Employee may have against the Company in the manner set forth in this Release.</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good and valuable consideration, including the consideration set forth in Sections [2.1(b) and 2.1(c)] // [2.2(b), 2.2(c) and 2.2(d)] of the Agreement, Employee, for himself/herself and his/her heirs, successors and assigns, fully releases, and discharges Company, its officers, directors, employees, equity holders, attorneys, accountants, other professionals, insurers and agents (collectively “</w:t>
      </w:r>
      <w:r>
        <w:rPr>
          <w:rFonts w:ascii="Times New Roman;sans-serif" w:hAnsi="Times New Roman;sans-serif"/>
          <w:b w:val="false"/>
          <w:color w:val="000000"/>
          <w:sz w:val="24"/>
          <w:u w:val="single"/>
        </w:rPr>
        <w:t>Agents</w:t>
      </w:r>
      <w:r>
        <w:rPr>
          <w:color w:val="000000"/>
        </w:rPr>
        <w:t>”</w:t>
      </w:r>
      <w:r>
        <w:rPr>
          <w:rFonts w:ascii="Times New Roman;sans-serif" w:hAnsi="Times New Roman;sans-serif"/>
          <w:b w:val="false"/>
          <w:color w:val="000000"/>
          <w:sz w:val="24"/>
        </w:rPr>
        <w:t>), and all entities related to each such party, including, but not limited to, heirs, executors, administrators, personal representatives, assigns, parent, subsidiary and sister corporations, affiliates, partners and co-venturers (collectively “</w:t>
      </w:r>
      <w:r>
        <w:rPr>
          <w:rFonts w:ascii="Times New Roman;sans-serif" w:hAnsi="Times New Roman;sans-serif"/>
          <w:b w:val="false"/>
          <w:color w:val="000000"/>
          <w:sz w:val="24"/>
          <w:u w:val="single"/>
        </w:rPr>
        <w:t>Released Entities</w:t>
      </w:r>
      <w:r>
        <w:rPr>
          <w:color w:val="000000"/>
        </w:rPr>
        <w:t>”</w:t>
      </w:r>
      <w:r>
        <w:rPr>
          <w:rFonts w:ascii="Times New Roman;sans-serif" w:hAnsi="Times New Roman;sans-serif"/>
          <w:b w:val="false"/>
          <w:color w:val="000000"/>
          <w:sz w:val="24"/>
        </w:rPr>
        <w:t>), from all rights, claims, demands, actions, causes of action, liabilities and obligations of every kind, nature and description whatsoever, Employee now has, owns or holds or has at anytime had, owned or held or may have against the Company, Agents or Related Entities from any source whatsoever, whether or not arising from or related to the facts recited in this Release. Employee specifically releases and waives (i) any and all claims arising under any express or implied contract, (ii) any and all claims arising under public policy, tort or common law, (iii) any and all claims arising under federal, state or local law, rule, regulation or ordinance, including, without limitation, Title VII of the Civil Rights Act of 1964, the Civil Rights Act of 1991, the Americans with Disabilities Act, the Employee Retirement Income Security Act of 1974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the National Labor Relations Act, the Occupational Safety and Health Act, the Family and Medical Leave Act of 1993, [and] [</w:t>
      </w:r>
      <w:r>
        <w:rPr>
          <w:rFonts w:ascii="Times New Roman;sans-serif" w:hAnsi="Times New Roman;sans-serif"/>
          <w:b/>
          <w:color w:val="000000"/>
          <w:sz w:val="24"/>
        </w:rPr>
        <w:t>California employees:</w:t>
      </w:r>
      <w:r>
        <w:rPr>
          <w:color w:val="000000"/>
        </w:rPr>
        <w:t xml:space="preserve"> </w:t>
      </w:r>
      <w:r>
        <w:rPr>
          <w:rFonts w:ascii="Times New Roman;sans-serif" w:hAnsi="Times New Roman;sans-serif"/>
          <w:b w:val="false"/>
          <w:color w:val="000000"/>
          <w:sz w:val="24"/>
        </w:rPr>
        <w:t>the California Fair Employment and Housing Act] [</w:t>
      </w:r>
      <w:r>
        <w:rPr>
          <w:rFonts w:ascii="Times New Roman;sans-serif" w:hAnsi="Times New Roman;sans-serif"/>
          <w:b/>
          <w:color w:val="000000"/>
          <w:sz w:val="24"/>
        </w:rPr>
        <w:t>Wisconsin Employees:</w:t>
      </w:r>
      <w:r>
        <w:rPr>
          <w:color w:val="000000"/>
        </w:rPr>
        <w:t xml:space="preserve"> </w:t>
      </w:r>
      <w:r>
        <w:rPr>
          <w:rFonts w:ascii="Times New Roman;sans-serif" w:hAnsi="Times New Roman;sans-serif"/>
          <w:b w:val="false"/>
          <w:color w:val="000000"/>
          <w:sz w:val="24"/>
        </w:rPr>
        <w:t>the Wisconsin Fair Employment Act, the California Wisconsin Family and Medical Leave Law, the Wisconsin Personnel Records Statute] [and the Age Discrimination in Employment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(iv) any allegations for costs, fees, or other expenses, including attorneys’ fees incurred in or with respect to any such claims, (v) any and all rights, benefits or claims Employee may have under any employment contract (including the Agreement), incentive compensation plan or equity-based plan with any Released Entity (including the Company Equity Plans), and (vi) any claim for compensation or benefits of any kind not expressly set forth in the Agreement (collectively, the “</w:t>
      </w:r>
      <w:r>
        <w:rPr>
          <w:rFonts w:ascii="Times New Roman;sans-serif" w:hAnsi="Times New Roman;sans-serif"/>
          <w:b w:val="false"/>
          <w:color w:val="000000"/>
          <w:sz w:val="24"/>
          <w:u w:val="single"/>
        </w:rPr>
        <w:t>Release Claims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the Employee is not releasing (a) the right to enforce this agreement, (b) any rights to indemnification pursuant to agreement, by-law, policy or statute, if any, that the Employee maintains, (c) any claim that arises after the date that Employee signs this Release or (d) any claim to vested benefits under an employee benefit plan that is subject to ERISA. Further notwithstanding this release of liability, nothing in this Release prevents Employee from filing any non-legally waivable claim (including a challenge to the validity of this Release)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or comparable state or local agency or participating in (or cooperating with) any investigation or proceeding conducted by the EEOC or comparable state or local agency or cooperating in any such investigation or proceeding; however, Employee understands and agrees that Employee is waiving any and all rights to recover any monetary or personal relief from a Released Entity as a result of such EEOC or comparable state or local agency or proceeding or subsequent legal actions. Further, nothing in this Release or the Agreement prohibits or restricts Employee from filing a charge or complaint with, or cooperating in any investigation with, the Securities and Exchange Commission, the Financial Industry Regulatory Authority, or any other securities regulatory agency or authority (each, a “</w:t>
      </w:r>
      <w:r>
        <w:rPr>
          <w:rFonts w:ascii="Times New Roman;sans-serif" w:hAnsi="Times New Roman;sans-serif"/>
          <w:b w:val="false"/>
          <w:color w:val="000000"/>
          <w:sz w:val="24"/>
          <w:u w:val="single"/>
        </w:rPr>
        <w:t>Government Agency</w:t>
      </w:r>
      <w:r>
        <w:rPr>
          <w:color w:val="000000"/>
        </w:rPr>
        <w:t>”</w:t>
      </w:r>
      <w:r>
        <w:rPr>
          <w:rFonts w:ascii="Times New Roman;sans-serif" w:hAnsi="Times New Roman;sans-serif"/>
          <w:b w:val="false"/>
          <w:color w:val="000000"/>
          <w:sz w:val="24"/>
        </w:rPr>
        <w:t>). This Release does not limit Employee’s right to receive an award for information provided to a Government Agency.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represents and warrants that, as of the time at which Employee signs this Agreement, Employee has not filed or joined any claims, complaints, charges, or lawsuits against any of the Released Entities with any governmental agency or with any state or federal court or arbitrator for, or with respect to, a matter, claim, or incident that occurred or arose out of one or more occurrences that took place on or prior to the time at which Employee signs this Release. Employee further represents and warrants that Employee has not made any assignment, sale, delivery, transfer or conveyance of any rights Employee has asserted or may have against any of the Released Entities with respect to any Released Claim.</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Waiver of Certain Claims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Employee acknowledges that Employee has been advised in writing of Employee’s right to consult with an attorney prior to executing the waivers set out in this Release, and that Employee has been given sufficient time [(and at least 21 days following Employee’s receipt of this Release)] in which to review and consider this Release. If Employee signs this Release before the expiration of such period, Employee has knowingly and voluntarily waived any longer consideration period than the one provided to Employee. No changes (whether material or immaterial) to this Release shall restart the running of any such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This Release is intended as a full and complete release and discharge of any and all claims that Employee may have against the Company or any Agents or Related Entities. In making this release, Employee intends to release the Company, Agents and Related Entities from liability of any nature whatsoever for any claim of damages or injury or for equitable or declaratory relief of any kind, whether the claim, or any facts on which such claim might be based, is known or unknown to Employee. Employee expressly waives all rights under §1542 of the California Civil Code , which Employee understands provides as follows:</w:t>
      </w:r>
    </w:p>
    <w:p>
      <w:pPr>
        <w:pStyle w:val="TextBody"/>
        <w:bidi w:val="0"/>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acknowledges that Employee may discover facts different from or in addition to those that he/she now believes to be true with respect to this Release. Employee agrees that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Release shall remain effective notwithstanding the discovery of any different or additional facts.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[Revocation Right</w:t>
      </w:r>
      <w:r>
        <w:rPr>
          <w:rFonts w:ascii="Times New Roman;sans-serif" w:hAnsi="Times New Roman;sans-serif"/>
          <w:b w:val="false"/>
          <w:color w:val="000000"/>
          <w:sz w:val="24"/>
        </w:rPr>
        <w:t>. Notwithstanding the initial effectiveness of this Release, Employee may revoke the delivery (and therefore the effectiveness) of this Release within the seven-day period beginning on the date Employee executes this Release (such seven-day period being referred to herein as the “</w:t>
      </w:r>
      <w:r>
        <w:rPr>
          <w:rFonts w:ascii="Times New Roman;sans-serif" w:hAnsi="Times New Roman;sans-serif"/>
          <w:b w:val="false"/>
          <w:color w:val="000000"/>
          <w:sz w:val="24"/>
          <w:u w:val="single"/>
        </w:rPr>
        <w:t>Release Revocation Period</w:t>
      </w:r>
      <w:r>
        <w:rPr>
          <w:color w:val="000000"/>
        </w:rPr>
        <w:t>”</w:t>
      </w:r>
      <w:r>
        <w:rPr>
          <w:rFonts w:ascii="Times New Roman;sans-serif" w:hAnsi="Times New Roman;sans-serif"/>
          <w:b w:val="false"/>
          <w:color w:val="000000"/>
          <w:sz w:val="24"/>
        </w:rPr>
        <w:t>). To be effective, such revocation must be in writing signed by Employee and must be delivered personally or by courier to the Company to the Company so that it is received by &lt;Name&gt;, &lt;Address&gt; (email: &lt;Email&gt;) by 11:59 p.m., &lt;Location&gt; time, on the Release Revocation Expiration Date. If an effective revocation is delivered in the foregoing manner and timeframe, the release of claims set forth in Sections 1 and 2 of this Release will be of no force or effect, Employee will not receive the payments, benefits or consideration set forth in Sections [2.1(b) and 2.1(c)] // [2.2(b), 2.2(c) and 2.2(d)] of the Agreement], and the remainder of this Agreement will remain in full force and effect.]</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Confidentiality Agreement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acknowledges and reaffirms that Employee's obligations in respect of the At-will Employment, Confidentiality and Proprietary Rights Agreement entered into between the parties on ________ (the “</w:t>
      </w:r>
      <w:r>
        <w:rPr>
          <w:rFonts w:ascii="Times New Roman;sans-serif" w:hAnsi="Times New Roman;sans-serif"/>
          <w:b w:val="false"/>
          <w:color w:val="000000"/>
          <w:sz w:val="24"/>
          <w:u w:val="single"/>
        </w:rPr>
        <w:t>Confidentiality Agreement</w:t>
      </w:r>
      <w:r>
        <w:rPr>
          <w:color w:val="000000"/>
        </w:rPr>
        <w:t>”</w:t>
      </w:r>
      <w:r>
        <w:rPr>
          <w:rFonts w:ascii="Times New Roman;sans-serif" w:hAnsi="Times New Roman;sans-serif"/>
          <w:b w:val="false"/>
          <w:color w:val="000000"/>
          <w:sz w:val="24"/>
        </w:rPr>
        <w:t>) shall remain in full force and effect following the execution of this Release, and Employee hereby represents that Employee has complied and will continue to fully comply with those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nothing herein or in the Agreement will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Employee agrees that Employee will not at any time disparage, criticize or ridicule any of the Released Entities, or make any negative public comments, whether by way of news interviews, posting comments on, or publishing internet blogs or webpages (whether or not done anonymously), publishing or circulating any other form of media, or the expression of Employee's personal views, opinions or judgments to the media, internet blogs and webpages, or otherwise (whether or not done anonymously), or to current or former officers, directors or employees of the Released Entities.</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Employee agrees that Employee will cooperate with the Company (or its present and former parents, subsidiaries, affiliates or related entities) and its legal counsel in connection with any current or future litigation, pursuant to the issuance of a valid subpoena, relating to matters with which Employee was involved or of which Employee has knowledge or which occurred during Employee's employment at the Company. Such assistance will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not be limited to, depositions and testimony and will continue until such matters are resolved. The Company will provide Employee with reasonable notice whenever possible of the need for cooperation; will make all reasonable efforts to schedule cooperation so as not to interfere with Employee's employment or professional obligations; and will reimburse Employee for all reasonable travel, lodging and meal costs incurred in providing requested assistance.</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xml:space="preserve">. Employee represents that Employee has returned to the Company all company property and equipment of any kind in Employee's possession or control. This includes computer equipment (hardware and software), BlackBerry, iPhone or similar device, credit cards, office keys, security access cards, badges, identification cards and all files, documents, copies (including drafts) of any documentation or information (however stored), relating to the business of the Released Entities, their clients or prospective clients. </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Employee hereby covenants and agrees that for a period of twelve months following the effective date of this Release, Employee shall not, without the written consent of the Company, either directly or indirectly: solicit, offer employment to, or take any other action intended (or that a reasonable person acting in like circumstances would expect) to have the effect of causing any officer or employee of the Company or any of its subsidiaries or affiliates, to terminate his or her employment and accept employment or become affiliated with or provide services for compensation in any capacity whatsoever to, any business whatsoever that competes with the business of the Company or any of its direct or indirect subsidiaries or affiliates.</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Undue Influence</w:t>
      </w:r>
      <w:r>
        <w:rPr>
          <w:rFonts w:ascii="Times New Roman;sans-serif" w:hAnsi="Times New Roman;sans-serif"/>
          <w:b w:val="false"/>
          <w:color w:val="000000"/>
          <w:sz w:val="24"/>
        </w:rPr>
        <w:t>. This Release is executed voluntarily and without any duress or undue influence. Employee acknowledges Employee has read this Release and executed it with full and free consent. No provision of this Release shall be construed against any party by virtue of the fact that such party or its counsel drafted such provision or the entirety of this Release. Employee has been advised, and hereby is advised in writing, to discuss this Release with an attorney of Employee’s choice and that Employee has had an adequate opportunity to do so prior to executing this Agreement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 Employee expressly acknowledges and agrees that each Released Entity shall be a third-party beneficiary of Sections 1, 2, 4, 5, 6, 7, and 8 of this Release and entitled to enforce such provisions as if it were a party hereto.</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Release, the Agreement and the Confidentiality Agreement together constitute the entire agreement of the parties with respect to the subject matter of this Release, and supersedes all prior and contemporaneous negotiations, agreements and understandings between the parties, oral or written.</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supplemented only by writing signed by Employee and the Company.</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Incorporation of the Agreement</w:t>
      </w:r>
      <w:r>
        <w:rPr>
          <w:rFonts w:ascii="Times New Roman;sans-serif" w:hAnsi="Times New Roman;sans-serif"/>
          <w:b w:val="false"/>
          <w:color w:val="000000"/>
          <w:sz w:val="24"/>
        </w:rPr>
        <w:t xml:space="preserve">. Sections 4, 6.1, 6.2 6.4, 6.6, and 6.8 of the Agreement are hereby incorporated by references and shall apply as if fully stated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        ___________________________</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Employee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SEVERANCE AND CHANGE OF CONTROL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Severance and Change of Control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8,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Daniel Apel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considers the continued availability of Employee’s services to be in the best interest of the Company and its stockholders and desires to assure the continued services of Employee on behalf of the Company, including through a Change of Control (as defined below);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further believes that it is necessary to provide Employee with certain benefits upon termination of Employee’s employment, which benefits are intended to provide Employee with financial security and provide sufficient income and encouragement to Employee to remain employed by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covenants and agreements contained herein, and in consideration of the continuing employment of Employee by the Company, the parties hereto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val="false"/>
          <w:color w:val="000000"/>
          <w:sz w:val="24"/>
          <w:u w:val="single"/>
        </w:rPr>
        <w:t>Awards</w:t>
      </w:r>
      <w:r>
        <w:rPr>
          <w:color w:val="000000"/>
        </w:rPr>
        <w:t xml:space="preserve">” </w:t>
      </w:r>
      <w:r>
        <w:rPr>
          <w:rFonts w:ascii="Times New Roman;sans-serif" w:hAnsi="Times New Roman;sans-serif"/>
          <w:b w:val="false"/>
          <w:color w:val="000000"/>
          <w:sz w:val="24"/>
        </w:rPr>
        <w:t xml:space="preserve">means Employee’s outstanding stock options, restricted stock awards, restricted stock units, stock appreciation rights and other equity-based awards granted under the Company Equity Plans, in each case that remain outstanding immediately following a Change of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 xml:space="preserve">means Employee’s gross monthly salary as in effect on the Termination Date, which, for the avoidance of doubt, excludes any bonus or other incentive compensation; provided, however, that in the event of a Resignation for Good Reason as a result of a material diminution in Employee’s annualized base salary, “Base Salary” means Employee’s gross monthly salary as in effect immediately prior to such diminution (excluding any bonus or other incentive compensation).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Employee's failure to perform his or her duties (other than any such failure resulting from incapacity due to physical or mental illness);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Employee’s failure to comply with any valid and legal directive of the Board or the person to whom the Employee reports;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Employee’s engagement in dishonesty, illegal conduct or misconduct, which is, in each case, materially injurious to the Company or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Employee’s embezzlement, misappropriation or fraud, whether or not related to the Employee’s employment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Employee’s conviction of or plea of guilty or nolo contendere to a crime that constitutes a felony (or state law equivalent) or a crime that constitutes a misdemeanor involving moral turpitude, if such felony or other crime is work-related, materially impairs the Employee’s ability to perform services for the Company or results in reputational or financial harm to the Company or its affiliates;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Employee’s violation of a material policy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have occurred if, and only if: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individual, partnership, firm, corporation, association, trust, unincorporated organization or other entity or person, or any syndicate or group deemed to be a person under Section 14(d)(2)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is or becomes the “Beneficial Owner” (as defined in Rule 13d-3 under the Exchange Act), directly or indirectly, of securities of the Company representing 50% or more of the combined voting power of the Company’s then outstanding securities entitled to vote in the election of directors of the Company;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there occurs a reorganization, merger, consolidation or other corporate transaction involving the Company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in each case, with respect to which the equity holders of the Company immediately prior to such Transaction do not, immediately after the Transaction, own, directly or indirectly, more than 50% of the combined voting power of the Company’s then outstanding securities entitled to vote in the election of directors of the Company or of the securities of any other corporation resulting from such Transaction;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or substantially all of the assets of the Company are sold, liquidated or distributed to an unrelated third party, other than in connection with a bankruptcy, insolvency or other similar proceeding, or an assignment for the benefit of creditors.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 Termination</w:t>
      </w:r>
      <w:r>
        <w:rPr>
          <w:color w:val="000000"/>
        </w:rPr>
        <w:t xml:space="preserve">” </w:t>
      </w:r>
      <w:r>
        <w:rPr>
          <w:rFonts w:ascii="Times New Roman;sans-serif" w:hAnsi="Times New Roman;sans-serif"/>
          <w:b w:val="false"/>
          <w:color w:val="000000"/>
          <w:sz w:val="24"/>
        </w:rPr>
        <w:t>shall have occurred if Employee’s employment with the Company, or any of its subsidiaries or affiliates, is terminated by the Company without Cause (and not due to Employee’s death or Disability) or Employee resigns in a Resignation for Good Reason, in each case, during the period beginning on the date that is three months preceding the signing of a definitive agreement, the consummation of which would result in a Change of Control through the first anniversary of the effective date of a Change of Control; provided, however, that any such termination of employment that occurs prior to the occurrence of a Change of Control shall only be considered a “Change of Control Termination” if and when the applicable Change of Control is consummated.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 xml:space="preserve">means (a) Employee is unable to engage in any substantial gainful activity because of a medically determinable physical or mental impairment that can be expected to result in death or to last for a continuous period of at least 12 months; or (b) Employee has been receiving income replacement benefits for at least three months under an accident and health plan as the result of a medically determinable physical or mental impairment that can be expected to result in death or to last for a continuous period of at least 12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val="false"/>
          <w:color w:val="000000"/>
          <w:sz w:val="24"/>
          <w:u w:val="single"/>
        </w:rPr>
        <w:t>COBRA</w:t>
      </w:r>
      <w:r>
        <w:rPr>
          <w:color w:val="000000"/>
        </w:rPr>
        <w:t xml:space="preserve">” </w:t>
      </w:r>
      <w:r>
        <w:rPr>
          <w:rFonts w:ascii="Times New Roman;sans-serif" w:hAnsi="Times New Roman;sans-serif"/>
          <w:b w:val="false"/>
          <w:color w:val="000000"/>
          <w:sz w:val="24"/>
        </w:rPr>
        <w:t>means the Consolidated Omnibus Budget Reconciliation Act of 1985.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val="false"/>
          <w:color w:val="000000"/>
          <w:sz w:val="24"/>
          <w:u w:val="single"/>
        </w:rPr>
        <w:t>COBRA Period</w:t>
      </w:r>
      <w:r>
        <w:rPr>
          <w:color w:val="000000"/>
        </w:rPr>
        <w:t xml:space="preserve">” </w:t>
      </w:r>
      <w:r>
        <w:rPr>
          <w:rFonts w:ascii="Times New Roman;sans-serif" w:hAnsi="Times New Roman;sans-serif"/>
          <w:b w:val="false"/>
          <w:color w:val="000000"/>
          <w:sz w:val="24"/>
        </w:rPr>
        <w:t xml:space="preserve">means the 12-month period following the Termination Date; provided, however, in the event of a Change of Control Termination, “COBRA Period” means the 18-month period following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9865"/>
                <wp:effectExtent l="0" t="0" r="0" b="0"/>
                <wp:wrapNone/>
                <wp:docPr id="51" name="Frame51"/>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val="false"/>
          <w:color w:val="000000"/>
          <w:sz w:val="24"/>
          <w:u w:val="single"/>
        </w:rPr>
        <w:t>COC Severance Payment</w:t>
      </w:r>
      <w:r>
        <w:rPr>
          <w:color w:val="000000"/>
        </w:rPr>
        <w:t xml:space="preserve">” </w:t>
      </w:r>
      <w:r>
        <w:rPr>
          <w:rFonts w:ascii="Times New Roman;sans-serif" w:hAnsi="Times New Roman;sans-serif"/>
          <w:b w:val="false"/>
          <w:color w:val="000000"/>
          <w:sz w:val="24"/>
        </w:rPr>
        <w:t xml:space="preserve">means a payment equal to (a) 12 months’ worth of Employee’s Base Salary,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(b) one and one-half times Employee’s target annual cash bonus amount for the year in which the Termination Date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val="false"/>
          <w:color w:val="000000"/>
          <w:sz w:val="24"/>
          <w:u w:val="single"/>
        </w:rPr>
        <w:t>Company Equity Plans</w:t>
      </w:r>
      <w:r>
        <w:rPr>
          <w:color w:val="000000"/>
        </w:rPr>
        <w:t xml:space="preserve">” </w:t>
      </w:r>
      <w:r>
        <w:rPr>
          <w:rFonts w:ascii="Times New Roman;sans-serif" w:hAnsi="Times New Roman;sans-serif"/>
          <w:b w:val="false"/>
          <w:color w:val="000000"/>
          <w:sz w:val="24"/>
        </w:rPr>
        <w:t>means the Arrowhead Research Corporation 2004 Equity Incentive Plan, the Arrowhead Research Corporation 2013 Incentive Plan, and any other equity incentive plan of the Company, and any stock option agreements, award notices, stock purchase agreements or other agreements or instruments executed and delivered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color w:val="000000"/>
        </w:rPr>
        <w:t xml:space="preserve"> “</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means a general release,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 may be modified to account for changes in applicable laws), by Employee of all claims against the Company and its affiliates as of the date such general release is executed by Employee.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val="false"/>
          <w:color w:val="000000"/>
          <w:sz w:val="24"/>
          <w:u w:val="single"/>
        </w:rPr>
        <w:t>Release Expiration Date</w:t>
      </w:r>
      <w:r>
        <w:rPr>
          <w:color w:val="000000"/>
        </w:rPr>
        <w:t xml:space="preserve">” </w:t>
      </w:r>
      <w:r>
        <w:rPr>
          <w:rFonts w:ascii="Times New Roman;sans-serif" w:hAnsi="Times New Roman;sans-serif"/>
          <w:b w:val="false"/>
          <w:color w:val="000000"/>
          <w:sz w:val="24"/>
        </w:rPr>
        <w:t>is the date that is 21 days following the date upon which the Company delivers the Release to Employee (which shall occur no later than seven days after the Termination Date) or, the event that such termination of employment is “in connection with an exit incentive or other employment termination program” (as such phrase is defined in the Age Discrimination in Employment Act of 1967), the date that is 45 days following such delivery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val="false"/>
          <w:color w:val="000000"/>
          <w:sz w:val="24"/>
          <w:u w:val="single"/>
        </w:rPr>
        <w:t>Resignation for Good Reason</w:t>
      </w:r>
      <w:r>
        <w:rPr>
          <w:color w:val="000000"/>
        </w:rPr>
        <w:t xml:space="preserve">” </w:t>
      </w:r>
      <w:r>
        <w:rPr>
          <w:rFonts w:ascii="Times New Roman;sans-serif" w:hAnsi="Times New Roman;sans-serif"/>
          <w:b w:val="false"/>
          <w:color w:val="000000"/>
          <w:sz w:val="24"/>
        </w:rPr>
        <w:t xml:space="preserve">for purposes of this Agreement means a resignation based on any of the following events occurring in each case without Employee’s consent, each of which shall constitute “Good Reason,” subject to the notice and cure provisions set forth below: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material diminution in Employee’s authority, duties, reporting relationship,</w:t>
      </w:r>
      <w:r>
        <w:rPr>
          <w:color w:val="0000FF"/>
        </w:rPr>
        <w:t xml:space="preserve"> </w:t>
      </w:r>
      <w:r>
        <w:rPr>
          <w:rFonts w:ascii="Times New Roman;sans-serif" w:hAnsi="Times New Roman;sans-serif"/>
          <w:b w:val="false"/>
          <w:color w:val="000000"/>
          <w:sz w:val="24"/>
        </w:rPr>
        <w:t xml:space="preserve">or responsibilities;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material diminution in Employee’s annualized base salary;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material change in geographic location at which the Employee must perform the services.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constitute a Resignation for Good Reason: (i) Employee must provide written notice to the Company within 90 days of the initial existence of the event constituting Good Reason; (ii) Employee may not terminate his or her employment unless the Company fails to remedy the event constituting Good Reason within 30 days after such notice has been deemed given pursuant to this Agreement; and (iii) Employee must terminate employment with the Company no later than 30 days after the end of the 30-day period in which the Company fails to remedy the event constituting Good Reason.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val="false"/>
          <w:color w:val="000000"/>
          <w:sz w:val="24"/>
          <w:u w:val="single"/>
        </w:rPr>
        <w:t>Severance Payment</w:t>
      </w:r>
      <w:r>
        <w:rPr>
          <w:color w:val="000000"/>
        </w:rPr>
        <w:t xml:space="preserve">” </w:t>
      </w:r>
      <w:r>
        <w:rPr>
          <w:rFonts w:ascii="Times New Roman;sans-serif" w:hAnsi="Times New Roman;sans-serif"/>
          <w:b w:val="false"/>
          <w:color w:val="000000"/>
          <w:sz w:val="24"/>
        </w:rPr>
        <w:t>means a payment equal to 6 months’ worth of Employee’s Base Salary.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Employee’s employment with the Company, or any of its subsidiaries or affiliates, terminates.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9865"/>
                <wp:effectExtent l="0" t="0" r="0" b="0"/>
                <wp:wrapNone/>
                <wp:docPr id="52" name="Frame52"/>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 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Payment upon Termination of Employment</w:t>
      </w:r>
      <w:r>
        <w:rPr>
          <w:rFonts w:ascii="Times New Roman;sans-serif" w:hAnsi="Times New Roman;sans-serif"/>
          <w:b w:val="false"/>
          <w:color w:val="000000"/>
          <w:sz w:val="24"/>
        </w:rPr>
        <w:t>. Subject to Sections 2.3 and 2.4, in the event of the termination of Employee’s employment with the Company, or any of its subsidiaries or affiliates, by the Company without Cause (and not due to Employee’s death or Disability) or due to Employee’s Resignation for Good Reason, in each case, so long as such termination is not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Severance Payment in one lum-sum payment on the Company’s first regular payroll date occurring after 30 days following the Termination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Payment upon Change of Control Termination</w:t>
      </w:r>
      <w:r>
        <w:rPr>
          <w:rFonts w:ascii="Times New Roman;sans-serif" w:hAnsi="Times New Roman;sans-serif"/>
          <w:b w:val="false"/>
          <w:color w:val="000000"/>
          <w:sz w:val="24"/>
        </w:rPr>
        <w:t>. Subject to Sections 2.3 and 2.4, in the event of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COC Severance Payment in one lum-sum payment on the Company’s first regular payroll date occurring after 30 days following the Termination Date; provided, however, that in the event Employee has received a Severance Payment under Section 2.1(b), the COC Severance Payment shall be reduced by the amount of such Severance Payment and payable on the Company’s first regular payroll date occurring after 30 days following the effective date of a Change of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9865"/>
                <wp:effectExtent l="0" t="0" r="0" b="0"/>
                <wp:wrapNone/>
                <wp:docPr id="53" name="Frame53"/>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Termination Date occurs after the applicable Change of Control is consummated, as of the Termination Date, the vesting of all Awards shall accelerate in full and all rights of repurchase of Award shares shall immediately lapse, with any performance-based vesting criteria deemed achieved at the target level of performance. If the Termination Date occurs prior to the date on which the applicable Change of Control is consummated, the Company shall pay Employee a lump sum cash payment based on the value of any Awards that terminated as a result of Employee’s termination of employment, but would have vested had Employee remained employed and the Termination Date had been the date the applicable Change of Control is consummated.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Employee Release</w:t>
      </w:r>
      <w:r>
        <w:rPr>
          <w:rFonts w:ascii="Times New Roman;sans-serif" w:hAnsi="Times New Roman;sans-serif"/>
          <w:b w:val="false"/>
          <w:color w:val="000000"/>
          <w:sz w:val="24"/>
        </w:rPr>
        <w:t>. In consideration for the benefits set forth above in Sections 2.1(b), 2.1(c), 2.2(b), 2.2(c) and 2.2(d), Employee shall execute and deliver the Release no later than the Release Expiration Date and the required revocation period, if any, must fully expire without revocation by Employee (the “</w:t>
      </w:r>
      <w:r>
        <w:rPr>
          <w:rFonts w:ascii="Times New Roman;sans-serif" w:hAnsi="Times New Roman;sans-serif"/>
          <w:b w:val="false"/>
          <w:color w:val="000000"/>
          <w:sz w:val="24"/>
          <w:u w:val="single"/>
        </w:rPr>
        <w:t>Release Requirement</w:t>
      </w:r>
      <w:r>
        <w:rPr>
          <w:color w:val="000000"/>
        </w:rPr>
        <w:t>”</w:t>
      </w:r>
      <w:r>
        <w:rPr>
          <w:rFonts w:ascii="Times New Roman;sans-serif" w:hAnsi="Times New Roman;sans-serif"/>
          <w:b w:val="false"/>
          <w:color w:val="000000"/>
          <w:sz w:val="24"/>
        </w:rPr>
        <w:t xml:space="preserve">). The Company shall have no obligation to pay or grant the benefits set forth in Section 2.1(b), 2.1(c), 2.2(b), 2.2(c) or 2.2(d) unless Employee satisfies the Release Requirement.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Excise Tax Cutback</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Anything in this Agreement to the contrary notwithstanding, in the event that any compensation, payment or distribution by the Company to or for the benefit of Employee, whether paid or payable or distributed or distributable pursuant to the terms of this Agreement or otherwise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(a) constitute “parachute payments” within the meaning of Section 280G of the Code, and (b) but for this Section 3 would be subject to the excise tax imposed by Section 4999 of the Code, or any comparable successor provisions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Employee’s Payments hereunder shall be either (i) provided to Employee in full, or (ii) provided to Employee as to such lesser extent which would result in no portion of such benefits being subject to the Excise Tax, whichever of the foregoing amounts, when taking into account applicable federal, state, local and foreign income and employment taxes, the Excise Tax, and any other applicable taxes, results in the receipt by Employee, on an after-tax basis, of the greatest amount of benefits, notwithstanding that all or some portion of such benefits may be subject to the Excise Tax.</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9865"/>
                <wp:effectExtent l="0" t="0" r="0" b="0"/>
                <wp:wrapNone/>
                <wp:docPr id="54" name="Frame54"/>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In the event the Payments are to be reduced pursuant to Section 3.1, the Payments shall be reduced in the following order: (a) cash payments not subject to Section 409A of the Code; (b) cash payments subject to Section 409A of the Code; (c) equity-based payments and acceleration; and (d) non-cash forms of benefits. To the extent any payment is to be made over time (e.g., in installments, etc.), then the payments shall be reduced in reverse chronological order. The determination any reduction pursuant to this Section 3 shall be made by a nationally recognized accounting firm selected and paid for by the Company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which shall provide detailed supporting calculations both to the Company and the Employee within 15 business days of the date of termination of service, if applicable, or at such earlier time as is reasonably requested by the Company or the Employee. For purposes of this determination, the Accounting Firm may make reasonable assumptions and approximations concerning applicable taxes and may rely on reasonable, good faith interpretations concerning the application of the Code, and other applicable legal authority. Any determination by the Accounting Firm shall be binding upon the Company and Employee.</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Dispute Resolution Procedures</w:t>
      </w:r>
      <w:r>
        <w:rPr>
          <w:rFonts w:ascii="Times New Roman;sans-serif" w:hAnsi="Times New Roman;sans-serif"/>
          <w:b w:val="false"/>
          <w:color w:val="000000"/>
          <w:sz w:val="24"/>
        </w:rPr>
        <w:t>. Any dispute or claim arising out of this Agreement shall be subject to final and binding arbitration. The arbitration will be conducted by one arbitrator who is a member of the American Arbitration Association (AAA) or of the Judicial Arbitration and Mediation Services (JAMS). The arbitration shall be held in Los Angeles, California. The arbitrator shall have all authority to determine the arbitrability of any claim and enter a final and binding judgment at the conclusion of any proceedings in respect of the arbitration. The party prevailing in the resolution of any such claim will be entitled, in addition to such other relief as may be granted, to an award of all fees and costs incurred in pursuit of the claim (including reasonable attorneys’ fees) without regard to any statute, schedule, or rule of court purported to restrict such award.</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Notwithstanding anything to the contrary herein, Employee reaffirms that Employee’s employment relationship with the Company is at-will, terminable at any time and for any reason by either the Company or Employee. While certain paragraphs of this Agreement describe events that could occur at a particular time in the future, nothing in this Agreement may be construed as a guarantee of employment of any length.</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and construed in accordance with the laws of the State of California, without regard to conflict-of-law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provisions of this Agreement shall inure to the benefit of, and be binding upon, the Company and its successors and assigns. Employee may not assign, pledge or encumber her interest in this Agreement or any part thereof, provided, however, that the provisions of this Agreement shall inure to the benefit of, and be binding upon Employee’s estate.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 Waiver of Breach</w:t>
      </w:r>
      <w:r>
        <w:rPr>
          <w:rFonts w:ascii="Times New Roman;sans-serif" w:hAnsi="Times New Roman;sans-serif"/>
          <w:b w:val="false"/>
          <w:color w:val="000000"/>
          <w:sz w:val="24"/>
        </w:rPr>
        <w:t>. If either party should waive any breach of any provisions of this Agreement, such party shall not thereby be deemed to have waived any preceding or succeeding breach of the same or any other provision of this Agreement. The rights granted the parties are cumulative, and the election of one will not constitute a waiver of such party’s right to assert all other legal and equitable remedies available under the circumstances.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provision will be held to be invalid or otherwise unenforceable, in whole or in part, the remainder of the provisions, or enforceable parts of this Agreement, will not be affected.</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9865"/>
                <wp:effectExtent l="0" t="0" r="0" b="0"/>
                <wp:wrapNone/>
                <wp:docPr id="55" name="Frame55"/>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including Exhibit A, constitutes the entire agreement of the parties with respect to the subject matter of this Agreement, and supersedes all prior and contemporaneous negotiations, agreements and understandings between the parties, oral or written. This Agreement may be amended or supplemented only by writing signed by both of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Modification; Waivers</w:t>
      </w:r>
      <w:r>
        <w:rPr>
          <w:rFonts w:ascii="Times New Roman;sans-serif" w:hAnsi="Times New Roman;sans-serif"/>
          <w:b w:val="false"/>
          <w:color w:val="000000"/>
          <w:sz w:val="24"/>
        </w:rPr>
        <w:t>. No modification, termination or attempted waiver of this Agreement will be valid unless in writing, signed by the party against whom such modification, termination or waiver is sought to be enforced.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Duplicate Counterparts</w:t>
      </w:r>
      <w:r>
        <w:rPr>
          <w:rFonts w:ascii="Times New Roman;sans-serif" w:hAnsi="Times New Roman;sans-serif"/>
          <w:b w:val="false"/>
          <w:color w:val="000000"/>
          <w:sz w:val="24"/>
        </w:rPr>
        <w:t>. This Agreement may be executed in duplicate counterparts; each of, which shall be deemed an original; provided, however, such counterparts shall together constitute only one instrument.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The headings contained in this Agreement are for reference purposes only and shall not affect in any way the meaning or interpretation of this Agreement. As used in this Agreement, words of the masculine gender shall mean and include corresponding neuter words or words of the feminine gender. The word “or” is not exclusive.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xml:space="preserve">. No payment to which Employee is entitled pursuant to Section 2.1 hereof shall be reduced by reason of compensation or other income received by her for services rendered after termination of her employment with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6.10</w:t>
      </w:r>
      <w:r>
        <w:rPr>
          <w:rFonts w:ascii="Times New Roman;sans-serif" w:hAnsi="Times New Roman;sans-serif"/>
          <w:b w:val="false"/>
          <w:color w:val="000000"/>
          <w:sz w:val="24"/>
          <w:u w:val="single"/>
        </w:rPr>
        <w:t>Withholding of Taxes</w:t>
      </w:r>
      <w:r>
        <w:rPr>
          <w:rFonts w:ascii="Times New Roman;sans-serif" w:hAnsi="Times New Roman;sans-serif"/>
          <w:b w:val="false"/>
          <w:color w:val="000000"/>
          <w:sz w:val="24"/>
        </w:rPr>
        <w:t xml:space="preserve">. The Company shall withhold appropriate federal, state, local (and foreign, if applicable) income and employment taxes from any payments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6.11</w:t>
      </w:r>
      <w:r>
        <w:rPr>
          <w:rFonts w:ascii="Times New Roman;sans-serif" w:hAnsi="Times New Roman;sans-serif"/>
          <w:b w:val="false"/>
          <w:color w:val="000000"/>
          <w:sz w:val="24"/>
          <w:u w:val="single"/>
        </w:rPr>
        <w:t>Drafting Ambiguities; Representation by Counsel</w:t>
      </w:r>
      <w:r>
        <w:rPr>
          <w:rFonts w:ascii="Times New Roman;sans-serif" w:hAnsi="Times New Roman;sans-serif"/>
          <w:b w:val="false"/>
          <w:color w:val="000000"/>
          <w:sz w:val="24"/>
        </w:rPr>
        <w:t xml:space="preserve">. Each party to this Agreement and its counsel have reviewed and revised this Agreement and the Release. The rule of construction that any ambiguities are to be resolved against the drafting party shall not be employed in the interpretation of this Agreement, the Release or any of the amendments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6.12</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is intended to comply with the requirements of Section 409A of the Code and the regulations and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from Section 409A. The Company shall undertake to administer, interpret, and construe this Agreement in a manner that does not result in the imposition on Employee of any additional tax, penalty, or interest under Section 409A. Each payment under this Agreement shall be treated as a separate payment for purposes of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anything herein to the contrary, in the event that Employee is a “specified employee” within the meaning of that term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9865"/>
                <wp:effectExtent l="0" t="0" r="0" b="0"/>
                <wp:wrapNone/>
                <wp:docPr id="56" name="Frame56"/>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409A(a)(2)(B) of the Code, then with regard to any payment or the provision of any benefit (whether under this Agreement or otherwise) that is considered deferred compensation under Section 409A payable on account of a “separation from service,” and that is not exempt from Section 409A as involuntary separation pay or a short-term deferral (or otherwise), to the extent necessary to avoid the imposition of excise taxes under Section 409A, such payment or benefit shall be made or provided at the date which is the earlier of (i) the expiration of the six (6)-month period measured from the date of such “separation from service” of Employee or (B) the date of Employee’s death (the “</w:t>
      </w:r>
      <w:r>
        <w:rPr>
          <w:rFonts w:ascii="Times New Roman;sans-serif" w:hAnsi="Times New Roman;sans-serif"/>
          <w:b w:val="false"/>
          <w:color w:val="000000"/>
          <w:sz w:val="24"/>
          <w:u w:val="single"/>
        </w:rPr>
        <w:t>Delay Period</w:t>
      </w:r>
      <w:r>
        <w:rPr>
          <w:color w:val="000000"/>
        </w:rPr>
        <w:t>”</w:t>
      </w:r>
      <w:r>
        <w:rPr>
          <w:rFonts w:ascii="Times New Roman;sans-serif" w:hAnsi="Times New Roman;sans-serif"/>
          <w:b w:val="false"/>
          <w:color w:val="000000"/>
          <w:sz w:val="24"/>
        </w:rPr>
        <w:t>). Upon the expiration of the Delay Period, all payments and benefits delayed pursuant to this Section 6.13(c) (whether they would have otherwise been payable in a single sum or in installments in the absence of such delay) shall be paid or reimbursed to Employee in a lump sum without interest, and any remaining payments and benefits due under this Agreement shall be paid or provided in accordance with the normal payment dates specified for them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With regard to any provision herein that provides for reimbursement of costs and expenses or in-kind benefits, except as permitted by Section 409A, all such payments shall be made on or before the last day of calendar year following the calendar year in which the expense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9865"/>
                <wp:effectExtent l="0" t="0" r="0" b="0"/>
                <wp:wrapNone/>
                <wp:docPr id="57" name="Frame57"/>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In witness whereof, this Severance and Change of Control Agreement has been executed as of the date first set forth above.</w:t>
      </w:r>
    </w:p>
    <w:p>
      <w:pPr>
        <w:pStyle w:val="TextBody"/>
        <w:bidi w:val="0"/>
        <w:spacing w:before="0" w:after="24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Arrowhead Pharmaceuticals, Inc. </w:t>
      </w:r>
    </w:p>
    <w:p>
      <w:pPr>
        <w:pStyle w:val="TextBody"/>
        <w:bidi w:val="0"/>
        <w:spacing w:before="240" w:after="24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Christopher Anzalone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Christopher Anzalone, President and CEO</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Employee</w:t>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pPr>
      <w:r>
        <w:rPr>
          <w:color w:val="000000"/>
        </w:rPr>
        <w:t>                             </w:t>
      </w:r>
      <w:r>
        <w:rPr>
          <w:color w:val="000000"/>
          <w:u w:val="single"/>
        </w:rPr>
        <w:t xml:space="preserve"> </w:t>
      </w:r>
      <w:r>
        <w:rPr>
          <w:rFonts w:ascii="Times New Roman;sans-serif" w:hAnsi="Times New Roman;sans-serif"/>
          <w:b w:val="false"/>
          <w:color w:val="000000"/>
          <w:sz w:val="24"/>
          <w:u w:val="single"/>
        </w:rPr>
        <w:t>/s/ Daniel Apel             </w:t>
        <w:br/>
      </w:r>
      <w:r>
        <w:rPr>
          <w:color w:val="000000"/>
        </w:rPr>
        <w:t xml:space="preserve">                              </w:t>
      </w:r>
      <w:r>
        <w:rPr>
          <w:rFonts w:ascii="Times New Roman;sans-serif" w:hAnsi="Times New Roman;sans-serif"/>
          <w:b w:val="false"/>
          <w:color w:val="000000"/>
          <w:sz w:val="24"/>
        </w:rPr>
        <w:t>Daniel Apel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General Release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is entered into as of &lt;Date&gt;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with reference to the following facts:</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WHEREAS, Employee and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entered into a Severance and Change of Control Agreement dated _________ __, 2024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which the parties agreed that in certain circumstances Employee would become eligible for severance payments and benefits following certain terminations of employment in exchange for Employee’s release of the Company from all claims which Employee may have against the Company.</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WHEREAS, Employee desires to dispose of, fully and completely, all claims that Employee may have against the Company in the manner set forth in this Release.</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good and valuable consideration, including the consideration set forth in Sections [2.1(b) and 2.1(c)] // [2.2(b), 2.2(c) and 2.2(d)] of the Agreement, Employee, for himself/herself and his/her heirs, successors and assigns, fully releases, and discharges Company, its officers, directors, employees, equity holders, attorneys, accountants, other professionals, insurers and agents (collectively “</w:t>
      </w:r>
      <w:r>
        <w:rPr>
          <w:rFonts w:ascii="Times New Roman;sans-serif" w:hAnsi="Times New Roman;sans-serif"/>
          <w:b w:val="false"/>
          <w:color w:val="000000"/>
          <w:sz w:val="24"/>
          <w:u w:val="single"/>
        </w:rPr>
        <w:t>Agents</w:t>
      </w:r>
      <w:r>
        <w:rPr>
          <w:color w:val="000000"/>
        </w:rPr>
        <w:t>”</w:t>
      </w:r>
      <w:r>
        <w:rPr>
          <w:rFonts w:ascii="Times New Roman;sans-serif" w:hAnsi="Times New Roman;sans-serif"/>
          <w:b w:val="false"/>
          <w:color w:val="000000"/>
          <w:sz w:val="24"/>
        </w:rPr>
        <w:t>), and all entities related to each such party, including, but not limited to, heirs, executors, administrators, personal representatives, assigns, parent, subsidiary and sister corporations, affiliates, partners and co-venturers (collectively “</w:t>
      </w:r>
      <w:r>
        <w:rPr>
          <w:rFonts w:ascii="Times New Roman;sans-serif" w:hAnsi="Times New Roman;sans-serif"/>
          <w:b w:val="false"/>
          <w:color w:val="000000"/>
          <w:sz w:val="24"/>
          <w:u w:val="single"/>
        </w:rPr>
        <w:t>Released Entities</w:t>
      </w:r>
      <w:r>
        <w:rPr>
          <w:color w:val="000000"/>
        </w:rPr>
        <w:t>”</w:t>
      </w:r>
      <w:r>
        <w:rPr>
          <w:rFonts w:ascii="Times New Roman;sans-serif" w:hAnsi="Times New Roman;sans-serif"/>
          <w:b w:val="false"/>
          <w:color w:val="000000"/>
          <w:sz w:val="24"/>
        </w:rPr>
        <w:t>), from all rights, claims, demands, actions, causes of action, liabilities and obligations of every kind, nature and description whatsoever, Employee now has, owns or holds or has at anytime had, owned or held or may have against the Company, Agents or Related Entities from any source whatsoever, whether or not arising from or related to the facts recited in this Release. Employee specifically releases and waives (i) any and all claims arising under any express or implied contract, (ii) any and all claims arising under public policy, tort or common law, (iii) any and all claims arising under federal, state or local law, rule, regulation or ordinance, including, without limitation, Title VII of the Civil Rights Act of 1964, the Civil Rights Act of 1991, the Americans with Disabilities Act, the Employee Retirement Income Security Act of 1974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the National Labor Relations Act, the Occupational Safety and Health Act, the Family and Medical Leave Act of 1993, [and] [</w:t>
      </w:r>
      <w:r>
        <w:rPr>
          <w:rFonts w:ascii="Times New Roman;sans-serif" w:hAnsi="Times New Roman;sans-serif"/>
          <w:b/>
          <w:color w:val="000000"/>
          <w:sz w:val="24"/>
        </w:rPr>
        <w:t>California employees:</w:t>
      </w:r>
      <w:r>
        <w:rPr>
          <w:color w:val="000000"/>
        </w:rPr>
        <w:t xml:space="preserve"> </w:t>
      </w:r>
      <w:r>
        <w:rPr>
          <w:rFonts w:ascii="Times New Roman;sans-serif" w:hAnsi="Times New Roman;sans-serif"/>
          <w:b w:val="false"/>
          <w:color w:val="000000"/>
          <w:sz w:val="24"/>
        </w:rPr>
        <w:t>the California Fair Employment and Housing Act] [</w:t>
      </w:r>
      <w:r>
        <w:rPr>
          <w:rFonts w:ascii="Times New Roman;sans-serif" w:hAnsi="Times New Roman;sans-serif"/>
          <w:b/>
          <w:color w:val="000000"/>
          <w:sz w:val="24"/>
        </w:rPr>
        <w:t>Wisconsin Employees:</w:t>
      </w:r>
      <w:r>
        <w:rPr>
          <w:color w:val="000000"/>
        </w:rPr>
        <w:t xml:space="preserve"> </w:t>
      </w:r>
      <w:r>
        <w:rPr>
          <w:rFonts w:ascii="Times New Roman;sans-serif" w:hAnsi="Times New Roman;sans-serif"/>
          <w:b w:val="false"/>
          <w:color w:val="000000"/>
          <w:sz w:val="24"/>
        </w:rPr>
        <w:t>the Wisconsin Fair Employment Act, the California Wisconsin Family and Medical Leave Law, the Wisconsin Personnel Records Statute] [and the Age Discrimination in Employment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(iv) any allegations for costs, fees, or other expenses, including attorneys’ fees incurred in or with respect to any such claims, (v) any and all rights, benefits or claims Employee may have under any employment contract (including the Agreement), incentive compensation plan or equity-based plan with any Released Entity (including the Company Equity Plans), and (vi) any claim for compensation or benefits of any kind not expressly set forth in the Agreement (collectively, the “</w:t>
      </w:r>
      <w:r>
        <w:rPr>
          <w:rFonts w:ascii="Times New Roman;sans-serif" w:hAnsi="Times New Roman;sans-serif"/>
          <w:b w:val="false"/>
          <w:color w:val="000000"/>
          <w:sz w:val="24"/>
          <w:u w:val="single"/>
        </w:rPr>
        <w:t>Release Claims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the Employee is not releasing (a) the right to enforce this agreement, (b) any rights to indemnification pursuant to agreement, by-law, policy or statute, if any, that the Employee maintains, (c) any claim that arises after the date that Employee signs this Release or (d) any claim to vested benefits under an employee benefit plan that is subject to ERISA. Further notwithstanding this release of liability, nothing in this Release prevents Employee from filing any non-legally waivable claim (including a challenge to the validity of this Release)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or comparable state or local agency or participating in (or cooperating with) any investigation or proceeding conducted by the EEOC or comparable state or local agency or cooperating in any such investigation or proceeding; however, Employee understands and agrees that Employee is waiving any and all rights to recover any monetary or personal relief from a Released Entity as a result of such EEOC or comparable state or local agency or proceeding or subsequent legal actions. Further, nothing in this Release or the Agreement prohibits or restricts Employee from filing a charge or complaint with, or cooperating in any investigation with, the Securities and Exchange Commission, the Financial Industry Regulatory Authority, or any other securities regulatory agency or authority (each, a “</w:t>
      </w:r>
      <w:r>
        <w:rPr>
          <w:rFonts w:ascii="Times New Roman;sans-serif" w:hAnsi="Times New Roman;sans-serif"/>
          <w:b w:val="false"/>
          <w:color w:val="000000"/>
          <w:sz w:val="24"/>
          <w:u w:val="single"/>
        </w:rPr>
        <w:t>Government Agency</w:t>
      </w:r>
      <w:r>
        <w:rPr>
          <w:color w:val="000000"/>
        </w:rPr>
        <w:t>”</w:t>
      </w:r>
      <w:r>
        <w:rPr>
          <w:rFonts w:ascii="Times New Roman;sans-serif" w:hAnsi="Times New Roman;sans-serif"/>
          <w:b w:val="false"/>
          <w:color w:val="000000"/>
          <w:sz w:val="24"/>
        </w:rPr>
        <w:t>). This Release does not limit Employee’s right to receive an award for information provided to a Government Agency.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represents and warrants that, as of the time at which Employee signs this Agreement, Employee has not filed or joined any claims, complaints, charges, or lawsuits against any of the Released Entities with any governmental agency or with any state or federal court or arbitrator for, or with respect to, a matter, claim, or incident that occurred or arose out of one or more occurrences that took place on or prior to the time at which Employee signs this Release. Employee further represents and warrants that Employee has not made any assignment, sale, delivery, transfer or conveyance of any rights Employee has asserted or may have against any of the Released Entities with respect to any Released Claim.</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Waiver of Certain Claims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Employee acknowledges that Employee has been advised in writing of Employee’s right to consult with an attorney prior to executing the waivers set out in this Release, and that Employee has been given sufficient time [(and at least 21 days following Employee’s receipt of this Release)] in which to review and consider this Release. If Employee signs this Release before the expiration of such period, Employee has knowingly and voluntarily waived any longer consideration period than the one provided to Employee. No changes (whether material or immaterial) to this Release shall restart the running of any such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This Release is intended as a full and complete release and discharge of any and all claims that Employee may have against the Company or any Agents or Related Entities. In making this release, Employee intends to release the Company, Agents and Related Entities from liability of any nature whatsoever for any claim of damages or injury or for equitable or declaratory relief of any kind, whether the claim, or any facts on which such claim might be based, is known or unknown to Employee. Employee expressly waives all rights under §1542 of the California Civil Code , which Employee understands provides as follows:</w:t>
      </w:r>
    </w:p>
    <w:p>
      <w:pPr>
        <w:pStyle w:val="TextBody"/>
        <w:bidi w:val="0"/>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acknowledges that Employee may discover facts different from or in addition to those that he/she now believes to be true with respect to this Release. Employee agrees that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Release shall remain effective notwithstanding the discovery of any different or additional facts.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[Revocation Right</w:t>
      </w:r>
      <w:r>
        <w:rPr>
          <w:rFonts w:ascii="Times New Roman;sans-serif" w:hAnsi="Times New Roman;sans-serif"/>
          <w:b w:val="false"/>
          <w:color w:val="000000"/>
          <w:sz w:val="24"/>
        </w:rPr>
        <w:t>. Notwithstanding the initial effectiveness of this Release, Employee may revoke the delivery (and therefore the effectiveness) of this Release within the seven-day period beginning on the date Employee executes this Release (such seven-day period being referred to herein as the “</w:t>
      </w:r>
      <w:r>
        <w:rPr>
          <w:rFonts w:ascii="Times New Roman;sans-serif" w:hAnsi="Times New Roman;sans-serif"/>
          <w:b w:val="false"/>
          <w:color w:val="000000"/>
          <w:sz w:val="24"/>
          <w:u w:val="single"/>
        </w:rPr>
        <w:t>Release Revocation Period</w:t>
      </w:r>
      <w:r>
        <w:rPr>
          <w:color w:val="000000"/>
        </w:rPr>
        <w:t>”</w:t>
      </w:r>
      <w:r>
        <w:rPr>
          <w:rFonts w:ascii="Times New Roman;sans-serif" w:hAnsi="Times New Roman;sans-serif"/>
          <w:b w:val="false"/>
          <w:color w:val="000000"/>
          <w:sz w:val="24"/>
        </w:rPr>
        <w:t>). To be effective, such revocation must be in writing signed by Employee and must be delivered personally or by courier to the Company to the Company so that it is received by &lt;Name&gt;, &lt;Address&gt; (email: &lt;Email&gt;) by 11:59 p.m., &lt;Location&gt; time, on the Release Revocation Expiration Date. If an effective revocation is delivered in the foregoing manner and timeframe, the release of claims set forth in Sections 1 and 2 of this Release will be of no force or effect, Employee will not receive the payments, benefits or consideration set forth in Sections [2.1(b) and 2.1(c)] // [2.2(b), 2.2(c) and 2.2(d)] of the Agreement], and the remainder of this Agreement will remain in full force and effect.]</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Confidentiality Agreement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acknowledges and reaffirms that Employee's obligations in respect of the At-will Employment, Confidentiality and Proprietary Rights Agreement entered into between the parties on ________ (the “</w:t>
      </w:r>
      <w:r>
        <w:rPr>
          <w:rFonts w:ascii="Times New Roman;sans-serif" w:hAnsi="Times New Roman;sans-serif"/>
          <w:b w:val="false"/>
          <w:color w:val="000000"/>
          <w:sz w:val="24"/>
          <w:u w:val="single"/>
        </w:rPr>
        <w:t>Confidentiality Agreement</w:t>
      </w:r>
      <w:r>
        <w:rPr>
          <w:color w:val="000000"/>
        </w:rPr>
        <w:t>”</w:t>
      </w:r>
      <w:r>
        <w:rPr>
          <w:rFonts w:ascii="Times New Roman;sans-serif" w:hAnsi="Times New Roman;sans-serif"/>
          <w:b w:val="false"/>
          <w:color w:val="000000"/>
          <w:sz w:val="24"/>
        </w:rPr>
        <w:t>) shall remain in full force and effect following the execution of this Release, and Employee hereby represents that Employee has complied and will continue to fully comply with those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nothing herein or in the Agreement will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Employee agrees that Employee will not at any time disparage, criticize or ridicule any of the Released Entities, or make any negative public comments, whether by way of news interviews, posting comments on, or publishing internet blogs or webpages (whether or not done anonymously), publishing or circulating any other form of media, or the expression of Employee's personal views, opinions or judgments to the media, internet blogs and webpages, or otherwise (whether or not done anonymously), or to current or former officers, directors or employees of the Released Entities.</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Employee agrees that Employee will cooperate with the Company (or its present and former parents, subsidiaries, affiliates or related entities) and its legal counsel in connection with any current or future litigation, pursuant to the issuance of a valid subpoena, relating to matters with which Employee was involved or of which Employee has knowledge or which occurred during Employee's employment at the Company. Such assistance will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not be limited to, depositions and testimony and will continue until such matters are resolved. The Company will provide Employee with reasonable notice whenever possible of the need for cooperation; will make all reasonable efforts to schedule cooperation so as not to interfere with Employee's employment or professional obligations; and will reimburse Employee for all reasonable travel, lodging and meal costs incurred in providing requested assistance.</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xml:space="preserve">. Employee represents that Employee has returned to the Company all company property and equipment of any kind in Employee's possession or control. This includes computer equipment (hardware and software), BlackBerry, iPhone or similar device, credit cards, office keys, security access cards, badges, identification cards and all files, documents, copies (including drafts) of any documentation or information (however stored), relating to the business of the Released Entities, their clients or prospective clients. </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Employee hereby covenants and agrees that for a period of twelve months following the effective date of this Release, Employee shall not, without the written consent of the Company, either directly or indirectly: solicit, offer employment to, or take any other action intended (or that a reasonable person acting in like circumstances would expect) to have the effect of causing any officer or employee of the Company or any of its subsidiaries or affiliates, to terminate his or her employment and accept employment or become affiliated with or provide services for compensation in any capacity whatsoever to, any business whatsoever that competes with the business of the Company or any of its direct or indirect subsidiaries or affiliates.</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Undue Influence</w:t>
      </w:r>
      <w:r>
        <w:rPr>
          <w:rFonts w:ascii="Times New Roman;sans-serif" w:hAnsi="Times New Roman;sans-serif"/>
          <w:b w:val="false"/>
          <w:color w:val="000000"/>
          <w:sz w:val="24"/>
        </w:rPr>
        <w:t>. This Release is executed voluntarily and without any duress or undue influence. Employee acknowledges Employee has read this Release and executed it with full and free consent. No provision of this Release shall be construed against any party by virtue of the fact that such party or its counsel drafted such provision or the entirety of this Release. Employee has been advised, and hereby is advised in writing, to discuss this Release with an attorney of Employee’s choice and that Employee has had an adequate opportunity to do so prior to executing this Agreement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 Employee expressly acknowledges and agrees that each Released Entity shall be a third-party beneficiary of Sections 1, 2, 4, 5, 6, 7, and 8 of this Release and entitled to enforce such provisions as if it were a party hereto.</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Release, the Agreement and the Confidentiality Agreement together constitute the entire agreement of the parties with respect to the subject matter of this Release, and supersedes all prior and contemporaneous negotiations, agreements and understandings between the parties, oral or written.</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supplemented only by writing signed by Employee and the Company.</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Incorporation of the Agreement</w:t>
      </w:r>
      <w:r>
        <w:rPr>
          <w:rFonts w:ascii="Times New Roman;sans-serif" w:hAnsi="Times New Roman;sans-serif"/>
          <w:b w:val="false"/>
          <w:color w:val="000000"/>
          <w:sz w:val="24"/>
        </w:rPr>
        <w:t xml:space="preserve">. Sections 4, 6.1, 6.2 6.4, 6.6, and 6.8 of the Agreement are hereby incorporated by references and shall apply as if fully stated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        ___________________________</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Employee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SEVERANCE AND CHANGE OF CONTROL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Severance and Change of Control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9,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Patrick O’Brien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considers the continued availability of Employee’s services to be in the best interest of the Company and its stockholders and desires to assure the continued services of Employee on behalf of the Company, including through a Change of Control (as defined below);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further believes that it is necessary to provide Employee with certain benefits upon termination of Employee’s employment, which benefits are intended to provide Employee with financial security and provide sufficient income and encouragement to Employee to remain employed by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covenants and agreements contained herein, and in consideration of the continuing employment of Employee by the Company, the parties hereto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val="false"/>
          <w:color w:val="000000"/>
          <w:sz w:val="24"/>
          <w:u w:val="single"/>
        </w:rPr>
        <w:t>Awards</w:t>
      </w:r>
      <w:r>
        <w:rPr>
          <w:color w:val="000000"/>
        </w:rPr>
        <w:t xml:space="preserve">” </w:t>
      </w:r>
      <w:r>
        <w:rPr>
          <w:rFonts w:ascii="Times New Roman;sans-serif" w:hAnsi="Times New Roman;sans-serif"/>
          <w:b w:val="false"/>
          <w:color w:val="000000"/>
          <w:sz w:val="24"/>
        </w:rPr>
        <w:t xml:space="preserve">means Employee’s outstanding stock options, restricted stock awards, restricted stock units, stock appreciation rights and other equity-based awards granted under the Company Equity Plans, in each case that remain outstanding immediately following a Change of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 xml:space="preserve">means Employee’s gross monthly salary as in effect on the Termination Date, which, for the avoidance of doubt, excludes any bonus or other incentive compensation; provided, however, that in the event of a Resignation for Good Reason as a result of a material diminution in Employee’s annualized base salary, “Base Salary” means Employee’s gross monthly salary as in effect immediately prior to such diminution (excluding any bonus or other incentive compensation).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Employee's failure to perform his or her duties (other than any such failure resulting from incapacity due to physical or mental illness);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Employee’s failure to comply with any valid and legal directive of the Board or the person to whom the Employee reports;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Employee’s engagement in dishonesty, illegal conduct or misconduct, which is, in each case, materially injurious to the Company or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Employee’s embezzlement, misappropriation or fraud, whether or not related to the Employee’s employment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Employee’s conviction of or plea of guilty or nolo contendere to a crime that constitutes a felony (or state law equivalent) or a crime that constitutes a misdemeanor involving moral turpitude, if such felony or other crime is work-related, materially impairs the Employee’s ability to perform services for the Company or results in reputational or financial harm to the Company or its affiliates;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Employee’s violation of a material policy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have occurred if, and only if: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individual, partnership, firm, corporation, association, trust, unincorporated organization or other entity or person, or any syndicate or group deemed to be a person under Section 14(d)(2)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is or becomes the “Beneficial Owner” (as defined in Rule 13d-3 under the Exchange Act), directly or indirectly, of securities of the Company representing 50% or more of the combined voting power of the Company’s then outstanding securities entitled to vote in the election of directors of the Company;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there occurs a reorganization, merger, consolidation or other corporate transaction involving the Company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in each case, with respect to which the equity holders of the Company immediately prior to such Transaction do not, immediately after the Transaction, own, directly or indirectly, more than 50% of the combined voting power of the Company’s then outstanding securities entitled to vote in the election of directors of the Company or of the securities of any other corporation resulting from such Transaction;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or substantially all of the assets of the Company are sold, liquidated or distributed to an unrelated third party, other than in connection with a bankruptcy, insolvency or other similar proceeding, or an assignment for the benefit of creditors.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 Termination</w:t>
      </w:r>
      <w:r>
        <w:rPr>
          <w:color w:val="000000"/>
        </w:rPr>
        <w:t xml:space="preserve">” </w:t>
      </w:r>
      <w:r>
        <w:rPr>
          <w:rFonts w:ascii="Times New Roman;sans-serif" w:hAnsi="Times New Roman;sans-serif"/>
          <w:b w:val="false"/>
          <w:color w:val="000000"/>
          <w:sz w:val="24"/>
        </w:rPr>
        <w:t>shall have occurred if Employee’s employment with the Company, or any of its subsidiaries or affiliates, is terminated by the Company without Cause (and not due to Employee’s death or Disability) or Employee resigns in a Resignation for Good Reason, in each case, during the period beginning on the date that is three months preceding the signing of a definitive agreement, the consummation of which would result in a Change of Control through the first anniversary of the effective date of a Change of Control; provided, however, that any such termination of employment that occurs prior to the occurrence of a Change of Control shall only be considered a “Change of Control Termination” if and when the applicable Change of Control is consummated.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 xml:space="preserve">means (a) Employee is unable to engage in any substantial gainful activity because of a medically determinable physical or mental impairment that can be expected to result in death or to last for a continuous period of at least 12 months; or (b) Employee has been receiving income replacement benefits for at least three months under an accident and health plan as the result of a medically determinable physical or mental impairment that can be expected to result in death or to last for a continuous period of at least 12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val="false"/>
          <w:color w:val="000000"/>
          <w:sz w:val="24"/>
          <w:u w:val="single"/>
        </w:rPr>
        <w:t>COBRA</w:t>
      </w:r>
      <w:r>
        <w:rPr>
          <w:color w:val="000000"/>
        </w:rPr>
        <w:t xml:space="preserve">” </w:t>
      </w:r>
      <w:r>
        <w:rPr>
          <w:rFonts w:ascii="Times New Roman;sans-serif" w:hAnsi="Times New Roman;sans-serif"/>
          <w:b w:val="false"/>
          <w:color w:val="000000"/>
          <w:sz w:val="24"/>
        </w:rPr>
        <w:t>means the Consolidated Omnibus Budget Reconciliation Act of 1985.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val="false"/>
          <w:color w:val="000000"/>
          <w:sz w:val="24"/>
          <w:u w:val="single"/>
        </w:rPr>
        <w:t>COBRA Period</w:t>
      </w:r>
      <w:r>
        <w:rPr>
          <w:color w:val="000000"/>
        </w:rPr>
        <w:t xml:space="preserve">” </w:t>
      </w:r>
      <w:r>
        <w:rPr>
          <w:rFonts w:ascii="Times New Roman;sans-serif" w:hAnsi="Times New Roman;sans-serif"/>
          <w:b w:val="false"/>
          <w:color w:val="000000"/>
          <w:sz w:val="24"/>
        </w:rPr>
        <w:t xml:space="preserve">means the 12-month period following the Termination Date; provided, however, in the event of a Change of Control Termination, “COBRA Period” means the 18-month period following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9865"/>
                <wp:effectExtent l="0" t="0" r="0" b="0"/>
                <wp:wrapNone/>
                <wp:docPr id="64" name="Frame64"/>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val="false"/>
          <w:color w:val="000000"/>
          <w:sz w:val="24"/>
          <w:u w:val="single"/>
        </w:rPr>
        <w:t>COC Severance Payment</w:t>
      </w:r>
      <w:r>
        <w:rPr>
          <w:color w:val="000000"/>
        </w:rPr>
        <w:t xml:space="preserve">” </w:t>
      </w:r>
      <w:r>
        <w:rPr>
          <w:rFonts w:ascii="Times New Roman;sans-serif" w:hAnsi="Times New Roman;sans-serif"/>
          <w:b w:val="false"/>
          <w:color w:val="000000"/>
          <w:sz w:val="24"/>
        </w:rPr>
        <w:t xml:space="preserve">means a payment equal to (a) 12 months’ worth of Employee’s Base Salary,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(b) one and one-half times Employee’s target annual cash bonus amount for the year in which the Termination Date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val="false"/>
          <w:color w:val="000000"/>
          <w:sz w:val="24"/>
          <w:u w:val="single"/>
        </w:rPr>
        <w:t>Company Equity Plans</w:t>
      </w:r>
      <w:r>
        <w:rPr>
          <w:color w:val="000000"/>
        </w:rPr>
        <w:t xml:space="preserve">” </w:t>
      </w:r>
      <w:r>
        <w:rPr>
          <w:rFonts w:ascii="Times New Roman;sans-serif" w:hAnsi="Times New Roman;sans-serif"/>
          <w:b w:val="false"/>
          <w:color w:val="000000"/>
          <w:sz w:val="24"/>
        </w:rPr>
        <w:t>means the Arrowhead Research Corporation 2004 Equity Incentive Plan, the Arrowhead Research Corporation 2013 Incentive Plan, and any other equity incentive plan of the Company, and any stock option agreements, award notices, stock purchase agreements or other agreements or instruments executed and delivered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color w:val="000000"/>
        </w:rPr>
        <w:t xml:space="preserve"> “</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means a general release,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 may be modified to account for changes in applicable laws), by Employee of all claims against the Company and its affiliates as of the date such general release is executed by Employee.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val="false"/>
          <w:color w:val="000000"/>
          <w:sz w:val="24"/>
          <w:u w:val="single"/>
        </w:rPr>
        <w:t>Release Expiration Date</w:t>
      </w:r>
      <w:r>
        <w:rPr>
          <w:color w:val="000000"/>
        </w:rPr>
        <w:t xml:space="preserve">” </w:t>
      </w:r>
      <w:r>
        <w:rPr>
          <w:rFonts w:ascii="Times New Roman;sans-serif" w:hAnsi="Times New Roman;sans-serif"/>
          <w:b w:val="false"/>
          <w:color w:val="000000"/>
          <w:sz w:val="24"/>
        </w:rPr>
        <w:t>is the date that is 21 days following the date upon which the Company delivers the Release to Employee (which shall occur no later than seven days after the Termination Date) or, the event that such termination of employment is “in connection with an exit incentive or other employment termination program” (as such phrase is defined in the Age Discrimination in Employment Act of 1967), the date that is 45 days following such delivery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val="false"/>
          <w:color w:val="000000"/>
          <w:sz w:val="24"/>
          <w:u w:val="single"/>
        </w:rPr>
        <w:t>Resignation for Good Reason</w:t>
      </w:r>
      <w:r>
        <w:rPr>
          <w:color w:val="000000"/>
        </w:rPr>
        <w:t xml:space="preserve">” </w:t>
      </w:r>
      <w:r>
        <w:rPr>
          <w:rFonts w:ascii="Times New Roman;sans-serif" w:hAnsi="Times New Roman;sans-serif"/>
          <w:b w:val="false"/>
          <w:color w:val="000000"/>
          <w:sz w:val="24"/>
        </w:rPr>
        <w:t xml:space="preserve">for purposes of this Agreement means a resignation based on any of the following events occurring in each case without Employee’s consent, each of which shall constitute “Good Reason,” subject to the notice and cure provisions set forth below: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material diminution in Employee’s authority, duties, reporting relationship,</w:t>
      </w:r>
      <w:r>
        <w:rPr>
          <w:color w:val="0000FF"/>
        </w:rPr>
        <w:t xml:space="preserve"> </w:t>
      </w:r>
      <w:r>
        <w:rPr>
          <w:rFonts w:ascii="Times New Roman;sans-serif" w:hAnsi="Times New Roman;sans-serif"/>
          <w:b w:val="false"/>
          <w:color w:val="000000"/>
          <w:sz w:val="24"/>
        </w:rPr>
        <w:t xml:space="preserve">or responsibilities;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material diminution in Employee’s annualized base salary;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material change in geographic location at which the Employee must perform the services.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constitute a Resignation for Good Reason: (i) Employee must provide written notice to the Company within 90 days of the initial existence of the event constituting Good Reason; (ii) Employee may not terminate his or her employment unless the Company fails to remedy the event constituting Good Reason within 30 days after such notice has been deemed given pursuant to this Agreement; and (iii) Employee must terminate employment with the Company no later than 30 days after the end of the 30-day period in which the Company fails to remedy the event constituting Good Reason.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val="false"/>
          <w:color w:val="000000"/>
          <w:sz w:val="24"/>
          <w:u w:val="single"/>
        </w:rPr>
        <w:t>Severance Payment</w:t>
      </w:r>
      <w:r>
        <w:rPr>
          <w:color w:val="000000"/>
        </w:rPr>
        <w:t xml:space="preserve">” </w:t>
      </w:r>
      <w:r>
        <w:rPr>
          <w:rFonts w:ascii="Times New Roman;sans-serif" w:hAnsi="Times New Roman;sans-serif"/>
          <w:b w:val="false"/>
          <w:color w:val="000000"/>
          <w:sz w:val="24"/>
        </w:rPr>
        <w:t>means a payment equal to 6 months’ worth of Employee’s Base Salary.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Employee’s employment with the Company, or any of its subsidiaries or affiliates, terminates.</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9865"/>
                <wp:effectExtent l="0" t="0" r="0" b="0"/>
                <wp:wrapNone/>
                <wp:docPr id="65" name="Frame65"/>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 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Payment upon Termination of Employment</w:t>
      </w:r>
      <w:r>
        <w:rPr>
          <w:rFonts w:ascii="Times New Roman;sans-serif" w:hAnsi="Times New Roman;sans-serif"/>
          <w:b w:val="false"/>
          <w:color w:val="000000"/>
          <w:sz w:val="24"/>
        </w:rPr>
        <w:t>. Subject to Sections 2.3 and 2.4, in the event of the termination of Employee’s employment with the Company, or any of its subsidiaries or affiliates, by the Company without Cause (and not due to Employee’s death or Disability) or due to Employee’s Resignation for Good Reason, in each case, so long as such termination is not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Severance Payment in one lum-sum payment on the Company’s first regular payroll date occurring after 30 days following the Termination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Payment upon Change of Control Termination</w:t>
      </w:r>
      <w:r>
        <w:rPr>
          <w:rFonts w:ascii="Times New Roman;sans-serif" w:hAnsi="Times New Roman;sans-serif"/>
          <w:b w:val="false"/>
          <w:color w:val="000000"/>
          <w:sz w:val="24"/>
        </w:rPr>
        <w:t>. Subject to Sections 2.3 and 2.4, in the event of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COC Severance Payment in one lum-sum payment on the Company’s first regular payroll date occurring after 30 days following the Termination Date; provided, however, that in the event Employee has received a Severance Payment under Section 2.1(b), the COC Severance Payment shall be reduced by the amount of such Severance Payment and payable on the Company’s first regular payroll date occurring after 30 days following the effective date of a Change of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9865"/>
                <wp:effectExtent l="0" t="0" r="0" b="0"/>
                <wp:wrapNone/>
                <wp:docPr id="66" name="Frame66"/>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Termination Date occurs after the applicable Change of Control is consummated, as of the Termination Date, the vesting of all Awards shall accelerate in full and all rights of repurchase of Award shares shall immediately lapse, with any performance-based vesting criteria deemed achieved at the target level of performance. If the Termination Date occurs prior to the date on which the applicable Change of Control is consummated, the Company shall pay Employee a lump sum cash payment based on the value of any Awards that terminated as a result of Employee’s termination of employment, but would have vested had Employee remained employed and the Termination Date had been the date the applicable Change of Control is consummated.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Employee Release</w:t>
      </w:r>
      <w:r>
        <w:rPr>
          <w:rFonts w:ascii="Times New Roman;sans-serif" w:hAnsi="Times New Roman;sans-serif"/>
          <w:b w:val="false"/>
          <w:color w:val="000000"/>
          <w:sz w:val="24"/>
        </w:rPr>
        <w:t>. In consideration for the benefits set forth above in Sections 2.1(b), 2.1(c), 2.2(b), 2.2(c) and 2.2(d), Employee shall execute and deliver the Release no later than the Release Expiration Date and the required revocation period, if any, must fully expire without revocation by Employee (the “</w:t>
      </w:r>
      <w:r>
        <w:rPr>
          <w:rFonts w:ascii="Times New Roman;sans-serif" w:hAnsi="Times New Roman;sans-serif"/>
          <w:b w:val="false"/>
          <w:color w:val="000000"/>
          <w:sz w:val="24"/>
          <w:u w:val="single"/>
        </w:rPr>
        <w:t>Release Requirement</w:t>
      </w:r>
      <w:r>
        <w:rPr>
          <w:color w:val="000000"/>
        </w:rPr>
        <w:t>”</w:t>
      </w:r>
      <w:r>
        <w:rPr>
          <w:rFonts w:ascii="Times New Roman;sans-serif" w:hAnsi="Times New Roman;sans-serif"/>
          <w:b w:val="false"/>
          <w:color w:val="000000"/>
          <w:sz w:val="24"/>
        </w:rPr>
        <w:t xml:space="preserve">). The Company shall have no obligation to pay or grant the benefits set forth in Section 2.1(b), 2.1(c), 2.2(b), 2.2(c) or 2.2(d) unless Employee satisfies the Release Requirement.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Excise Tax Cutback</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Anything in this Agreement to the contrary notwithstanding, in the event that any compensation, payment or distribution by the Company to or for the benefit of Employee, whether paid or payable or distributed or distributable pursuant to the terms of this Agreement or otherwise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(a) constitute “parachute payments” within the meaning of Section 280G of the Code, and (b) but for this Section 3 would be subject to the excise tax imposed by Section 4999 of the Code, or any comparable successor provisions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Employee’s Payments hereunder shall be either (i) provided to Employee in full, or (ii) provided to Employee as to such lesser extent which would result in no portion of such benefits being subject to the Excise Tax, whichever of the foregoing amounts, when taking into account applicable federal, state, local and foreign income and employment taxes, the Excise Tax, and any other applicable taxes, results in the receipt by Employee, on an after-tax basis, of the greatest amount of benefits, notwithstanding that all or some portion of such benefits may be subject to the Excise Tax.</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9865"/>
                <wp:effectExtent l="0" t="0" r="0" b="0"/>
                <wp:wrapNone/>
                <wp:docPr id="67" name="Frame67"/>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In the event the Payments are to be reduced pursuant to Section 3.1, the Payments shall be reduced in the following order: (a) cash payments not subject to Section 409A of the Code; (b) cash payments subject to Section 409A of the Code; (c) equity-based payments and acceleration; and (d) non-cash forms of benefits. To the extent any payment is to be made over time (e.g., in installments, etc.), then the payments shall be reduced in reverse chronological order. The determination any reduction pursuant to this Section 3 shall be made by a nationally recognized accounting firm selected and paid for by the Company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which shall provide detailed supporting calculations both to the Company and the Employee within 15 business days of the date of termination of service, if applicable, or at such earlier time as is reasonably requested by the Company or the Employee. For purposes of this determination, the Accounting Firm may make reasonable assumptions and approximations concerning applicable taxes and may rely on reasonable, good faith interpretations concerning the application of the Code, and other applicable legal authority. Any determination by the Accounting Firm shall be binding upon the Company and Employee.</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Dispute Resolution Procedures</w:t>
      </w:r>
      <w:r>
        <w:rPr>
          <w:rFonts w:ascii="Times New Roman;sans-serif" w:hAnsi="Times New Roman;sans-serif"/>
          <w:b w:val="false"/>
          <w:color w:val="000000"/>
          <w:sz w:val="24"/>
        </w:rPr>
        <w:t>. Any dispute or claim arising out of this Agreement shall be subject to final and binding arbitration. The arbitration will be conducted by one arbitrator who is a member of the American Arbitration Association (AAA) or of the Judicial Arbitration and Mediation Services (JAMS). The arbitration shall be held in Los Angeles, California. The arbitrator shall have all authority to determine the arbitrability of any claim and enter a final and binding judgment at the conclusion of any proceedings in respect of the arbitration. The party prevailing in the resolution of any such claim will be entitled, in addition to such other relief as may be granted, to an award of all fees and costs incurred in pursuit of the claim (including reasonable attorneys’ fees) without regard to any statute, schedule, or rule of court purported to restrict such award.</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Notwithstanding anything to the contrary herein, Employee reaffirms that Employee’s employment relationship with the Company is at-will, terminable at any time and for any reason by either the Company or Employee. While certain paragraphs of this Agreement describe events that could occur at a particular time in the future, nothing in this Agreement may be construed as a guarantee of employment of any length.</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and construed in accordance with the laws of the State of California, without regard to conflict-of-law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provisions of this Agreement shall inure to the benefit of, and be binding upon, the Company and its successors and assigns. Employee may not assign, pledge or encumber her interest in this Agreement or any part thereof, provided, however, that the provisions of this Agreement shall inure to the benefit of, and be binding upon Employee’s estate.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 Waiver of Breach</w:t>
      </w:r>
      <w:r>
        <w:rPr>
          <w:rFonts w:ascii="Times New Roman;sans-serif" w:hAnsi="Times New Roman;sans-serif"/>
          <w:b w:val="false"/>
          <w:color w:val="000000"/>
          <w:sz w:val="24"/>
        </w:rPr>
        <w:t>. If either party should waive any breach of any provisions of this Agreement, such party shall not thereby be deemed to have waived any preceding or succeeding breach of the same or any other provision of this Agreement. The rights granted the parties are cumulative, and the election of one will not constitute a waiver of such party’s right to assert all other legal and equitable remedies available under the circumstances.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provision will be held to be invalid or otherwise unenforceable, in whole or in part, the remainder of the provisions, or enforceable parts of this Agreement, will not be affected.</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9865"/>
                <wp:effectExtent l="0" t="0" r="0" b="0"/>
                <wp:wrapNone/>
                <wp:docPr id="68" name="Frame68"/>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including Exhibit A, constitutes the entire agreement of the parties with respect to the subject matter of this Agreement, and supersedes all prior and contemporaneous negotiations, agreements and understandings between the parties, oral or written. This Agreement may be amended or supplemented only by writing signed by both of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Modification; Waivers</w:t>
      </w:r>
      <w:r>
        <w:rPr>
          <w:rFonts w:ascii="Times New Roman;sans-serif" w:hAnsi="Times New Roman;sans-serif"/>
          <w:b w:val="false"/>
          <w:color w:val="000000"/>
          <w:sz w:val="24"/>
        </w:rPr>
        <w:t>. No modification, termination or attempted waiver of this Agreement will be valid unless in writing, signed by the party against whom such modification, termination or waiver is sought to be enforced.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Duplicate Counterparts</w:t>
      </w:r>
      <w:r>
        <w:rPr>
          <w:rFonts w:ascii="Times New Roman;sans-serif" w:hAnsi="Times New Roman;sans-serif"/>
          <w:b w:val="false"/>
          <w:color w:val="000000"/>
          <w:sz w:val="24"/>
        </w:rPr>
        <w:t>. This Agreement may be executed in duplicate counterparts; each of, which shall be deemed an original; provided, however, such counterparts shall together constitute only one instrument.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The headings contained in this Agreement are for reference purposes only and shall not affect in any way the meaning or interpretation of this Agreement. As used in this Agreement, words of the masculine gender shall mean and include corresponding neuter words or words of the feminine gender. The word “or” is not exclusive.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xml:space="preserve">. No payment to which Employee is entitled pursuant to Section 2.1 hereof shall be reduced by reason of compensation or other income received by her for services rendered after termination of her employment with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6.10</w:t>
      </w:r>
      <w:r>
        <w:rPr>
          <w:rFonts w:ascii="Times New Roman;sans-serif" w:hAnsi="Times New Roman;sans-serif"/>
          <w:b w:val="false"/>
          <w:color w:val="000000"/>
          <w:sz w:val="24"/>
          <w:u w:val="single"/>
        </w:rPr>
        <w:t>Withholding of Taxes</w:t>
      </w:r>
      <w:r>
        <w:rPr>
          <w:rFonts w:ascii="Times New Roman;sans-serif" w:hAnsi="Times New Roman;sans-serif"/>
          <w:b w:val="false"/>
          <w:color w:val="000000"/>
          <w:sz w:val="24"/>
        </w:rPr>
        <w:t xml:space="preserve">. The Company shall withhold appropriate federal, state, local (and foreign, if applicable) income and employment taxes from any payments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6.11</w:t>
      </w:r>
      <w:r>
        <w:rPr>
          <w:rFonts w:ascii="Times New Roman;sans-serif" w:hAnsi="Times New Roman;sans-serif"/>
          <w:b w:val="false"/>
          <w:color w:val="000000"/>
          <w:sz w:val="24"/>
          <w:u w:val="single"/>
        </w:rPr>
        <w:t>Drafting Ambiguities; Representation by Counsel</w:t>
      </w:r>
      <w:r>
        <w:rPr>
          <w:rFonts w:ascii="Times New Roman;sans-serif" w:hAnsi="Times New Roman;sans-serif"/>
          <w:b w:val="false"/>
          <w:color w:val="000000"/>
          <w:sz w:val="24"/>
        </w:rPr>
        <w:t xml:space="preserve">. Each party to this Agreement and its counsel have reviewed and revised this Agreement and the Release. The rule of construction that any ambiguities are to be resolved against the drafting party shall not be employed in the interpretation of this Agreement, the Release or any of the amendments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6.12</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is intended to comply with the requirements of Section 409A of the Code and the regulations and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from Section 409A. The Company shall undertake to administer, interpret, and construe this Agreement in a manner that does not result in the imposition on Employee of any additional tax, penalty, or interest under Section 409A. Each payment under this Agreement shall be treated as a separate payment for purposes of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anything herein to the contrary, in the event that Employee is a “specified employee” within the meaning of that term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89865"/>
                <wp:effectExtent l="0" t="0" r="0" b="0"/>
                <wp:wrapNone/>
                <wp:docPr id="69" name="Frame69"/>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409A(a)(2)(B) of the Code, then with regard to any payment or the provision of any benefit (whether under this Agreement or otherwise) that is considered deferred compensation under Section 409A payable on account of a “separation from service,” and that is not exempt from Section 409A as involuntary separation pay or a short-term deferral (or otherwise), to the extent necessary to avoid the imposition of excise taxes under Section 409A, such payment or benefit shall be made or provided at the date which is the earlier of (i) the expiration of the six (6)-month period measured from the date of such “separation from service” of Employee or (B) the date of Employee’s death (the “</w:t>
      </w:r>
      <w:r>
        <w:rPr>
          <w:rFonts w:ascii="Times New Roman;sans-serif" w:hAnsi="Times New Roman;sans-serif"/>
          <w:b w:val="false"/>
          <w:color w:val="000000"/>
          <w:sz w:val="24"/>
          <w:u w:val="single"/>
        </w:rPr>
        <w:t>Delay Period</w:t>
      </w:r>
      <w:r>
        <w:rPr>
          <w:color w:val="000000"/>
        </w:rPr>
        <w:t>”</w:t>
      </w:r>
      <w:r>
        <w:rPr>
          <w:rFonts w:ascii="Times New Roman;sans-serif" w:hAnsi="Times New Roman;sans-serif"/>
          <w:b w:val="false"/>
          <w:color w:val="000000"/>
          <w:sz w:val="24"/>
        </w:rPr>
        <w:t>). Upon the expiration of the Delay Period, all payments and benefits delayed pursuant to this Section 6.13(c) (whether they would have otherwise been payable in a single sum or in installments in the absence of such delay) shall be paid or reimbursed to Employee in a lump sum without interest, and any remaining payments and benefits due under this Agreement shall be paid or provided in accordance with the normal payment dates specified for them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With regard to any provision herein that provides for reimbursement of costs and expenses or in-kind benefits, except as permitted by Section 409A, all such payments shall be made on or before the last day of calendar year following the calendar year in which the expense occurred.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9865"/>
                <wp:effectExtent l="0" t="0" r="0" b="0"/>
                <wp:wrapNone/>
                <wp:docPr id="70" name="Frame70"/>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In witness whereof, this Severance and Change of Control Agreement has been executed as of the date first set forth above.</w:t>
      </w:r>
    </w:p>
    <w:p>
      <w:pPr>
        <w:pStyle w:val="TextBody"/>
        <w:bidi w:val="0"/>
        <w:spacing w:before="0" w:after="24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Arrowhead Pharmaceuticals, Inc. </w:t>
      </w:r>
    </w:p>
    <w:p>
      <w:pPr>
        <w:pStyle w:val="TextBody"/>
        <w:bidi w:val="0"/>
        <w:spacing w:before="240" w:after="24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Christopher Anzalone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Christopher Anzalone, President and CEO</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Employee</w:t>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4"/>
          <w:u w:val="single"/>
        </w:rPr>
        <w:t>/s/ Patrick O’Brien                </w:t>
        <w:br/>
      </w:r>
      <w:r>
        <w:rPr>
          <w:color w:val="000000"/>
        </w:rPr>
        <w:t xml:space="preserve">                             </w:t>
      </w:r>
      <w:r>
        <w:rPr>
          <w:rFonts w:ascii="Times New Roman;sans-serif" w:hAnsi="Times New Roman;sans-serif"/>
          <w:b w:val="false"/>
          <w:color w:val="000000"/>
          <w:sz w:val="24"/>
        </w:rPr>
        <w:t>Patrick O’Brien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General Release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is entered into as of &lt;Date&gt;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with reference to the following facts:</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WHEREAS, Employee and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entered into a Severance and Change of Control Agreement dated _________ __, 2024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which the parties agreed that in certain circumstances Employee would become eligible for severance payments and benefits following certain terminations of employment in exchange for Employee’s release of the Company from all claims which Employee may have against the Company.</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WHEREAS, Employee desires to dispose of, fully and completely, all claims that Employee may have against the Company in the manner set forth in this Release.</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good and valuable consideration, including the consideration set forth in Sections [2.1(b) and 2.1(c)] // [2.2(b), 2.2(c) and 2.2(d)] of the Agreement, Employee, for himself/herself and his/her heirs, successors and assigns, fully releases, and discharges Company, its officers, directors, employees, equity holders, attorneys, accountants, other professionals, insurers and agents (collectively “</w:t>
      </w:r>
      <w:r>
        <w:rPr>
          <w:rFonts w:ascii="Times New Roman;sans-serif" w:hAnsi="Times New Roman;sans-serif"/>
          <w:b w:val="false"/>
          <w:color w:val="000000"/>
          <w:sz w:val="24"/>
          <w:u w:val="single"/>
        </w:rPr>
        <w:t>Agents</w:t>
      </w:r>
      <w:r>
        <w:rPr>
          <w:color w:val="000000"/>
        </w:rPr>
        <w:t>”</w:t>
      </w:r>
      <w:r>
        <w:rPr>
          <w:rFonts w:ascii="Times New Roman;sans-serif" w:hAnsi="Times New Roman;sans-serif"/>
          <w:b w:val="false"/>
          <w:color w:val="000000"/>
          <w:sz w:val="24"/>
        </w:rPr>
        <w:t>), and all entities related to each such party, including, but not limited to, heirs, executors, administrators, personal representatives, assigns, parent, subsidiary and sister corporations, affiliates, partners and co-venturers (collectively “</w:t>
      </w:r>
      <w:r>
        <w:rPr>
          <w:rFonts w:ascii="Times New Roman;sans-serif" w:hAnsi="Times New Roman;sans-serif"/>
          <w:b w:val="false"/>
          <w:color w:val="000000"/>
          <w:sz w:val="24"/>
          <w:u w:val="single"/>
        </w:rPr>
        <w:t>Released Entities</w:t>
      </w:r>
      <w:r>
        <w:rPr>
          <w:color w:val="000000"/>
        </w:rPr>
        <w:t>”</w:t>
      </w:r>
      <w:r>
        <w:rPr>
          <w:rFonts w:ascii="Times New Roman;sans-serif" w:hAnsi="Times New Roman;sans-serif"/>
          <w:b w:val="false"/>
          <w:color w:val="000000"/>
          <w:sz w:val="24"/>
        </w:rPr>
        <w:t>), from all rights, claims, demands, actions, causes of action, liabilities and obligations of every kind, nature and description whatsoever, Employee now has, owns or holds or has at anytime had, owned or held or may have against the Company, Agents or Related Entities from any source whatsoever, whether or not arising from or related to the facts recited in this Release. Employee specifically releases and waives (i) any and all claims arising under any express or implied contract, (ii) any and all claims arising under public policy, tort or common law, (iii) any and all claims arising under federal, state or local law, rule, regulation or ordinance, including, without limitation, Title VII of the Civil Rights Act of 1964, the Civil Rights Act of 1991, the Americans with Disabilities Act, the Employee Retirement Income Security Act of 1974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the National Labor Relations Act, the Occupational Safety and Health Act, the Family and Medical Leave Act of 1993, [and] [</w:t>
      </w:r>
      <w:r>
        <w:rPr>
          <w:rFonts w:ascii="Times New Roman;sans-serif" w:hAnsi="Times New Roman;sans-serif"/>
          <w:b/>
          <w:color w:val="000000"/>
          <w:sz w:val="24"/>
        </w:rPr>
        <w:t>California employees:</w:t>
      </w:r>
      <w:r>
        <w:rPr>
          <w:color w:val="000000"/>
        </w:rPr>
        <w:t xml:space="preserve"> </w:t>
      </w:r>
      <w:r>
        <w:rPr>
          <w:rFonts w:ascii="Times New Roman;sans-serif" w:hAnsi="Times New Roman;sans-serif"/>
          <w:b w:val="false"/>
          <w:color w:val="000000"/>
          <w:sz w:val="24"/>
        </w:rPr>
        <w:t>the California Fair Employment and Housing Act] [</w:t>
      </w:r>
      <w:r>
        <w:rPr>
          <w:rFonts w:ascii="Times New Roman;sans-serif" w:hAnsi="Times New Roman;sans-serif"/>
          <w:b/>
          <w:color w:val="000000"/>
          <w:sz w:val="24"/>
        </w:rPr>
        <w:t>Wisconsin Employees:</w:t>
      </w:r>
      <w:r>
        <w:rPr>
          <w:color w:val="000000"/>
        </w:rPr>
        <w:t xml:space="preserve"> </w:t>
      </w:r>
      <w:r>
        <w:rPr>
          <w:rFonts w:ascii="Times New Roman;sans-serif" w:hAnsi="Times New Roman;sans-serif"/>
          <w:b w:val="false"/>
          <w:color w:val="000000"/>
          <w:sz w:val="24"/>
        </w:rPr>
        <w:t>the Wisconsin Fair Employment Act, the California Wisconsin Family and Medical Leave Law, the Wisconsin Personnel Records Statute] [and the Age Discrimination in Employment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(iv) any allegations for costs, fees, or other expenses, including attorneys’ fees incurred in or with respect to any such claims, (v) any and all rights, benefits or claims Employee may have under any employment contract (including the Agreement), incentive compensation plan or equity-based plan with any Released Entity (including the Company Equity Plans), and (vi) any claim for compensation or benefits of any kind not expressly set forth in the Agreement (collectively, the “</w:t>
      </w:r>
      <w:r>
        <w:rPr>
          <w:rFonts w:ascii="Times New Roman;sans-serif" w:hAnsi="Times New Roman;sans-serif"/>
          <w:b w:val="false"/>
          <w:color w:val="000000"/>
          <w:sz w:val="24"/>
          <w:u w:val="single"/>
        </w:rPr>
        <w:t>Release Claims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the Employee is not releasing (a) the right to enforce this agreement, (b) any rights to indemnification pursuant to agreement, by-law, policy or statute, if any, that the Employee maintains, (c) any claim that arises after the date that Employee signs this Release or (d) any claim to vested benefits under an employee benefit plan that is subject to ERISA. Further notwithstanding this release of liability, nothing in this Release prevents Employee from filing any non-legally waivable claim (including a challenge to the validity of this Release)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or comparable state or local agency or participating in (or cooperating with) any investigation or proceeding conducted by the EEOC or comparable state or local agency or cooperating in any such investigation or proceeding; however, Employee understands and agrees that Employee is waiving any and all rights to recover any monetary or personal relief from a Released Entity as a result of such EEOC or comparable state or local agency or proceeding or subsequent legal actions. Further, nothing in this Release or the Agreement prohibits or restricts Employee from filing a charge or complaint with, or cooperating in any investigation with, the Securities and Exchange Commission, the Financial Industry Regulatory Authority, or any other securities regulatory agency or authority (each, a “</w:t>
      </w:r>
      <w:r>
        <w:rPr>
          <w:rFonts w:ascii="Times New Roman;sans-serif" w:hAnsi="Times New Roman;sans-serif"/>
          <w:b w:val="false"/>
          <w:color w:val="000000"/>
          <w:sz w:val="24"/>
          <w:u w:val="single"/>
        </w:rPr>
        <w:t>Government Agency</w:t>
      </w:r>
      <w:r>
        <w:rPr>
          <w:color w:val="000000"/>
        </w:rPr>
        <w:t>”</w:t>
      </w:r>
      <w:r>
        <w:rPr>
          <w:rFonts w:ascii="Times New Roman;sans-serif" w:hAnsi="Times New Roman;sans-serif"/>
          <w:b w:val="false"/>
          <w:color w:val="000000"/>
          <w:sz w:val="24"/>
        </w:rPr>
        <w:t>). This Release does not limit Employee’s right to receive an award for information provided to a Government Agency.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represents and warrants that, as of the time at which Employee signs this Agreement, Employee has not filed or joined any claims, complaints, charges, or lawsuits against any of the Released Entities with any governmental agency or with any state or federal court or arbitrator for, or with respect to, a matter, claim, or incident that occurred or arose out of one or more occurrences that took place on or prior to the time at which Employee signs this Release. Employee further represents and warrants that Employee has not made any assignment, sale, delivery, transfer or conveyance of any rights Employee has asserted or may have against any of the Released Entities with respect to any Released Claim.</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Waiver of Certain Claims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Employee acknowledges that Employee has been advised in writing of Employee’s right to consult with an attorney prior to executing the waivers set out in this Release, and that Employee has been given sufficient time [(and at least 21 days following Employee’s receipt of this Release)] in which to review and consider this Release. If Employee signs this Release before the expiration of such period, Employee has knowingly and voluntarily waived any longer consideration period than the one provided to Employee. No changes (whether material or immaterial) to this Release shall restart the running of any such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This Release is intended as a full and complete release and discharge of any and all claims that Employee may have against the Company or any Agents or Related Entities. In making this release, Employee intends to release the Company, Agents and Related Entities from liability of any nature whatsoever for any claim of damages or injury or for equitable or declaratory relief of any kind, whether the claim, or any facts on which such claim might be based, is known or unknown to Employee. Employee expressly waives all rights under §1542 of the California Civil Code , which Employee understands provides as follows:</w:t>
      </w:r>
    </w:p>
    <w:p>
      <w:pPr>
        <w:pStyle w:val="TextBody"/>
        <w:bidi w:val="0"/>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acknowledges that Employee may discover facts different from or in addition to those that he/she now believes to be true with respect to this Release. Employee agrees that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Release shall remain effective notwithstanding the discovery of any different or additional facts.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[Revocation Right</w:t>
      </w:r>
      <w:r>
        <w:rPr>
          <w:rFonts w:ascii="Times New Roman;sans-serif" w:hAnsi="Times New Roman;sans-serif"/>
          <w:b w:val="false"/>
          <w:color w:val="000000"/>
          <w:sz w:val="24"/>
        </w:rPr>
        <w:t>. Notwithstanding the initial effectiveness of this Release, Employee may revoke the delivery (and therefore the effectiveness) of this Release within the seven-day period beginning on the date Employee executes this Release (such seven-day period being referred to herein as the “</w:t>
      </w:r>
      <w:r>
        <w:rPr>
          <w:rFonts w:ascii="Times New Roman;sans-serif" w:hAnsi="Times New Roman;sans-serif"/>
          <w:b w:val="false"/>
          <w:color w:val="000000"/>
          <w:sz w:val="24"/>
          <w:u w:val="single"/>
        </w:rPr>
        <w:t>Release Revocation Period</w:t>
      </w:r>
      <w:r>
        <w:rPr>
          <w:color w:val="000000"/>
        </w:rPr>
        <w:t>”</w:t>
      </w:r>
      <w:r>
        <w:rPr>
          <w:rFonts w:ascii="Times New Roman;sans-serif" w:hAnsi="Times New Roman;sans-serif"/>
          <w:b w:val="false"/>
          <w:color w:val="000000"/>
          <w:sz w:val="24"/>
        </w:rPr>
        <w:t>). To be effective, such revocation must be in writing signed by Employee and must be delivered personally or by courier to the Company to the Company so that it is received by &lt;Name&gt;, &lt;Address&gt; (email: &lt;Email&gt;) by 11:59 p.m., &lt;Location&gt; time, on the Release Revocation Expiration Date. If an effective revocation is delivered in the foregoing manner and timeframe, the release of claims set forth in Sections 1 and 2 of this Release will be of no force or effect, Employee will not receive the payments, benefits or consideration set forth in Sections [2.1(b) and 2.1(c)] // [2.2(b), 2.2(c) and 2.2(d)] of the Agreement], and the remainder of this Agreement will remain in full force and effect.]</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Confidentiality Agreement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acknowledges and reaffirms that Employee's obligations in respect of the At-will Employment, Confidentiality and Proprietary Rights Agreement entered into between the parties on ________ (the “</w:t>
      </w:r>
      <w:r>
        <w:rPr>
          <w:rFonts w:ascii="Times New Roman;sans-serif" w:hAnsi="Times New Roman;sans-serif"/>
          <w:b w:val="false"/>
          <w:color w:val="000000"/>
          <w:sz w:val="24"/>
          <w:u w:val="single"/>
        </w:rPr>
        <w:t>Confidentiality Agreement</w:t>
      </w:r>
      <w:r>
        <w:rPr>
          <w:color w:val="000000"/>
        </w:rPr>
        <w:t>”</w:t>
      </w:r>
      <w:r>
        <w:rPr>
          <w:rFonts w:ascii="Times New Roman;sans-serif" w:hAnsi="Times New Roman;sans-serif"/>
          <w:b w:val="false"/>
          <w:color w:val="000000"/>
          <w:sz w:val="24"/>
        </w:rPr>
        <w:t>) shall remain in full force and effect following the execution of this Release, and Employee hereby represents that Employee has complied and will continue to fully comply with those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nothing herein or in the Agreement will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Employee agrees that Employee will not at any time disparage, criticize or ridicule any of the Released Entities, or make any negative public comments, whether by way of news interviews, posting comments on, or publishing internet blogs or webpages (whether or not done anonymously), publishing or circulating any other form of media, or the expression of Employee's personal views, opinions or judgments to the media, internet blogs and webpages, or otherwise (whether or not done anonymously), or to current or former officers, directors or employees of the Released Entities.</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Employee agrees that Employee will cooperate with the Company (or its present and former parents, subsidiaries, affiliates or related entities) and its legal counsel in connection with any current or future litigation, pursuant to the issuance of a valid subpoena, relating to matters with which Employee was involved or of which Employee has knowledge or which occurred during Employee's employment at the Company. Such assistance will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not be limited to, depositions and testimony and will continue until such matters are resolved. The Company will provide Employee with reasonable notice whenever possible of the need for cooperation; will make all reasonable efforts to schedule cooperation so as not to interfere with Employee's employment or professional obligations; and will reimburse Employee for all reasonable travel, lodging and meal costs incurred in providing requested assistance.</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xml:space="preserve">. Employee represents that Employee has returned to the Company all company property and equipment of any kind in Employee's possession or control. This includes computer equipment (hardware and software), BlackBerry, iPhone or similar device, credit cards, office keys, security access cards, badges, identification cards and all files, documents, copies (including drafts) of any documentation or information (however stored), relating to the business of the Released Entities, their clients or prospective clients. </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Employee hereby covenants and agrees that for a period of twelve months following the effective date of this Release, Employee shall not, without the written consent of the Company, either directly or indirectly: solicit, offer employment to, or take any other action intended (or that a reasonable person acting in like circumstances would expect) to have the effect of causing any officer or employee of the Company or any of its subsidiaries or affiliates, to terminate his or her employment and accept employment or become affiliated with or provide services for compensation in any capacity whatsoever to, any business whatsoever that competes with the business of the Company or any of its direct or indirect subsidiaries or affiliates.</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Undue Influence</w:t>
      </w:r>
      <w:r>
        <w:rPr>
          <w:rFonts w:ascii="Times New Roman;sans-serif" w:hAnsi="Times New Roman;sans-serif"/>
          <w:b w:val="false"/>
          <w:color w:val="000000"/>
          <w:sz w:val="24"/>
        </w:rPr>
        <w:t>. This Release is executed voluntarily and without any duress or undue influence. Employee acknowledges Employee has read this Release and executed it with full and free consent. No provision of this Release shall be construed against any party by virtue of the fact that such party or its counsel drafted such provision or the entirety of this Release. Employee has been advised, and hereby is advised in writing, to discuss this Release with an attorney of Employee’s choice and that Employee has had an adequate opportunity to do so prior to executing this Agreement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 Employee expressly acknowledges and agrees that each Released Entity shall be a third-party beneficiary of Sections 1, 2, 4, 5, 6, 7, and 8 of this Release and entitled to enforce such provisions as if it were a party hereto.</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Release, the Agreement and the Confidentiality Agreement together constitute the entire agreement of the parties with respect to the subject matter of this Release, and supersedes all prior and contemporaneous negotiations, agreements and understandings between the parties, oral or written.</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supplemented only by writing signed by Employee and the Company.</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Incorporation of the Agreement</w:t>
      </w:r>
      <w:r>
        <w:rPr>
          <w:rFonts w:ascii="Times New Roman;sans-serif" w:hAnsi="Times New Roman;sans-serif"/>
          <w:b w:val="false"/>
          <w:color w:val="000000"/>
          <w:sz w:val="24"/>
        </w:rPr>
        <w:t xml:space="preserve">. Sections 4, 6.1, 6.2 6.4, 6.6, and 6.8 of the Agreement are hereby incorporated by references and shall apply as if fully stated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        ___________________________</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Employee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SEVERANCE AND CHANGE OF CONTROL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Severance and Change of Control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8,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James Hamilton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considers the continued availability of Employee’s services to be in the best interest of the Company and its stockholders and desires to assure the continued services of Employee on behalf of the Company, including through a Change of Control (as defined below);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further believes that it is necessary to provide Employee with certain benefits upon termination of Employee’s employment, which benefits are intended to provide Employee with financial security and provide sufficient income and encouragement to Employee to remain employed by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covenants and agreements contained herein, and in consideration of the continuing employment of Employee by the Company, the parties hereto agree as follows:</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val="false"/>
          <w:color w:val="000000"/>
          <w:sz w:val="24"/>
          <w:u w:val="single"/>
        </w:rPr>
        <w:t>Awards</w:t>
      </w:r>
      <w:r>
        <w:rPr>
          <w:color w:val="000000"/>
        </w:rPr>
        <w:t xml:space="preserve">” </w:t>
      </w:r>
      <w:r>
        <w:rPr>
          <w:rFonts w:ascii="Times New Roman;sans-serif" w:hAnsi="Times New Roman;sans-serif"/>
          <w:b w:val="false"/>
          <w:color w:val="000000"/>
          <w:sz w:val="24"/>
        </w:rPr>
        <w:t xml:space="preserve">means Employee’s outstanding stock options, restricted stock awards, restricted stock units, stock appreciation rights and other equity-based awards granted under the Company Equity Plans, in each case that remain outstanding immediately following a Change of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 xml:space="preserve">means Employee’s gross monthly salary as in effect on the Termination Date, which, for the avoidance of doubt, excludes any bonus or other incentive compensation; provided, however, that in the event of a Resignation for Good Reason as a result of a material diminution in Employee’s annualized base salary, “Base Salary” means Employee’s gross monthly salary as in effect immediately prior to such diminution (excluding any bonus or other incentive compensation).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Employee's failure to perform his or her duties (other than any such failure resulting from incapacity due to physical or mental illness);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Employee’s failure to comply with any valid and legal directive of the Board or the person to whom the Employee reports;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Employee’s engagement in dishonesty, illegal conduct or misconduct, which is, in each case, materially injurious to the Company or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Employee’s embezzlement, misappropriation or fraud, whether or not related to the Employee’s employment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103983364.2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Employee’s conviction of or plea of guilty or nolo contendere to a crime that constitutes a felony (or state law equivalent) or a crime that constitutes a misdemeanor involving moral turpitude, if such felony or other crime is work-related, materially impairs the Employee’s ability to perform services for the Company or results in reputational or financial harm to the Company or its affiliates;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Employee’s violation of a material policy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have occurred if, and only if: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individual, partnership, firm, corporation, association, trust, unincorporated organization or other entity or person, or any syndicate or group deemed to be a person under Section 14(d)(2)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is or becomes the “Beneficial Owner” (as defined in Rule 13d-3 under the Exchange Act), directly or indirectly, of securities of the Company representing 50% or more of the combined voting power of the Company’s then outstanding securities entitled to vote in the election of directors of the Company;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there occurs a reorganization, merger, consolidation or other corporate transaction involving the Company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in each case, with respect to which the equity holders of the Company immediately prior to such Transaction do not, immediately after the Transaction, own, directly or indirectly, more than 50% of the combined voting power of the Company’s then outstanding securities entitled to vote in the election of directors of the Company or of the securities of any other corporation resulting from such Transaction;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or substantially all of the assets of the Company are sold, liquidated or distributed to an unrelated third party, other than in connection with a bankruptcy, insolvency or other similar proceeding, or an assignment for the benefit of creditors.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of Control Termination</w:t>
      </w:r>
      <w:r>
        <w:rPr>
          <w:color w:val="000000"/>
        </w:rPr>
        <w:t xml:space="preserve">” </w:t>
      </w:r>
      <w:r>
        <w:rPr>
          <w:rFonts w:ascii="Times New Roman;sans-serif" w:hAnsi="Times New Roman;sans-serif"/>
          <w:b w:val="false"/>
          <w:color w:val="000000"/>
          <w:sz w:val="24"/>
        </w:rPr>
        <w:t>shall have occurred if Employee’s employment with the Company, or any of its subsidiaries or affiliates, is terminated by the Company without Cause (and not due to Employee’s death or Disability) or Employee resigns in a Resignation for Good Reason, in each case, during the period beginning on the date that is three months preceding the signing of a definitive agreement, the consummation of which would result in a Change of Control through the first anniversary of the effective date of a Change of Control; provided, however, that any such termination of employment that occurs prior to the occurrence of a Change of Control shall only be considered a “Change of Control Termination” if and when the applicable Change of Control is consummated.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 xml:space="preserve">means (a) Employee is unable to engage in any substantial gainful activity because of a medically determinable physical or mental impairment that can be expected to result in death or to last for a continuous period of at least 12 months; or (b) Employee has been receiving income replacement benefits for at least three months under an accident and health plan as the result of a medically determinable physical or mental impairment that can be expected to result in death or to last for a continuous period of at least 12 months.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val="false"/>
          <w:color w:val="000000"/>
          <w:sz w:val="24"/>
          <w:u w:val="single"/>
        </w:rPr>
        <w:t>COBRA</w:t>
      </w:r>
      <w:r>
        <w:rPr>
          <w:color w:val="000000"/>
        </w:rPr>
        <w:t xml:space="preserve">” </w:t>
      </w:r>
      <w:r>
        <w:rPr>
          <w:rFonts w:ascii="Times New Roman;sans-serif" w:hAnsi="Times New Roman;sans-serif"/>
          <w:b w:val="false"/>
          <w:color w:val="000000"/>
          <w:sz w:val="24"/>
        </w:rPr>
        <w:t>means the Consolidated Omnibus Budget Reconciliation Act of 1985.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val="false"/>
          <w:color w:val="000000"/>
          <w:sz w:val="24"/>
          <w:u w:val="single"/>
        </w:rPr>
        <w:t>COBRA Period</w:t>
      </w:r>
      <w:r>
        <w:rPr>
          <w:color w:val="000000"/>
        </w:rPr>
        <w:t xml:space="preserve">” </w:t>
      </w:r>
      <w:r>
        <w:rPr>
          <w:rFonts w:ascii="Times New Roman;sans-serif" w:hAnsi="Times New Roman;sans-serif"/>
          <w:b w:val="false"/>
          <w:color w:val="000000"/>
          <w:sz w:val="24"/>
        </w:rPr>
        <w:t xml:space="preserve">means the 12-month period following the Termination Date; provided, however, in the event of a Change of Control Termination, “COBRA Period” means the 18-month period following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89865"/>
                <wp:effectExtent l="0" t="0" r="0" b="0"/>
                <wp:wrapNone/>
                <wp:docPr id="77" name="Frame77"/>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2    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val="false"/>
          <w:color w:val="000000"/>
          <w:sz w:val="24"/>
          <w:u w:val="single"/>
        </w:rPr>
        <w:t>COC Severance Payment</w:t>
      </w:r>
      <w:r>
        <w:rPr>
          <w:color w:val="000000"/>
        </w:rPr>
        <w:t xml:space="preserve">” </w:t>
      </w:r>
      <w:r>
        <w:rPr>
          <w:rFonts w:ascii="Times New Roman;sans-serif" w:hAnsi="Times New Roman;sans-serif"/>
          <w:b w:val="false"/>
          <w:color w:val="000000"/>
          <w:sz w:val="24"/>
        </w:rPr>
        <w:t xml:space="preserve">means a payment equal to (a) 12 months’ worth of Employee’s Base Salary,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(b) one and one-half times Employee’s target annual cash bonus amount for the year in which the Termination Date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val="false"/>
          <w:color w:val="000000"/>
          <w:sz w:val="24"/>
          <w:u w:val="single"/>
        </w:rPr>
        <w:t>Company Equity Plans</w:t>
      </w:r>
      <w:r>
        <w:rPr>
          <w:color w:val="000000"/>
        </w:rPr>
        <w:t xml:space="preserve">” </w:t>
      </w:r>
      <w:r>
        <w:rPr>
          <w:rFonts w:ascii="Times New Roman;sans-serif" w:hAnsi="Times New Roman;sans-serif"/>
          <w:b w:val="false"/>
          <w:color w:val="000000"/>
          <w:sz w:val="24"/>
        </w:rPr>
        <w:t>means the Arrowhead Research Corporation 2004 Equity Incentive Plan, the Arrowhead Research Corporation 2013 Incentive Plan, and any other equity incentive plan of the Company, and any stock option agreements, award notices, stock purchase agreements or other agreements or instruments executed and delivered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color w:val="000000"/>
        </w:rPr>
        <w:t xml:space="preserve"> “</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means a general release,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 may be modified to account for changes in applicable laws), by Employee of all claims against the Company and its affiliates as of the date such general release is executed by Employee.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val="false"/>
          <w:color w:val="000000"/>
          <w:sz w:val="24"/>
          <w:u w:val="single"/>
        </w:rPr>
        <w:t>Release Expiration Date</w:t>
      </w:r>
      <w:r>
        <w:rPr>
          <w:color w:val="000000"/>
        </w:rPr>
        <w:t xml:space="preserve">” </w:t>
      </w:r>
      <w:r>
        <w:rPr>
          <w:rFonts w:ascii="Times New Roman;sans-serif" w:hAnsi="Times New Roman;sans-serif"/>
          <w:b w:val="false"/>
          <w:color w:val="000000"/>
          <w:sz w:val="24"/>
        </w:rPr>
        <w:t>is the date that is 21 days following the date upon which the Company delivers the Release to Employee (which shall occur no later than seven days after the Termination Date) or, the event that such termination of employment is “in connection with an exit incentive or other employment termination program” (as such phrase is defined in the Age Discrimination in Employment Act of 1967), the date that is 45 days following such delivery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val="false"/>
          <w:color w:val="000000"/>
          <w:sz w:val="24"/>
          <w:u w:val="single"/>
        </w:rPr>
        <w:t>Resignation for Good Reason</w:t>
      </w:r>
      <w:r>
        <w:rPr>
          <w:color w:val="000000"/>
        </w:rPr>
        <w:t xml:space="preserve">” </w:t>
      </w:r>
      <w:r>
        <w:rPr>
          <w:rFonts w:ascii="Times New Roman;sans-serif" w:hAnsi="Times New Roman;sans-serif"/>
          <w:b w:val="false"/>
          <w:color w:val="000000"/>
          <w:sz w:val="24"/>
        </w:rPr>
        <w:t xml:space="preserve">for purposes of this Agreement means a resignation based on any of the following events occurring in each case without Employee’s consent, each of which shall constitute “Good Reason,” subject to the notice and cure provisions set forth below: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 material diminution in Employee’s authority, duties, reporting relationship,</w:t>
      </w:r>
      <w:r>
        <w:rPr>
          <w:color w:val="0000FF"/>
        </w:rPr>
        <w:t xml:space="preserve"> </w:t>
      </w:r>
      <w:r>
        <w:rPr>
          <w:rFonts w:ascii="Times New Roman;sans-serif" w:hAnsi="Times New Roman;sans-serif"/>
          <w:b w:val="false"/>
          <w:color w:val="000000"/>
          <w:sz w:val="24"/>
        </w:rPr>
        <w:t xml:space="preserve">or responsibilities;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material diminution in Employee’s annualized base salary;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material change in geographic location at which the Employee must perform the services.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constitute a Resignation for Good Reason: (i) Employee must provide written notice to the Company within 90 days of the initial existence of the event constituting Good Reason; (ii) Employee may not terminate his or her employment unless the Company fails to remedy the event constituting Good Reason within 30 days after such notice has been deemed given pursuant to this Agreement; and (iii) Employee must terminate employment with the Company no later than 30 days after the end of the 30-day period in which the Company fails to remedy the event constituting Good Reason.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val="false"/>
          <w:color w:val="000000"/>
          <w:sz w:val="24"/>
          <w:u w:val="single"/>
        </w:rPr>
        <w:t>Severance Payment</w:t>
      </w:r>
      <w:r>
        <w:rPr>
          <w:color w:val="000000"/>
        </w:rPr>
        <w:t xml:space="preserve">” </w:t>
      </w:r>
      <w:r>
        <w:rPr>
          <w:rFonts w:ascii="Times New Roman;sans-serif" w:hAnsi="Times New Roman;sans-serif"/>
          <w:b w:val="false"/>
          <w:color w:val="000000"/>
          <w:sz w:val="24"/>
        </w:rPr>
        <w:t>means a payment equal to 6 months’ worth of Employee’s Base Salary.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on which Employee’s employment with the Company, or any of its subsidiaries or affiliates, terminates.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89865"/>
                <wp:effectExtent l="0" t="0" r="0" b="0"/>
                <wp:wrapNone/>
                <wp:docPr id="78" name="Frame78"/>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3    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 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Payment upon Termination of Employment</w:t>
      </w:r>
      <w:r>
        <w:rPr>
          <w:rFonts w:ascii="Times New Roman;sans-serif" w:hAnsi="Times New Roman;sans-serif"/>
          <w:b w:val="false"/>
          <w:color w:val="000000"/>
          <w:sz w:val="24"/>
        </w:rPr>
        <w:t>. Subject to Sections 2.3 and 2.4, in the event of the termination of Employee’s employment with the Company, or any of its subsidiaries or affiliates, by the Company without Cause (and not due to Employee’s death or Disability) or due to Employee’s Resignation for Good Reason, in each case, so long as such termination is not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Severance Payment in one lum-sum payment on the Company’s first regular payroll date occurring after 30 days following the Termination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Payment upon Change of Control Termination</w:t>
      </w:r>
      <w:r>
        <w:rPr>
          <w:rFonts w:ascii="Times New Roman;sans-serif" w:hAnsi="Times New Roman;sans-serif"/>
          <w:b w:val="false"/>
          <w:color w:val="000000"/>
          <w:sz w:val="24"/>
        </w:rPr>
        <w:t>. Subject to Sections 2.3 and 2.4, in the event of a Change of Control 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Company shall pay, within 30 days following the Termination Date or such earlier time as required by applicable law, Employee all accrued but unpaid Base Salary and all accrued but unused vacation time, each through the date of termination, plus any annual cash bonus payment earned by Employee for the fiscal year preceding the year of termination to the extent unpaid at the time of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pay Employee the COC Severance Payment in one lum-sum payment on the Company’s first regular payroll date occurring after 30 days following the Termination Date; provided, however, that in the event Employee has received a Severance Payment under Section 2.1(b), the COC Severance Payment shall be reduced by the amount of such Severance Payment and payable on the Company’s first regular payroll date occurring after 30 days following the effective date of a Change of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89865"/>
                <wp:effectExtent l="0" t="0" r="0" b="0"/>
                <wp:wrapNone/>
                <wp:docPr id="79" name="Frame79"/>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4    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During the portion, if any, of the COBRA Period that Employee elects to continue coverge for Employee and Employee’s spouse and eligible dependents, if any, under the Company’s group health plans pursuant to COBRA, the Company shall promptly reimburse Employee on a monthly basis for the amount Employee pays to effect and continue such coverage, reduced by the amount of any employee contribution to such premium payments applicable to active employees. Each payment shall be paid to Employee on the Company’s regular payroll date in the calendar month immediately following the calendar month in which Employee submits to the Company documentation of the applicable premium payment having been paid by Employee, which documentation shall be submitted by Employee to the Company within 30 days following the date on which the applicable premium payment is due. Employee shall be eligible to receive such reimbursement payments until the earlier of: (i) the last day of the COBRA Period; and (ii) the date Employee is no longer eligible to receive COBRA continuation coverage;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the foregoing benefit can be provided, at the Company’s sole discretion, in the form of a lump sum taxable severance payment in lieu of the reimbursement payment if such payments are found to be discriminatory pursuant to applicable law;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Termination Date occurs after the applicable Change of Control is consummated, as of the Termination Date, the vesting of all Awards shall accelerate in full and all rights of repurchase of Award shares shall immediately lapse, with any performance-based vesting criteria deemed achieved at the target level of performance. If the Termination Date occurs prior to the date on which the applicable Change of Control is consummated, the Company shall pay Employee a lump sum cash payment based on the value of any Awards that terminated as a result of Employee’s termination of employment, but would have vested had Employee remained employed and the Termination Date had been the date the applicable Change of Control is consummated.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Employee Release</w:t>
      </w:r>
      <w:r>
        <w:rPr>
          <w:rFonts w:ascii="Times New Roman;sans-serif" w:hAnsi="Times New Roman;sans-serif"/>
          <w:b w:val="false"/>
          <w:color w:val="000000"/>
          <w:sz w:val="24"/>
        </w:rPr>
        <w:t>. In consideration for the benefits set forth above in Sections 2.1(b), 2.1(c), 2.2(b), 2.2(c) and 2.2(d), Employee shall execute and deliver the Release no later than the Release Expiration Date and the required revocation period, if any, must fully expire without revocation by Employee (the “</w:t>
      </w:r>
      <w:r>
        <w:rPr>
          <w:rFonts w:ascii="Times New Roman;sans-serif" w:hAnsi="Times New Roman;sans-serif"/>
          <w:b w:val="false"/>
          <w:color w:val="000000"/>
          <w:sz w:val="24"/>
          <w:u w:val="single"/>
        </w:rPr>
        <w:t>Release Requirement</w:t>
      </w:r>
      <w:r>
        <w:rPr>
          <w:color w:val="000000"/>
        </w:rPr>
        <w:t>”</w:t>
      </w:r>
      <w:r>
        <w:rPr>
          <w:rFonts w:ascii="Times New Roman;sans-serif" w:hAnsi="Times New Roman;sans-serif"/>
          <w:b w:val="false"/>
          <w:color w:val="000000"/>
          <w:sz w:val="24"/>
        </w:rPr>
        <w:t xml:space="preserve">). The Company shall have no obligation to pay or grant the benefits set forth in Section 2.1(b), 2.1(c), 2.2(b), 2.2(c) or 2.2(d) unless Employee satisfies the Release Requirement.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Excise Tax Cutback</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Anything in this Agreement to the contrary notwithstanding, in the event that any compensation, payment or distribution by the Company to or for the benefit of Employee, whether paid or payable or distributed or distributable pursuant to the terms of this Agreement or otherwise (collectively,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(a) constitute “parachute payments” within the meaning of Section 280G of the Code, and (b) but for this Section 3 would be subject to the excise tax imposed by Section 4999 of the Code, or any comparable successor provisions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Employee’s Payments hereunder shall be either (i) provided to Employee in full, or (ii) provided to Employee as to such lesser extent which would result in no portion of such benefits being subject to the Excise Tax, whichever of the foregoing amounts, when taking into account applicable federal, state, local and foreign income and employment taxes, the Excise Tax, and any other applicable taxes, results in the receipt by Employee, on an after-tax basis, of the greatest amount of benefits, notwithstanding that all or some portion of such benefits may be subject to the Excise Tax.</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89865"/>
                <wp:effectExtent l="0" t="0" r="0" b="0"/>
                <wp:wrapNone/>
                <wp:docPr id="80" name="Frame80"/>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5    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In the event the Payments are to be reduced pursuant to Section 3.1, the Payments shall be reduced in the following order: (a) cash payments not subject to Section 409A of the Code; (b) cash payments subject to Section 409A of the Code; (c) equity-based payments and acceleration; and (d) non-cash forms of benefits. To the extent any payment is to be made over time (e.g., in installments, etc.), then the payments shall be reduced in reverse chronological order. The determination any reduction pursuant to this Section 3 shall be made by a nationally recognized accounting firm selected and paid for by the Company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which shall provide detailed supporting calculations both to the Company and the Employee within 15 business days of the date of termination of service, if applicable, or at such earlier time as is reasonably requested by the Company or the Employee. For purposes of this determination, the Accounting Firm may make reasonable assumptions and approximations concerning applicable taxes and may rely on reasonable, good faith interpretations concerning the application of the Code, and other applicable legal authority. Any determination by the Accounting Firm shall be binding upon the Company and Employee.</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Dispute Resolution Procedures</w:t>
      </w:r>
      <w:r>
        <w:rPr>
          <w:rFonts w:ascii="Times New Roman;sans-serif" w:hAnsi="Times New Roman;sans-serif"/>
          <w:b w:val="false"/>
          <w:color w:val="000000"/>
          <w:sz w:val="24"/>
        </w:rPr>
        <w:t>. Any dispute or claim arising out of this Agreement shall be subject to final and binding arbitration. The arbitration will be conducted by one arbitrator who is a member of the American Arbitration Association (AAA) or of the Judicial Arbitration and Mediation Services (JAMS). The arbitration shall be held in Los Angeles, California. The arbitrator shall have all authority to determine the arbitrability of any claim and enter a final and binding judgment at the conclusion of any proceedings in respect of the arbitration. The party prevailing in the resolution of any such claim will be entitled, in addition to such other relief as may be granted, to an award of all fees and costs incurred in pursuit of the claim (including reasonable attorneys’ fees) without regard to any statute, schedule, or rule of court purported to restrict such award.</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Notwithstanding anything to the contrary herein, Employee reaffirms that Employee’s employment relationship with the Company is at-will, terminable at any time and for any reason by either the Company or Employee. While certain paragraphs of this Agreement describe events that could occur at a particular time in the future, nothing in this Agreement may be construed as a guarantee of employment of any length.</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and construed in accordance with the laws of the State of California, without regard to conflict-of-law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provisions of this Agreement shall inure to the benefit of, and be binding upon, the Company and its successors and assigns. Employee may not assign, pledge or encumber her interest in this Agreement or any part thereof, provided, however, that the provisions of this Agreement shall inure to the benefit of, and be binding upon Employee’s estate.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 Waiver of Breach</w:t>
      </w:r>
      <w:r>
        <w:rPr>
          <w:rFonts w:ascii="Times New Roman;sans-serif" w:hAnsi="Times New Roman;sans-serif"/>
          <w:b w:val="false"/>
          <w:color w:val="000000"/>
          <w:sz w:val="24"/>
        </w:rPr>
        <w:t>. If either party should waive any breach of any provisions of this Agreement, such party shall not thereby be deemed to have waived any preceding or succeeding breach of the same or any other provision of this Agreement. The rights granted the parties are cumulative, and the election of one will not constitute a waiver of such party’s right to assert all other legal and equitable remedies available under the circumstances.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provision will be held to be invalid or otherwise unenforceable, in whole or in part, the remainder of the provisions, or enforceable parts of this Agreement, will not be affected.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89865"/>
                <wp:effectExtent l="0" t="0" r="0" b="0"/>
                <wp:wrapNone/>
                <wp:docPr id="81" name="Frame81"/>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6    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including Exhibit A, constitutes the entire agreement of the parties with respect to the subject matter of this Agreement, and supersedes all prior and contemporaneous negotiations, agreements and understandings between the parties, oral or written. This Agreement may be amended or supplemented only by writing signed by both of the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Modification; Waivers</w:t>
      </w:r>
      <w:r>
        <w:rPr>
          <w:rFonts w:ascii="Times New Roman;sans-serif" w:hAnsi="Times New Roman;sans-serif"/>
          <w:b w:val="false"/>
          <w:color w:val="000000"/>
          <w:sz w:val="24"/>
        </w:rPr>
        <w:t>. No modification, termination or attempted waiver of this Agreement will be valid unless in writing, signed by the party against whom such modification, termination or waiver is sought to be enforced.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Duplicate Counterparts</w:t>
      </w:r>
      <w:r>
        <w:rPr>
          <w:rFonts w:ascii="Times New Roman;sans-serif" w:hAnsi="Times New Roman;sans-serif"/>
          <w:b w:val="false"/>
          <w:color w:val="000000"/>
          <w:sz w:val="24"/>
        </w:rPr>
        <w:t>. This Agreement may be executed in duplicate counterparts; each of, which shall be deemed an original; provided, however, such counterparts shall together constitute only one instrument.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The headings contained in this Agreement are for reference purposes only and shall not affect in any way the meaning or interpretation of this Agreement. As used in this Agreement, words of the masculine gender shall mean and include corresponding neuter words or words of the feminine gender. The word “or” is not exclusive.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6.9</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xml:space="preserve">. No payment to which Employee is entitled pursuant to Section 2.1 hereof shall be reduced by reason of compensation or other income received by her for services rendered after termination of her employment with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6.10</w:t>
      </w:r>
      <w:r>
        <w:rPr>
          <w:rFonts w:ascii="Times New Roman;sans-serif" w:hAnsi="Times New Roman;sans-serif"/>
          <w:b w:val="false"/>
          <w:color w:val="000000"/>
          <w:sz w:val="24"/>
          <w:u w:val="single"/>
        </w:rPr>
        <w:t>Withholding of Taxes</w:t>
      </w:r>
      <w:r>
        <w:rPr>
          <w:rFonts w:ascii="Times New Roman;sans-serif" w:hAnsi="Times New Roman;sans-serif"/>
          <w:b w:val="false"/>
          <w:color w:val="000000"/>
          <w:sz w:val="24"/>
        </w:rPr>
        <w:t xml:space="preserve">. The Company shall withhold appropriate federal, state, local (and foreign, if applicable) income and employment taxes from any payments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6.11</w:t>
      </w:r>
      <w:r>
        <w:rPr>
          <w:rFonts w:ascii="Times New Roman;sans-serif" w:hAnsi="Times New Roman;sans-serif"/>
          <w:b w:val="false"/>
          <w:color w:val="000000"/>
          <w:sz w:val="24"/>
          <w:u w:val="single"/>
        </w:rPr>
        <w:t>Drafting Ambiguities; Representation by Counsel</w:t>
      </w:r>
      <w:r>
        <w:rPr>
          <w:rFonts w:ascii="Times New Roman;sans-serif" w:hAnsi="Times New Roman;sans-serif"/>
          <w:b w:val="false"/>
          <w:color w:val="000000"/>
          <w:sz w:val="24"/>
        </w:rPr>
        <w:t xml:space="preserve">. Each party to this Agreement and its counsel have reviewed and revised this Agreement and the Release. The rule of construction that any ambiguities are to be resolved against the drafting party shall not be employed in the interpretation of this Agreement, the Release or any of the amendments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6.12</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is intended to comply with the requirements of Section 409A of the Code and the regulations and guidance promulgated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from Section 409A. The Company shall undertake to administer, interpret, and construe this Agreement in a manner that does not result in the imposition on Employee of any additional tax, penalty, or interest under Section 409A. Each payment under this Agreement shall be treated as a separate payment for purposes of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anything herein to the contrary, in the event that Employee is a “specified employee” within the meaning of that term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89865"/>
                <wp:effectExtent l="0" t="0" r="0" b="0"/>
                <wp:wrapNone/>
                <wp:docPr id="82" name="Frame82"/>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7    </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409A(a)(2)(B) of the Code, then with regard to any payment or the provision of any benefit (whether under this Agreement or otherwise) that is considered deferred compensation under Section 409A payable on account of a “separation from service,” and that is not exempt from Section 409A as involuntary separation pay or a short-term deferral (or otherwise), to the extent necessary to avoid the imposition of excise taxes under Section 409A, such payment or benefit shall be made or provided at the date which is the earlier of (i) the expiration of the six (6)-month period measured from the date of such “separation from service” of Employee or (B) the date of Employee’s death (the “</w:t>
      </w:r>
      <w:r>
        <w:rPr>
          <w:rFonts w:ascii="Times New Roman;sans-serif" w:hAnsi="Times New Roman;sans-serif"/>
          <w:b w:val="false"/>
          <w:color w:val="000000"/>
          <w:sz w:val="24"/>
          <w:u w:val="single"/>
        </w:rPr>
        <w:t>Delay Period</w:t>
      </w:r>
      <w:r>
        <w:rPr>
          <w:color w:val="000000"/>
        </w:rPr>
        <w:t>”</w:t>
      </w:r>
      <w:r>
        <w:rPr>
          <w:rFonts w:ascii="Times New Roman;sans-serif" w:hAnsi="Times New Roman;sans-serif"/>
          <w:b w:val="false"/>
          <w:color w:val="000000"/>
          <w:sz w:val="24"/>
        </w:rPr>
        <w:t>). Upon the expiration of the Delay Period, all payments and benefits delayed pursuant to this Section 6.13(c) (whether they would have otherwise been payable in a single sum or in installments in the absence of such delay) shall be paid or reimbursed to Employee in a lump sum without interest, and any remaining payments and benefits due under this Agreement shall be paid or provided in accordance with the normal payment dates specified for them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With regard to any provision herein that provides for reimbursement of costs and expenses or in-kind benefits, except as permitted by Section 409A, all such payments shall be made on or before the last day of calendar year following the calendar year in which the expense occurred.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89865"/>
                <wp:effectExtent l="0" t="0" r="0" b="0"/>
                <wp:wrapNone/>
                <wp:docPr id="83" name="Frame83"/>
                <a:graphic xmlns:a="http://schemas.openxmlformats.org/drawingml/2006/main">
                  <a:graphicData uri="http://schemas.microsoft.com/office/word/2010/wordprocessingShape">
                    <wps:wsp>
                      <wps:cNvSpPr txBox="1"/>
                      <wps:spPr>
                        <a:xfrm>
                          <a:off x="0" y="0"/>
                          <a:ext cx="6480175" cy="18986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6"/>
                        </w:rPr>
                        <w:t>8    </w:t>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In witness whereof, this Severance and Change of Control Agreement has been executed as of the date first set forth above.</w:t>
      </w:r>
    </w:p>
    <w:p>
      <w:pPr>
        <w:pStyle w:val="TextBody"/>
        <w:bidi w:val="0"/>
        <w:spacing w:before="0" w:after="24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Arrowhead Pharmaceuticals, Inc. </w:t>
      </w:r>
    </w:p>
    <w:p>
      <w:pPr>
        <w:pStyle w:val="TextBody"/>
        <w:bidi w:val="0"/>
        <w:spacing w:before="240" w:after="24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By:     </w:t>
      </w:r>
      <w:r>
        <w:rPr>
          <w:color w:val="000000"/>
          <w:u w:val="single"/>
        </w:rPr>
        <w:t xml:space="preserve"> </w:t>
      </w:r>
      <w:r>
        <w:rPr>
          <w:rFonts w:ascii="Times New Roman;sans-serif" w:hAnsi="Times New Roman;sans-serif"/>
          <w:b w:val="false"/>
          <w:color w:val="000000"/>
          <w:sz w:val="24"/>
          <w:u w:val="single"/>
        </w:rPr>
        <w:t>/s/ Christopher Anzalone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Christopher Anzalone, President and CEO</w: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Employee</w:t>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left"/>
        <w:rPr/>
      </w:pPr>
      <w:r>
        <w:rPr>
          <w:color w:val="000000"/>
        </w:rPr>
        <w:t>                             </w:t>
      </w:r>
      <w:r>
        <w:rPr>
          <w:color w:val="000000"/>
          <w:u w:val="single"/>
        </w:rPr>
        <w:t xml:space="preserve"> </w:t>
      </w:r>
      <w:r>
        <w:rPr>
          <w:rFonts w:ascii="Times New Roman;sans-serif" w:hAnsi="Times New Roman;sans-serif"/>
          <w:b w:val="false"/>
          <w:color w:val="000000"/>
          <w:sz w:val="24"/>
          <w:u w:val="single"/>
        </w:rPr>
        <w:t>/s/ James Hamilton                </w:t>
        <w:br/>
      </w:r>
      <w:r>
        <w:rPr>
          <w:color w:val="000000"/>
        </w:rPr>
        <w:t xml:space="preserve">                              </w:t>
      </w:r>
      <w:r>
        <w:rPr>
          <w:rFonts w:ascii="Times New Roman;sans-serif" w:hAnsi="Times New Roman;sans-serif"/>
          <w:b w:val="false"/>
          <w:color w:val="000000"/>
          <w:sz w:val="24"/>
        </w:rPr>
        <w:t>James Hamilton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r>
                              <w:br w:type="page"/>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Severance and Change of Control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This General Release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is entered into as of &lt;Date&gt;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with reference to the following facts:</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WHEREAS, Employee and Arrowhead Pharmaceuticals,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entered into a Severance and Change of Control Agreement dated _________ __, 2024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which the parties agreed that in certain circumstances Employee would become eligible for severance payments and benefits following certain terminations of employment in exchange for Employee’s release of the Company from all claims which Employee may have against the Company.</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WHEREAS, Employee desires to dispose of, fully and completely, all claims that Employee may have against the Company in the manner set forth in this Release.</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good and valuable consideration, including the consideration set forth in Sections [2.1(b) and 2.1(c)] // [2.2(b), 2.2(c) and 2.2(d)] of the Agreement, Employee, for himself/herself and his/her heirs, successors and assigns, fully releases, and discharges Company, its officers, directors, employees, equity holders, attorneys, accountants, other professionals, insurers and agents (collectively “</w:t>
      </w:r>
      <w:r>
        <w:rPr>
          <w:rFonts w:ascii="Times New Roman;sans-serif" w:hAnsi="Times New Roman;sans-serif"/>
          <w:b w:val="false"/>
          <w:color w:val="000000"/>
          <w:sz w:val="24"/>
          <w:u w:val="single"/>
        </w:rPr>
        <w:t>Agents</w:t>
      </w:r>
      <w:r>
        <w:rPr>
          <w:color w:val="000000"/>
        </w:rPr>
        <w:t>”</w:t>
      </w:r>
      <w:r>
        <w:rPr>
          <w:rFonts w:ascii="Times New Roman;sans-serif" w:hAnsi="Times New Roman;sans-serif"/>
          <w:b w:val="false"/>
          <w:color w:val="000000"/>
          <w:sz w:val="24"/>
        </w:rPr>
        <w:t>), and all entities related to each such party, including, but not limited to, heirs, executors, administrators, personal representatives, assigns, parent, subsidiary and sister corporations, affiliates, partners and co-venturers (collectively “</w:t>
      </w:r>
      <w:r>
        <w:rPr>
          <w:rFonts w:ascii="Times New Roman;sans-serif" w:hAnsi="Times New Roman;sans-serif"/>
          <w:b w:val="false"/>
          <w:color w:val="000000"/>
          <w:sz w:val="24"/>
          <w:u w:val="single"/>
        </w:rPr>
        <w:t>Released Entities</w:t>
      </w:r>
      <w:r>
        <w:rPr>
          <w:color w:val="000000"/>
        </w:rPr>
        <w:t>”</w:t>
      </w:r>
      <w:r>
        <w:rPr>
          <w:rFonts w:ascii="Times New Roman;sans-serif" w:hAnsi="Times New Roman;sans-serif"/>
          <w:b w:val="false"/>
          <w:color w:val="000000"/>
          <w:sz w:val="24"/>
        </w:rPr>
        <w:t>), from all rights, claims, demands, actions, causes of action, liabilities and obligations of every kind, nature and description whatsoever, Employee now has, owns or holds or has at anytime had, owned or held or may have against the Company, Agents or Related Entities from any source whatsoever, whether or not arising from or related to the facts recited in this Release. Employee specifically releases and waives (i) any and all claims arising under any express or implied contract, (ii) any and all claims arising under public policy, tort or common law, (iii) any and all claims arising under federal, state or local law, rule, regulation or ordinance, including, without limitation, Title VII of the Civil Rights Act of 1964, the Civil Rights Act of 1991, the Americans with Disabilities Act, the Employee Retirement Income Security Act of 1974 (“</w:t>
      </w:r>
      <w:r>
        <w:rPr>
          <w:rFonts w:ascii="Times New Roman;sans-serif" w:hAnsi="Times New Roman;sans-serif"/>
          <w:b w:val="false"/>
          <w:color w:val="000000"/>
          <w:sz w:val="24"/>
          <w:u w:val="single"/>
        </w:rPr>
        <w:t>ERISA</w:t>
      </w:r>
      <w:r>
        <w:rPr>
          <w:color w:val="000000"/>
        </w:rPr>
        <w:t>”</w:t>
      </w:r>
      <w:r>
        <w:rPr>
          <w:rFonts w:ascii="Times New Roman;sans-serif" w:hAnsi="Times New Roman;sans-serif"/>
          <w:b w:val="false"/>
          <w:color w:val="000000"/>
          <w:sz w:val="24"/>
        </w:rPr>
        <w:t>), the National Labor Relations Act, the Occupational Safety and Health Act, the Family and Medical Leave Act of 1993, [and] [</w:t>
      </w:r>
      <w:r>
        <w:rPr>
          <w:rFonts w:ascii="Times New Roman;sans-serif" w:hAnsi="Times New Roman;sans-serif"/>
          <w:b/>
          <w:color w:val="000000"/>
          <w:sz w:val="24"/>
        </w:rPr>
        <w:t>California employees:</w:t>
      </w:r>
      <w:r>
        <w:rPr>
          <w:color w:val="000000"/>
        </w:rPr>
        <w:t xml:space="preserve"> </w:t>
      </w:r>
      <w:r>
        <w:rPr>
          <w:rFonts w:ascii="Times New Roman;sans-serif" w:hAnsi="Times New Roman;sans-serif"/>
          <w:b w:val="false"/>
          <w:color w:val="000000"/>
          <w:sz w:val="24"/>
        </w:rPr>
        <w:t>the California Fair Employment and Housing Act] [</w:t>
      </w:r>
      <w:r>
        <w:rPr>
          <w:rFonts w:ascii="Times New Roman;sans-serif" w:hAnsi="Times New Roman;sans-serif"/>
          <w:b/>
          <w:color w:val="000000"/>
          <w:sz w:val="24"/>
        </w:rPr>
        <w:t>Wisconsin Employees:</w:t>
      </w:r>
      <w:r>
        <w:rPr>
          <w:color w:val="000000"/>
        </w:rPr>
        <w:t xml:space="preserve"> </w:t>
      </w:r>
      <w:r>
        <w:rPr>
          <w:rFonts w:ascii="Times New Roman;sans-serif" w:hAnsi="Times New Roman;sans-serif"/>
          <w:b w:val="false"/>
          <w:color w:val="000000"/>
          <w:sz w:val="24"/>
        </w:rPr>
        <w:t>the Wisconsin Fair Employment Act, the California Wisconsin Family and Medical Leave Law, the Wisconsin Personnel Records Statute] [and the Age Discrimination in Employment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(iv) any allegations for costs, fees, or other expenses, including attorneys’ fees incurred in or with respect to any such claims, (v) any and all rights, benefits or claims Employee may have under any employment contract (including the Agreement), incentive compensation plan or equity-based plan with any Released Entity (including the Company Equity Plans), and (vi) any claim for compensation or benefits of any kind not expressly set forth in the Agreement (collectively, the “</w:t>
      </w:r>
      <w:r>
        <w:rPr>
          <w:rFonts w:ascii="Times New Roman;sans-serif" w:hAnsi="Times New Roman;sans-serif"/>
          <w:b w:val="false"/>
          <w:color w:val="000000"/>
          <w:sz w:val="24"/>
          <w:u w:val="single"/>
        </w:rPr>
        <w:t>Release Claims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the Employee is not releasing (a) the right to enforce this agreement, (b) any rights to indemnification pursuant to agreement, by-law, policy or statute, if any, that the Employee maintains, (c) any claim that arises after the date that Employee signs this Release or (d) any claim to vested benefits under an employee benefit plan that is subject to ERISA. Further notwithstanding this release of liability, nothing in this Release prevents Employee from filing any non-legally waivable claim (including a challenge to the validity of this Release)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or comparable state or local agency or participating in (or cooperating with) any investigation or proceeding conducted by the EEOC or comparable state or local agency or cooperating in any such investigation or proceeding; however, Employee understands and agrees that Employee is waiving any and all rights to recover any monetary or personal relief from a Released Entity as a result of such EEOC or comparable state or local agency or proceeding or subsequent legal actions. Further, nothing in this Release or the Agreement prohibits or restricts Employee from filing a charge or complaint with, or cooperating in any investigation with, the Securities and Exchange Commission, the Financial Industry Regulatory Authority, or any other securities regulatory agency or authority (each, a “</w:t>
      </w:r>
      <w:r>
        <w:rPr>
          <w:rFonts w:ascii="Times New Roman;sans-serif" w:hAnsi="Times New Roman;sans-serif"/>
          <w:b w:val="false"/>
          <w:color w:val="000000"/>
          <w:sz w:val="24"/>
          <w:u w:val="single"/>
        </w:rPr>
        <w:t>Government Agency</w:t>
      </w:r>
      <w:r>
        <w:rPr>
          <w:color w:val="000000"/>
        </w:rPr>
        <w:t>”</w:t>
      </w:r>
      <w:r>
        <w:rPr>
          <w:rFonts w:ascii="Times New Roman;sans-serif" w:hAnsi="Times New Roman;sans-serif"/>
          <w:b w:val="false"/>
          <w:color w:val="000000"/>
          <w:sz w:val="24"/>
        </w:rPr>
        <w:t>). This Release does not limit Employee’s right to receive an award for information provided to a Government Agency.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represents and warrants that, as of the time at which Employee signs this Agreement, Employee has not filed or joined any claims, complaints, charges, or lawsuits against any of the Released Entities with any governmental agency or with any state or federal court or arbitrator for, or with respect to, a matter, claim, or incident that occurred or arose out of one or more occurrences that took place on or prior to the time at which Employee signs this Release. Employee further represents and warrants that Employee has not made any assignment, sale, delivery, transfer or conveyance of any rights Employee has asserted or may have against any of the Released Entities with respect to any Released Claim.</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Waiver of Certain Claims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Employee acknowledges that Employee has been advised in writing of Employee’s right to consult with an attorney prior to executing the waivers set out in this Release, and that Employee has been given sufficient time [(and at least 21 days following Employee’s receipt of this Release)] in which to review and consider this Release. If Employee signs this Release before the expiration of such period, Employee has knowingly and voluntarily waived any longer consideration period than the one provided to Employee. No changes (whether material or immaterial) to this Release shall restart the running of any such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This Release is intended as a full and complete release and discharge of any and all claims that Employee may have against the Company or any Agents or Related Entities. In making this release, Employee intends to release the Company, Agents and Related Entities from liability of any nature whatsoever for any claim of damages or injury or for equitable or declaratory relief of any kind, whether the claim, or any facts on which such claim might be based, is known or unknown to Employee. Employee expressly waives all rights under §1542 of the California Civil Code , which Employee understands provides as follows:</w:t>
      </w:r>
    </w:p>
    <w:p>
      <w:pPr>
        <w:pStyle w:val="TextBody"/>
        <w:bidi w:val="0"/>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Employee acknowledges that Employee may discover facts different from or in addition to those that he/she now believes to be true with respect to this Release. Employee agrees that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Release shall remain effective notwithstanding the discovery of any different or additional facts.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[Revocation Right</w:t>
      </w:r>
      <w:r>
        <w:rPr>
          <w:rFonts w:ascii="Times New Roman;sans-serif" w:hAnsi="Times New Roman;sans-serif"/>
          <w:b w:val="false"/>
          <w:color w:val="000000"/>
          <w:sz w:val="24"/>
        </w:rPr>
        <w:t>. Notwithstanding the initial effectiveness of this Release, Employee may revoke the delivery (and therefore the effectiveness) of this Release within the seven-day period beginning on the date Employee executes this Release (such seven-day period being referred to herein as the “</w:t>
      </w:r>
      <w:r>
        <w:rPr>
          <w:rFonts w:ascii="Times New Roman;sans-serif" w:hAnsi="Times New Roman;sans-serif"/>
          <w:b w:val="false"/>
          <w:color w:val="000000"/>
          <w:sz w:val="24"/>
          <w:u w:val="single"/>
        </w:rPr>
        <w:t>Release Revocation Period</w:t>
      </w:r>
      <w:r>
        <w:rPr>
          <w:color w:val="000000"/>
        </w:rPr>
        <w:t>”</w:t>
      </w:r>
      <w:r>
        <w:rPr>
          <w:rFonts w:ascii="Times New Roman;sans-serif" w:hAnsi="Times New Roman;sans-serif"/>
          <w:b w:val="false"/>
          <w:color w:val="000000"/>
          <w:sz w:val="24"/>
        </w:rPr>
        <w:t>). To be effective, such revocation must be in writing signed by Employee and must be delivered personally or by courier to the Company to the Company so that it is received by &lt;Name&gt;, &lt;Address&gt; (email: &lt;Email&gt;) by 11:59 p.m., &lt;Location&gt; time, on the Release Revocation Expiration Date. If an effective revocation is delivered in the foregoing manner and timeframe, the release of claims set forth in Sections 1 and 2 of this Release will be of no force or effect, Employee will not receive the payments, benefits or consideration set forth in Sections [2.1(b) and 2.1(c)] // [2.2(b), 2.2(c) and 2.2(d)] of the Agreement], and the remainder of this Agreement will remain in full force and effect.]</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Confidentiality Agreement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acknowledges and reaffirms that Employee's obligations in respect of the At-will Employment, Confidentiality and Proprietary Rights Agreement entered into between the parties on ________ (the “</w:t>
      </w:r>
      <w:r>
        <w:rPr>
          <w:rFonts w:ascii="Times New Roman;sans-serif" w:hAnsi="Times New Roman;sans-serif"/>
          <w:b w:val="false"/>
          <w:color w:val="000000"/>
          <w:sz w:val="24"/>
          <w:u w:val="single"/>
        </w:rPr>
        <w:t>Confidentiality Agreement</w:t>
      </w:r>
      <w:r>
        <w:rPr>
          <w:color w:val="000000"/>
        </w:rPr>
        <w:t>”</w:t>
      </w:r>
      <w:r>
        <w:rPr>
          <w:rFonts w:ascii="Times New Roman;sans-serif" w:hAnsi="Times New Roman;sans-serif"/>
          <w:b w:val="false"/>
          <w:color w:val="000000"/>
          <w:sz w:val="24"/>
        </w:rPr>
        <w:t>) shall remain in full force and effect following the execution of this Release, and Employee hereby represents that Employee has complied and will continue to fully comply with those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foregoing, nothing herein or in the Agreement will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Employee agrees that Employee will not at any time disparage, criticize or ridicule any of the Released Entities, or make any negative public comments, whether by way of news interviews, posting comments on, or publishing internet blogs or webpages (whether or not done anonymously), publishing or circulating any other form of media, or the expression of Employee's personal views, opinions or judgments to the media, internet blogs and webpages, or otherwise (whether or not done anonymously), or to current or former officers, directors or employees of the Released Entities.</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Employee agrees that Employee will cooperate with the Company (or its present and former parents, subsidiaries, affiliates or related entities) and its legal counsel in connection with any current or future litigation, pursuant to the issuance of a valid subpoena, relating to matters with which Employee was involved or of which Employee has knowledge or which occurred during Employee's employment at the Company. Such assistance will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not be limited to, depositions and testimony and will continue until such matters are resolved. The Company will provide Employee with reasonable notice whenever possible of the need for cooperation; will make all reasonable efforts to schedule cooperation so as not to interfere with Employee's employment or professional obligations; and will reimburse Employee for all reasonable travel, lodging and meal costs incurred in providing requested assistance.</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xml:space="preserve">. Employee represents that Employee has returned to the Company all company property and equipment of any kind in Employee's possession or control. This includes computer equipment (hardware and software), BlackBerry, iPhone or similar device, credit cards, office keys, security access cards, badges, identification cards and all files, documents, copies (including drafts) of any documentation or information (however stored), relating to the business of the Released Entities, their clients or prospective clients. </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Employee hereby covenants and agrees that for a period of twelve months following the effective date of this Release, Employee shall not, without the written consent of the Company, either directly or indirectly: solicit, offer employment to, or take any other action intended (or that a reasonable person acting in like circumstances would expect) to have the effect of causing any officer or employee of the Company or any of its subsidiaries or affiliates, to terminate his or her employment and accept employment or become affiliated with or provide services for compensation in any capacity whatsoever to, any business whatsoever that competes with the business of the Company or any of its direct or indirect subsidiaries or affiliates.</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Undue Influence</w:t>
      </w:r>
      <w:r>
        <w:rPr>
          <w:rFonts w:ascii="Times New Roman;sans-serif" w:hAnsi="Times New Roman;sans-serif"/>
          <w:b w:val="false"/>
          <w:color w:val="000000"/>
          <w:sz w:val="24"/>
        </w:rPr>
        <w:t>. This Release is executed voluntarily and without any duress or undue influence. Employee acknowledges Employee has read this Release and executed it with full and free consent. No provision of this Release shall be construed against any party by virtue of the fact that such party or its counsel drafted such provision or the entirety of this Release. Employee has been advised, and hereby is advised in writing, to discuss this Release with an attorney of Employee’s choice and that Employee has had an adequate opportunity to do so prior to executing this Agreement</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Third-Party Beneficiaries</w:t>
      </w:r>
      <w:r>
        <w:rPr>
          <w:rFonts w:ascii="Times New Roman;sans-serif" w:hAnsi="Times New Roman;sans-serif"/>
          <w:b w:val="false"/>
          <w:color w:val="000000"/>
          <w:sz w:val="24"/>
        </w:rPr>
        <w:t>. Employee expressly acknowledges and agrees that each Released Entity shall be a third-party beneficiary of Sections 1, 2, 4, 5, 6, 7, and 8 of this Release and entitled to enforce such provisions as if it were a party hereto.</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Release, the Agreement and the Confidentiality Agreement together constitute the entire agreement of the parties with respect to the subject matter of this Release, and supersedes all prior and contemporaneous negotiations, agreements and understandings between the parties, oral or written.</w:t>
      </w:r>
    </w:p>
    <w:p>
      <w:pPr>
        <w:pStyle w:val="TextBody"/>
        <w:bidi w:val="0"/>
        <w:spacing w:lineRule="auto" w:line="240" w:before="0" w:after="2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supplemented only by writing signed by Employee and the Company.</w:t>
      </w:r>
    </w:p>
    <w:p>
      <w:pPr>
        <w:pStyle w:val="TextBody"/>
        <w:bidi w:val="0"/>
        <w:spacing w:lineRule="auto" w:line="240" w:before="0" w:after="2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Incorporation of the Agreement</w:t>
      </w:r>
      <w:r>
        <w:rPr>
          <w:rFonts w:ascii="Times New Roman;sans-serif" w:hAnsi="Times New Roman;sans-serif"/>
          <w:b w:val="false"/>
          <w:color w:val="000000"/>
          <w:sz w:val="24"/>
        </w:rPr>
        <w:t xml:space="preserve">. Sections 4, 6.1, 6.2 6.4, 6.6, and 6.8 of the Agreement are hereby incorporated by references and shall apply as if fully stated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        ___________________________</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Employee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tbl>
      <w:tblPr>
        <w:tblW w:w="4036" w:type="dxa"/>
        <w:jc w:val="left"/>
        <w:tblInd w:w="0" w:type="dxa"/>
        <w:tblLayout w:type="fixed"/>
        <w:tblCellMar>
          <w:top w:w="28" w:type="dxa"/>
          <w:left w:w="28" w:type="dxa"/>
          <w:bottom w:w="28" w:type="dxa"/>
          <w:right w:w="28" w:type="dxa"/>
        </w:tblCellMar>
      </w:tblPr>
      <w:tblGrid>
        <w:gridCol w:w="1293"/>
        <w:gridCol w:w="1136"/>
        <w:gridCol w:w="1607"/>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780"/>
              <w:jc w:val="left"/>
              <w:rPr>
                <w:rFonts w:ascii="sans-serif" w:hAnsi="sans-serif"/>
                <w:b w:val="false"/>
                <w:i/>
                <w:color w:val="000000"/>
                <w:sz w:val="22"/>
              </w:rPr>
            </w:pPr>
            <w:r>
              <w:rPr>
                <w:rFonts w:ascii="sans-serif" w:hAnsi="sans-serif"/>
                <w:b w:val="false"/>
                <w:i/>
                <w:color w:val="000000"/>
                <w:sz w:val="22"/>
              </w:rPr>
              <w:t>r</w:t>
            </w:r>
          </w:p>
          <w:p>
            <w:pPr>
              <w:pStyle w:val="TableContents"/>
              <w:bidi w:val="0"/>
              <w:spacing w:lineRule="auto" w:line="300" w:before="0" w:after="0"/>
              <w:jc w:val="left"/>
              <w:rPr>
                <w:rFonts w:ascii="sans-serif" w:hAnsi="sans-serif"/>
                <w:b w:val="false"/>
                <w:i/>
                <w:color w:val="000000"/>
                <w:sz w:val="20"/>
              </w:rPr>
            </w:pPr>
            <w:r>
              <w:rPr>
                <w:rFonts w:ascii="sans-serif" w:hAnsi="sans-serif"/>
                <w:b w:val="false"/>
                <w:i/>
                <w:color w:val="000000"/>
                <w:sz w:val="20"/>
              </w:rPr>
              <w:t>From the Desk of:</w:t>
            </w:r>
          </w:p>
          <w:p>
            <w:pPr>
              <w:pStyle w:val="TableContents"/>
              <w:bidi w:val="0"/>
              <w:spacing w:lineRule="auto" w:line="300" w:before="0" w:after="0"/>
              <w:jc w:val="left"/>
              <w:rPr>
                <w:rFonts w:ascii="sans-serif" w:hAnsi="sans-serif"/>
                <w:b w:val="false"/>
                <w:color w:val="000000"/>
                <w:sz w:val="20"/>
              </w:rPr>
            </w:pPr>
            <w:r>
              <w:rPr>
                <w:rFonts w:ascii="sans-serif" w:hAnsi="sans-serif"/>
                <w:b w:val="false"/>
                <w:color w:val="000000"/>
                <w:sz w:val="20"/>
              </w:rPr>
              <w:t>Patrick O’Brien</w:t>
            </w:r>
          </w:p>
          <w:p>
            <w:pPr>
              <w:pStyle w:val="TableContents"/>
              <w:bidi w:val="0"/>
              <w:spacing w:lineRule="auto" w:line="300" w:before="0" w:after="0"/>
              <w:ind w:left="0" w:right="0" w:hanging="270"/>
              <w:jc w:val="left"/>
              <w:rPr>
                <w:rFonts w:ascii="sans-serif" w:hAnsi="sans-serif"/>
                <w:b w:val="false"/>
                <w:color w:val="000000"/>
                <w:sz w:val="20"/>
              </w:rPr>
            </w:pPr>
            <w:r>
              <w:rPr>
                <w:rFonts w:ascii="sans-serif" w:hAnsi="sans-serif"/>
                <w:b w:val="false"/>
                <w:color w:val="000000"/>
                <w:sz w:val="20"/>
              </w:rPr>
              <w:t>Chief Operating Officer</w:t>
            </w:r>
          </w:p>
          <w:p>
            <w:pPr>
              <w:pStyle w:val="TableContents"/>
              <w:bidi w:val="0"/>
              <w:spacing w:lineRule="auto" w:line="300" w:before="0" w:after="160"/>
              <w:jc w:val="left"/>
              <w:rPr>
                <w:color w:val="000000"/>
              </w:rPr>
            </w:pPr>
            <w:r>
              <w:rPr>
                <w:color w:val="000000"/>
              </w:rPr>
              <w:t>   </w:t>
            </w:r>
            <w:r>
              <w:rPr>
                <w:rFonts w:ascii="sans-serif" w:hAnsi="sans-serif"/>
                <w:b w:val="false"/>
                <w:color w:val="000000"/>
                <w:sz w:val="20"/>
              </w:rPr>
              <w:t>and General Counsel</w:t>
            </w:r>
          </w:p>
        </w:tc>
      </w:tr>
    </w:tbl>
    <w:p>
      <w:pPr>
        <w:pStyle w:val="TextBody"/>
        <w:bidi w:val="0"/>
        <w:spacing w:before="0" w:after="0"/>
        <w:jc w:val="left"/>
        <w:rPr/>
      </w:pPr>
      <w:r>
        <w:rPr/>
        <w:drawing>
          <wp:inline distT="0" distB="0" distL="0" distR="0">
            <wp:extent cx="1962150" cy="457200"/>
            <wp:effectExtent l="0" t="0" r="0" b="0"/>
            <wp:docPr id="8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 descr=""/>
                    <pic:cNvPicPr>
                      <a:picLocks noChangeAspect="1" noChangeArrowheads="1"/>
                    </pic:cNvPicPr>
                  </pic:nvPicPr>
                  <pic:blipFill>
                    <a:blip r:embed="rId6"/>
                    <a:stretch>
                      <a:fillRect/>
                    </a:stretch>
                  </pic:blipFill>
                  <pic:spPr bwMode="auto">
                    <a:xfrm>
                      <a:off x="0" y="0"/>
                      <a:ext cx="1962150" cy="457200"/>
                    </a:xfrm>
                    <a:prstGeom prst="rect">
                      <a:avLst/>
                    </a:prstGeom>
                  </pic:spPr>
                </pic:pic>
              </a:graphicData>
            </a:graphic>
          </wp:inline>
        </w:drawing>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May 9, 2025</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Ken Myszkowski, CFO</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Arrowhead Pharmaceuticals, Inc.</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RE:     Retirement from Role of CFO</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Dear Ken,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Consistent with the oral conversations we’ve been having recently Arrowhead accepts your offer of retirement from the position of Chief Financial Officer, effective May 13, 2025. As you know, Dan Apel joined Arrowhead on April 21, 2025. Between now and May 13, you will help Dan transition into the role of CFO. You are free to work remotely except that you will attend the May 12, 2025, earnings call in the office and you will sign the FYQ2 report on Form 10-Q.</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After May 13, 2025, and through January 31, 2026, it is Arrowhead’s intention that you will remain an Arrowhead employee, assuming the position of Assistant to the Chief Financial Officer. In that role, you will be reasonably available for consultation at Dan’s request, and you will assist Dan with certain regulatory filings. As Assistant to the CFO, you will be considered a full-time employee and will draw a salary at the annualized rate of $200,000. If Arrowhead terminates your employment without cause prior to January 31, 2026, you will be entitled to a lump sum payment for three months of your salary and an amount equal to the cost of three months of healthcare insurance under your post-employment COBRA rights.</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Ken, Arrowhead deeply appreciates your many years of service, your wisdom, and your friendship. As you head into retirement, we wish you and your family much joy.</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Regards,</w:t>
      </w:r>
    </w:p>
    <w:p>
      <w:pPr>
        <w:pStyle w:val="TextBody"/>
        <w:bidi w:val="0"/>
        <w:spacing w:lineRule="auto" w:line="300" w:before="0" w:after="160"/>
        <w:jc w:val="left"/>
        <w:rPr>
          <w:rFonts w:ascii="sans-serif" w:hAnsi="sans-serif"/>
          <w:b w:val="false"/>
          <w:color w:val="000000"/>
          <w:sz w:val="22"/>
          <w:u w:val="single"/>
        </w:rPr>
      </w:pPr>
      <w:r>
        <w:rPr>
          <w:rFonts w:ascii="sans-serif" w:hAnsi="sans-serif"/>
          <w:b w:val="false"/>
          <w:color w:val="000000"/>
          <w:sz w:val="22"/>
          <w:u w:val="single"/>
        </w:rPr>
        <w:t xml:space="preserve">/s/ Patrick O’Brien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Patrick O’Brien                        Accepted:</w:t>
      </w:r>
    </w:p>
    <w:p>
      <w:pPr>
        <w:pStyle w:val="TextBody"/>
        <w:bidi w:val="0"/>
        <w:spacing w:lineRule="auto" w:line="300" w:before="0" w:after="160"/>
        <w:jc w:val="left"/>
        <w:rPr/>
      </w:pPr>
      <w:r>
        <w:rPr>
          <w:color w:val="000000"/>
        </w:rPr>
        <w:t>                            </w:t>
      </w:r>
      <w:r>
        <w:rPr>
          <w:color w:val="000000"/>
          <w:u w:val="single"/>
        </w:rPr>
        <w:t xml:space="preserve"> </w:t>
      </w:r>
      <w:r>
        <w:rPr>
          <w:rFonts w:ascii="sans-serif" w:hAnsi="sans-serif"/>
          <w:b w:val="false"/>
          <w:color w:val="000000"/>
          <w:sz w:val="22"/>
          <w:u w:val="single"/>
        </w:rPr>
        <w:t xml:space="preserve">/s/ Ken Myszkowski </w:t>
      </w:r>
    </w:p>
    <w:p>
      <w:pPr>
        <w:pStyle w:val="TextBody"/>
        <w:bidi w:val="0"/>
        <w:spacing w:lineRule="auto" w:line="300" w:before="0" w:after="160"/>
        <w:jc w:val="left"/>
        <w:rPr>
          <w:color w:val="000000"/>
        </w:rPr>
      </w:pPr>
      <w:r>
        <w:rPr>
          <w:color w:val="000000"/>
        </w:rPr>
        <w:t>                            </w:t>
      </w:r>
      <w:r>
        <w:rPr>
          <w:rFonts w:ascii="sans-serif" w:hAnsi="sans-serif"/>
          <w:b w:val="false"/>
          <w:color w:val="000000"/>
          <w:sz w:val="22"/>
        </w:rPr>
        <w:t>Ken Myszkowski</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5150"/>
                <wp:effectExtent l="0" t="0" r="0" b="0"/>
                <wp:wrapNone/>
                <wp:docPr id="90" name="Frame89"/>
                <a:graphic xmlns:a="http://schemas.openxmlformats.org/drawingml/2006/main">
                  <a:graphicData uri="http://schemas.microsoft.com/office/word/2010/wordprocessingShape">
                    <wps:wsp>
                      <wps:cNvSpPr txBox="1"/>
                      <wps:spPr>
                        <a:xfrm>
                          <a:off x="0" y="0"/>
                          <a:ext cx="6480175" cy="565150"/>
                        </a:xfrm>
                        <a:prstGeom prst="rect"/>
                        <a:solidFill>
                          <a:srgbClr val="FFFFFF"/>
                        </a:solidFill>
                      </wps:spPr>
                      <wps:txbx>
                        <w:txbxContent>
                          <w:p>
                            <w:pPr>
                              <w:pStyle w:val="TextBody"/>
                              <w:bidi w:val="0"/>
                              <w:spacing w:lineRule="auto" w:line="288" w:before="0" w:after="0"/>
                              <w:jc w:val="left"/>
                              <w:rPr>
                                <w:rFonts w:ascii="sans-serif" w:hAnsi="sans-serif"/>
                                <w:b w:val="false"/>
                                <w:color w:val="2E74B5"/>
                                <w:sz w:val="22"/>
                              </w:rPr>
                            </w:pPr>
                            <w:r>
                              <w:rPr>
                                <w:rFonts w:ascii="sans-serif" w:hAnsi="sans-serif"/>
                                <w:b w:val="false"/>
                                <w:color w:val="2E74B5"/>
                                <w:sz w:val="22"/>
                              </w:rPr>
                              <w:t>177 E. Colorado Blvd. Suite 700</w:t>
                            </w:r>
                          </w:p>
                          <w:p>
                            <w:pPr>
                              <w:pStyle w:val="TextBody"/>
                              <w:bidi w:val="0"/>
                              <w:spacing w:lineRule="auto" w:line="288" w:before="0" w:after="0"/>
                              <w:jc w:val="left"/>
                              <w:rPr/>
                            </w:pPr>
                            <w:r>
                              <w:rPr>
                                <w:rFonts w:ascii="sans-serif" w:hAnsi="sans-serif"/>
                                <w:b w:val="false"/>
                                <w:color w:val="2E74B5"/>
                                <w:sz w:val="22"/>
                              </w:rPr>
                              <w:t xml:space="preserve">Pasadena, CA 91105 </w:t>
                            </w:r>
                            <w:r>
                              <w:rPr>
                                <w:rFonts w:ascii="sans-serif" w:hAnsi="sans-serif"/>
                                <w:b w:val="false"/>
                                <w:color w:val="385623"/>
                                <w:sz w:val="22"/>
                              </w:rPr>
                              <w:t>www.arrowheadpharma.com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2E74B5"/>
                          <w:sz w:val="22"/>
                        </w:rPr>
                      </w:pPr>
                      <w:r>
                        <w:rPr>
                          <w:rFonts w:ascii="sans-serif" w:hAnsi="sans-serif"/>
                          <w:b w:val="false"/>
                          <w:color w:val="2E74B5"/>
                          <w:sz w:val="22"/>
                        </w:rPr>
                        <w:t>177 E. Colorado Blvd. Suite 700</w:t>
                      </w:r>
                    </w:p>
                    <w:p>
                      <w:pPr>
                        <w:pStyle w:val="TextBody"/>
                        <w:bidi w:val="0"/>
                        <w:spacing w:lineRule="auto" w:line="288" w:before="0" w:after="0"/>
                        <w:jc w:val="left"/>
                        <w:rPr/>
                      </w:pPr>
                      <w:r>
                        <w:rPr>
                          <w:rFonts w:ascii="sans-serif" w:hAnsi="sans-serif"/>
                          <w:b w:val="false"/>
                          <w:color w:val="2E74B5"/>
                          <w:sz w:val="22"/>
                        </w:rPr>
                        <w:t xml:space="preserve">Pasadena, CA 91105 </w:t>
                      </w:r>
                      <w:r>
                        <w:rPr>
                          <w:rFonts w:ascii="sans-serif" w:hAnsi="sans-serif"/>
                          <w:b w:val="false"/>
                          <w:color w:val="385623"/>
                          <w:sz w:val="22"/>
                        </w:rPr>
                        <w:t>www.arrowheadpharma.com</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Anzalone, Chief Executive Officer of Arrowhead Pharmaceuticals, Inc., certify that: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529" w:type="dxa"/>
        <w:jc w:val="center"/>
        <w:tblInd w:w="0" w:type="dxa"/>
        <w:tblLayout w:type="fixed"/>
        <w:tblCellMar>
          <w:top w:w="28" w:type="dxa"/>
          <w:left w:w="28" w:type="dxa"/>
          <w:bottom w:w="28" w:type="dxa"/>
          <w:right w:w="28" w:type="dxa"/>
        </w:tblCellMar>
      </w:tblPr>
      <w:tblGrid>
        <w:gridCol w:w="629"/>
        <w:gridCol w:w="554"/>
        <w:gridCol w:w="557"/>
        <w:gridCol w:w="816"/>
        <w:gridCol w:w="816"/>
        <w:gridCol w:w="115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ANZALONE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Christopher Anzalone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Kenneth A. Myszkowski, Chief Financial Officer of Arrowhead Pharmaceuticals, Inc., certify that: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125" w:type="dxa"/>
        <w:jc w:val="center"/>
        <w:tblInd w:w="0" w:type="dxa"/>
        <w:tblLayout w:type="fixed"/>
        <w:tblCellMar>
          <w:top w:w="28" w:type="dxa"/>
          <w:left w:w="28" w:type="dxa"/>
          <w:bottom w:w="28" w:type="dxa"/>
          <w:right w:w="28" w:type="dxa"/>
        </w:tblCellMar>
      </w:tblPr>
      <w:tblGrid>
        <w:gridCol w:w="629"/>
        <w:gridCol w:w="554"/>
        <w:gridCol w:w="557"/>
        <w:gridCol w:w="698"/>
        <w:gridCol w:w="698"/>
        <w:gridCol w:w="98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Kenneth A. Myszkowski,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906 OF THE SARBANES-OXLEY ACT OF 2002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2025,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080" w:type="dxa"/>
        <w:jc w:val="center"/>
        <w:tblInd w:w="0" w:type="dxa"/>
        <w:tblLayout w:type="fixed"/>
        <w:tblCellMar>
          <w:top w:w="28" w:type="dxa"/>
          <w:left w:w="28" w:type="dxa"/>
          <w:bottom w:w="28" w:type="dxa"/>
          <w:right w:w="28" w:type="dxa"/>
        </w:tblCellMar>
      </w:tblPr>
      <w:tblGrid>
        <w:gridCol w:w="629"/>
        <w:gridCol w:w="554"/>
        <w:gridCol w:w="557"/>
        <w:gridCol w:w="684"/>
        <w:gridCol w:w="684"/>
        <w:gridCol w:w="97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C</w:t>
            </w:r>
            <w:r>
              <w:rPr>
                <w:rFonts w:ascii="Times New Roman;sans-serif" w:hAnsi="Times New Roman;sans-serif"/>
                <w:b w:val="false"/>
                <w:color w:val="000000"/>
                <w:sz w:val="15"/>
              </w:rPr>
              <w:t>HRISTOPHER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5"/>
              </w:rPr>
              <w:t>NZALONE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Christopher Anzalone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906 OF THE SARBANES-OXLEY ACT OF 2002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March 31, 2025,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125" w:type="dxa"/>
        <w:jc w:val="center"/>
        <w:tblInd w:w="0" w:type="dxa"/>
        <w:tblLayout w:type="fixed"/>
        <w:tblCellMar>
          <w:top w:w="28" w:type="dxa"/>
          <w:left w:w="28" w:type="dxa"/>
          <w:bottom w:w="28" w:type="dxa"/>
          <w:right w:w="28" w:type="dxa"/>
        </w:tblCellMar>
      </w:tblPr>
      <w:tblGrid>
        <w:gridCol w:w="629"/>
        <w:gridCol w:w="554"/>
        <w:gridCol w:w="557"/>
        <w:gridCol w:w="698"/>
        <w:gridCol w:w="698"/>
        <w:gridCol w:w="98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Myszkowski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119312516532364/d175317dex33.htm" TargetMode="External"/><Relationship Id="rId5" Type="http://schemas.openxmlformats.org/officeDocument/2006/relationships/hyperlink" Target="https://www.sec.gov/Archives/edgar/data/879407/000162828023001757/arrowheadpharmaceuticals.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45136</Words>
  <Characters>249890</Characters>
  <CharactersWithSpaces>294879</CharactersWithSpaces>
  <Paragraphs>3125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