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107315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15(d) OF THE SECURITIES EXCHANGE ACT OF 1934</w:t>
      </w:r>
    </w:p>
    <w:p>
      <w:pPr>
        <w:spacing w:after="0" w:line="1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31, 2013</w:t>
      </w:r>
    </w:p>
    <w:p>
      <w:pPr>
        <w:spacing w:after="0" w:line="216"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UNDER SECTION 13 OR 15(d) OF THE SECURITIES EXCHANGE ACT OF 1934</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ARROWHEAD RESEARCH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193675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50" w:lineRule="exact"/>
        <w:rPr>
          <w:sz w:val="24"/>
          <w:szCs w:val="24"/>
          <w:color w:val="auto"/>
        </w:rPr>
      </w:pPr>
    </w:p>
    <w:p>
      <w:pPr>
        <w:sectPr>
          <w:pgSz w:w="11900" w:h="16838" w:orient="portrait"/>
          <w:cols w:equalWidth="0" w:num="2">
            <w:col w:w="7460" w:space="720"/>
            <w:col w:w="3180"/>
          </w:cols>
          <w:pgMar w:left="240" w:top="341" w:right="299" w:bottom="1440" w:gutter="0" w:footer="0" w:header="0"/>
          <w:type w:val="continuous"/>
        </w:sectPr>
      </w:pPr>
    </w:p>
    <w:p>
      <w:pPr>
        <w:ind w:left="21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800" w:space="720"/>
            <w:col w:w="3840"/>
          </w:cols>
          <w:pgMar w:left="240" w:top="341" w:right="299" w:bottom="1440" w:gutter="0" w:footer="0" w:header="0"/>
          <w:type w:val="continuous"/>
        </w:sectPr>
      </w:pP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225 S. Lake Avenue, Suite 1050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(626) 304-3400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and telephone number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122555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type w:val="continuous"/>
        </w:sectPr>
      </w:pPr>
    </w:p>
    <w:p>
      <w:pPr>
        <w:spacing w:after="0" w:line="300"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341" w:right="299" w:bottom="1440" w:gutter="0" w:footer="0" w:header="0"/>
          <w:type w:val="continuous"/>
        </w:sectPr>
      </w:pPr>
    </w:p>
    <w:p>
      <w:pPr>
        <w:spacing w:after="0" w:line="17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1700" w:space="720"/>
            <w:col w:w="4920" w:space="720"/>
            <w:col w:w="2380" w:space="720"/>
            <w:col w:w="200"/>
          </w:cols>
          <w:pgMar w:left="240" w:top="341"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700" w:space="720"/>
            <w:col w:w="160" w:space="80"/>
            <w:col w:w="4680" w:space="720"/>
            <w:col w:w="2380" w:space="720"/>
            <w:col w:w="200"/>
          </w:cols>
          <w:pgMar w:left="240" w:top="341" w:right="299" w:bottom="1440" w:gutter="0" w:footer="0" w:header="0"/>
          <w:type w:val="continuous"/>
        </w:sectPr>
      </w:pPr>
    </w:p>
    <w:p>
      <w:pPr>
        <w:spacing w:after="0" w:line="16"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January 31, 2014 was 39,687,033.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0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680" w:type="dxa"/>
            <w:vAlign w:val="bottom"/>
            <w:gridSpan w:val="10"/>
            <w:vMerge w:val="restart"/>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00" w:type="dxa"/>
            <w:vAlign w:val="bottom"/>
            <w:tcBorders>
              <w:bottom w:val="single" w:sz="8" w:color="0000EE"/>
            </w:tcBorders>
            <w:gridSpan w:val="9"/>
            <w:vMerge w:val="continue"/>
          </w:tcPr>
          <w:p>
            <w:pPr>
              <w:spacing w:after="0"/>
              <w:rPr>
                <w:sz w:val="12"/>
                <w:szCs w:val="12"/>
                <w:color w:val="auto"/>
              </w:rPr>
            </w:pPr>
          </w:p>
        </w:tc>
        <w:tc>
          <w:tcPr>
            <w:tcW w:w="7680" w:type="dxa"/>
            <w:vAlign w:val="bottom"/>
            <w:gridSpan w:val="10"/>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3"/>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ITEM 1. FINANCIAL STATEMENTS (unaudited)</w:t>
              </w:r>
            </w:hyperlink>
          </w:p>
        </w:tc>
        <w:tc>
          <w:tcPr>
            <w:tcW w:w="726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Borders>
              <w:bottom w:val="single" w:sz="8" w:color="0000EE"/>
            </w:tcBorders>
            <w:gridSpan w:val="8"/>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Consolidated Statements of Operations</w:t>
              </w:r>
            </w:hyperlink>
          </w:p>
        </w:tc>
        <w:tc>
          <w:tcPr>
            <w:tcW w:w="766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 of Stockholders’ Equity</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Borders>
              <w:top w:val="single" w:sz="8" w:color="0000EE"/>
            </w:tcBorders>
            <w:gridSpan w:val="13"/>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Consolidated Statements of Cash Flows</w:t>
              </w:r>
            </w:hyperlink>
          </w:p>
        </w:tc>
        <w:tc>
          <w:tcPr>
            <w:tcW w:w="704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Borders>
              <w:bottom w:val="single" w:sz="8" w:color="0000EE"/>
            </w:tcBorders>
            <w:gridSpan w:val="10"/>
          </w:tcPr>
          <w:p>
            <w:pPr>
              <w:spacing w:after="0"/>
              <w:rPr>
                <w:rFonts w:ascii="Arial" w:cs="Arial" w:eastAsia="Arial" w:hAnsi="Arial"/>
                <w:sz w:val="17"/>
                <w:szCs w:val="17"/>
                <w:color w:val="0000EE"/>
                <w:w w:val="90"/>
              </w:rPr>
            </w:pPr>
            <w:hyperlink w:anchor="page13">
              <w:r>
                <w:rPr>
                  <w:rFonts w:ascii="Arial" w:cs="Arial" w:eastAsia="Arial" w:hAnsi="Arial"/>
                  <w:sz w:val="17"/>
                  <w:szCs w:val="17"/>
                  <w:color w:val="0000EE"/>
                  <w:w w:val="90"/>
                </w:rPr>
                <w:t>Notes to Consolidated Financial Statements</w:t>
              </w:r>
            </w:hyperlink>
          </w:p>
        </w:tc>
        <w:tc>
          <w:tcPr>
            <w:tcW w:w="734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Arial" w:cs="Arial" w:eastAsia="Arial" w:hAnsi="Arial"/>
                <w:sz w:val="17"/>
                <w:szCs w:val="17"/>
                <w:color w:val="0000EE"/>
                <w:w w:val="97"/>
              </w:rPr>
            </w:pPr>
            <w:hyperlink w:anchor="page27">
              <w:r>
                <w:rPr>
                  <w:rFonts w:ascii="Arial" w:cs="Arial" w:eastAsia="Arial" w:hAnsi="Arial"/>
                  <w:sz w:val="17"/>
                  <w:szCs w:val="17"/>
                  <w:color w:val="0000EE"/>
                  <w:w w:val="97"/>
                </w:rPr>
                <w:t>ITEM 2. MANAGEMENT’S DISCUSSION AND ANALYSIS OF FINANCIAL CONDITION AND RESULTS OF OPERATIONS</w:t>
              </w:r>
            </w:hyperlink>
          </w:p>
        </w:tc>
        <w:tc>
          <w:tcPr>
            <w:tcW w:w="16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7"/>
          </w:tcPr>
          <w:p>
            <w:pPr>
              <w:spacing w:after="0"/>
              <w:rPr>
                <w:rFonts w:ascii="Arial" w:cs="Arial" w:eastAsia="Arial" w:hAnsi="Arial"/>
                <w:sz w:val="17"/>
                <w:szCs w:val="17"/>
                <w:color w:val="0000EE"/>
                <w:w w:val="98"/>
              </w:rPr>
            </w:pPr>
            <w:hyperlink w:anchor="page33">
              <w:r>
                <w:rPr>
                  <w:rFonts w:ascii="Arial" w:cs="Arial" w:eastAsia="Arial" w:hAnsi="Arial"/>
                  <w:sz w:val="17"/>
                  <w:szCs w:val="17"/>
                  <w:color w:val="0000EE"/>
                  <w:w w:val="98"/>
                </w:rPr>
                <w:t>ITEM 3. QUANTITATIVE AND QUALITATIVE DISCLOSURES ABOUT MARKET RISK</w:t>
              </w:r>
            </w:hyperlink>
          </w:p>
        </w:tc>
        <w:tc>
          <w:tcPr>
            <w:tcW w:w="430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ITEM 4. CONTROLS AND PROCEDURES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304"/>
        </w:trPr>
        <w:tc>
          <w:tcPr>
            <w:tcW w:w="310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33">
              <w:r>
                <w:rPr>
                  <w:rFonts w:ascii="Arial" w:cs="Arial" w:eastAsia="Arial" w:hAnsi="Arial"/>
                  <w:sz w:val="17"/>
                  <w:szCs w:val="17"/>
                  <w:b w:val="1"/>
                  <w:bCs w:val="1"/>
                  <w:color w:val="0000EE"/>
                </w:rPr>
                <w:t>PART II — OTHER INFORMATION</w:t>
              </w:r>
            </w:hyperlink>
          </w:p>
        </w:tc>
        <w:tc>
          <w:tcPr>
            <w:tcW w:w="76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6"/>
              </w:rPr>
            </w:pPr>
            <w:hyperlink w:anchor="page33">
              <w:r>
                <w:rPr>
                  <w:rFonts w:ascii="Arial" w:cs="Arial" w:eastAsia="Arial" w:hAnsi="Arial"/>
                  <w:sz w:val="17"/>
                  <w:szCs w:val="17"/>
                  <w:color w:val="0000EE"/>
                  <w:w w:val="96"/>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ITEM 1A. RISK FACTORS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ITEM 2. UNREGISTERED SALES OF EQUITY SECURITIES AND USE OF PROCEEDS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6"/>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34">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6"/>
          </w:tcPr>
          <w:p>
            <w:pPr>
              <w:spacing w:after="0"/>
              <w:rPr>
                <w:sz w:val="24"/>
                <w:szCs w:val="24"/>
                <w:color w:val="auto"/>
              </w:rPr>
            </w:pPr>
          </w:p>
        </w:tc>
        <w:tc>
          <w:tcPr>
            <w:tcW w:w="712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ITEM 5. OTHER INFORMATION</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8"/>
              </w:rPr>
            </w:pPr>
            <w:hyperlink w:anchor="page34">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36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04"/>
        </w:trPr>
        <w:tc>
          <w:tcPr>
            <w:tcW w:w="960" w:type="dxa"/>
            <w:vAlign w:val="bottom"/>
            <w:tcBorders>
              <w:bottom w:val="single" w:sz="8" w:color="0000EE"/>
            </w:tcBorders>
            <w:gridSpan w:val="3"/>
          </w:tcPr>
          <w:p>
            <w:pPr>
              <w:spacing w:after="0"/>
              <w:rPr>
                <w:rFonts w:ascii="Arial" w:cs="Arial" w:eastAsia="Arial" w:hAnsi="Arial"/>
                <w:sz w:val="17"/>
                <w:szCs w:val="17"/>
                <w:color w:val="0000EE"/>
                <w:w w:val="94"/>
              </w:rPr>
            </w:pPr>
            <w:hyperlink w:anchor="page35">
              <w:r>
                <w:rPr>
                  <w:rFonts w:ascii="Arial" w:cs="Arial" w:eastAsia="Arial" w:hAnsi="Arial"/>
                  <w:sz w:val="17"/>
                  <w:szCs w:val="17"/>
                  <w:color w:val="0000EE"/>
                  <w:w w:val="94"/>
                </w:rPr>
                <w:t>SIGNATURE</w:t>
              </w:r>
            </w:hyperlink>
          </w:p>
        </w:tc>
        <w:tc>
          <w:tcPr>
            <w:tcW w:w="982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8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7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1"/>
              </w:rPr>
              <w:t>December 31, 2013</w:t>
            </w:r>
          </w:p>
        </w:tc>
        <w:tc>
          <w:tcPr>
            <w:tcW w:w="1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September 30, 2013</w:t>
            </w:r>
          </w:p>
        </w:tc>
      </w:tr>
      <w:tr>
        <w:trPr>
          <w:trHeight w:val="199"/>
        </w:trPr>
        <w:tc>
          <w:tcPr>
            <w:tcW w:w="7440" w:type="dxa"/>
            <w:vAlign w:val="bottom"/>
          </w:tcPr>
          <w:p>
            <w:pPr>
              <w:ind w:left="36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74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CURRENT ASSETS</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Pr>
          <w:p>
            <w:pPr>
              <w:ind w:left="500"/>
              <w:spacing w:after="0"/>
              <w:rPr>
                <w:sz w:val="20"/>
                <w:szCs w:val="20"/>
                <w:color w:val="auto"/>
              </w:rPr>
            </w:pPr>
            <w:r>
              <w:rPr>
                <w:rFonts w:ascii="Arial" w:cs="Arial" w:eastAsia="Arial" w:hAnsi="Arial"/>
                <w:sz w:val="16"/>
                <w:szCs w:val="16"/>
                <w:color w:val="auto"/>
              </w:rPr>
              <w:t>Cash and cash equivalents</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59,713,424</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19,114,444</w:t>
            </w:r>
          </w:p>
        </w:tc>
      </w:tr>
      <w:tr>
        <w:trPr>
          <w:trHeight w:val="203"/>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Trade receivable</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Pr>
          <w:p>
            <w:pPr>
              <w:ind w:left="500"/>
              <w:spacing w:after="0"/>
              <w:rPr>
                <w:sz w:val="20"/>
                <w:szCs w:val="20"/>
                <w:color w:val="auto"/>
              </w:rPr>
            </w:pPr>
            <w:r>
              <w:rPr>
                <w:rFonts w:ascii="Arial" w:cs="Arial" w:eastAsia="Arial" w:hAnsi="Arial"/>
                <w:sz w:val="16"/>
                <w:szCs w:val="16"/>
                <w:color w:val="auto"/>
              </w:rPr>
              <w:t>Other receivables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20,488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8,663</w:t>
            </w:r>
          </w:p>
        </w:tc>
        <w:tc>
          <w:tcPr>
            <w:tcW w:w="120" w:type="dxa"/>
            <w:vAlign w:val="bottom"/>
          </w:tcPr>
          <w:p>
            <w:pPr>
              <w:spacing w:after="0"/>
              <w:rPr>
                <w:sz w:val="17"/>
                <w:szCs w:val="17"/>
                <w:color w:val="auto"/>
              </w:rPr>
            </w:pPr>
          </w:p>
        </w:tc>
      </w:tr>
      <w:tr>
        <w:trPr>
          <w:trHeight w:val="203"/>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689,954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615,351</w:t>
            </w: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Short term investments</w:t>
            </w:r>
          </w:p>
        </w:tc>
        <w:tc>
          <w:tcPr>
            <w:tcW w:w="4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15,912,757</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9,030,261</w:t>
            </w:r>
          </w:p>
        </w:tc>
        <w:tc>
          <w:tcPr>
            <w:tcW w:w="120" w:type="dxa"/>
            <w:vAlign w:val="bottom"/>
            <w:tcBorders>
              <w:bottom w:val="single" w:sz="8" w:color="CFF0FC"/>
            </w:tcBorders>
          </w:tcPr>
          <w:p>
            <w:pPr>
              <w:spacing w:after="0"/>
              <w:rPr>
                <w:sz w:val="17"/>
                <w:szCs w:val="17"/>
                <w:color w:val="auto"/>
              </w:rPr>
            </w:pPr>
          </w:p>
        </w:tc>
      </w:tr>
      <w:tr>
        <w:trPr>
          <w:trHeight w:val="196"/>
        </w:trPr>
        <w:tc>
          <w:tcPr>
            <w:tcW w:w="74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CURRENT ASSETS</w:t>
            </w:r>
          </w:p>
        </w:tc>
        <w:tc>
          <w:tcPr>
            <w:tcW w:w="4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76,411,623</w:t>
            </w:r>
          </w:p>
        </w:tc>
        <w:tc>
          <w:tcPr>
            <w:tcW w:w="2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28,843,719</w:t>
            </w:r>
          </w:p>
        </w:tc>
        <w:tc>
          <w:tcPr>
            <w:tcW w:w="120" w:type="dxa"/>
            <w:vAlign w:val="bottom"/>
            <w:shd w:val="clear" w:color="auto" w:fill="CFF0FC"/>
          </w:tcPr>
          <w:p>
            <w:pPr>
              <w:spacing w:after="0"/>
              <w:rPr>
                <w:sz w:val="17"/>
                <w:szCs w:val="17"/>
                <w:color w:val="auto"/>
              </w:rPr>
            </w:pPr>
          </w:p>
        </w:tc>
      </w:tr>
      <w:tr>
        <w:trPr>
          <w:trHeight w:val="193"/>
        </w:trPr>
        <w:tc>
          <w:tcPr>
            <w:tcW w:w="7440" w:type="dxa"/>
            <w:vAlign w:val="bottom"/>
          </w:tcPr>
          <w:p>
            <w:pPr>
              <w:ind w:left="140"/>
              <w:spacing w:after="0"/>
              <w:rPr>
                <w:sz w:val="20"/>
                <w:szCs w:val="20"/>
                <w:color w:val="auto"/>
              </w:rPr>
            </w:pPr>
            <w:r>
              <w:rPr>
                <w:rFonts w:ascii="Arial" w:cs="Arial" w:eastAsia="Arial" w:hAnsi="Arial"/>
                <w:sz w:val="16"/>
                <w:szCs w:val="16"/>
                <w:color w:val="auto"/>
              </w:rPr>
              <w:t>PROPERTY AND EQUIPMENT</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Computers, office equipment and furniture</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323,376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323,376</w:t>
            </w: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Pr>
          <w:p>
            <w:pPr>
              <w:ind w:left="500"/>
              <w:spacing w:after="0"/>
              <w:rPr>
                <w:sz w:val="20"/>
                <w:szCs w:val="20"/>
                <w:color w:val="auto"/>
              </w:rPr>
            </w:pPr>
            <w:r>
              <w:rPr>
                <w:rFonts w:ascii="Arial" w:cs="Arial" w:eastAsia="Arial" w:hAnsi="Arial"/>
                <w:sz w:val="16"/>
                <w:szCs w:val="16"/>
                <w:color w:val="auto"/>
              </w:rPr>
              <w:t>Research equipment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3,319,429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3,452,013</w:t>
            </w:r>
          </w:p>
        </w:tc>
        <w:tc>
          <w:tcPr>
            <w:tcW w:w="120" w:type="dxa"/>
            <w:vAlign w:val="bottom"/>
          </w:tcPr>
          <w:p>
            <w:pPr>
              <w:spacing w:after="0"/>
              <w:rPr>
                <w:sz w:val="17"/>
                <w:szCs w:val="17"/>
                <w:color w:val="auto"/>
              </w:rPr>
            </w:pPr>
          </w:p>
        </w:tc>
      </w:tr>
      <w:tr>
        <w:trPr>
          <w:trHeight w:val="203"/>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Software</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69,623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69,623</w:t>
            </w: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Leasehold improvements</w:t>
            </w:r>
          </w:p>
        </w:tc>
        <w:tc>
          <w:tcPr>
            <w:tcW w:w="4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2,749,409</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2,749,409</w:t>
            </w:r>
          </w:p>
        </w:tc>
        <w:tc>
          <w:tcPr>
            <w:tcW w:w="120" w:type="dxa"/>
            <w:vAlign w:val="bottom"/>
            <w:tcBorders>
              <w:bottom w:val="single" w:sz="8" w:color="CFF0FC"/>
            </w:tcBorders>
          </w:tcPr>
          <w:p>
            <w:pPr>
              <w:spacing w:after="0"/>
              <w:rPr>
                <w:sz w:val="17"/>
                <w:szCs w:val="17"/>
                <w:color w:val="auto"/>
              </w:rPr>
            </w:pPr>
          </w:p>
        </w:tc>
      </w:tr>
      <w:tr>
        <w:trPr>
          <w:trHeight w:val="196"/>
        </w:trPr>
        <w:tc>
          <w:tcPr>
            <w:tcW w:w="74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6,461,837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6,594,421</w:t>
            </w: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Pr>
          <w:p>
            <w:pPr>
              <w:ind w:left="140"/>
              <w:spacing w:after="0"/>
              <w:rPr>
                <w:sz w:val="20"/>
                <w:szCs w:val="20"/>
                <w:color w:val="auto"/>
              </w:rPr>
            </w:pPr>
            <w:r>
              <w:rPr>
                <w:rFonts w:ascii="Arial" w:cs="Arial" w:eastAsia="Arial" w:hAnsi="Arial"/>
                <w:sz w:val="16"/>
                <w:szCs w:val="16"/>
                <w:color w:val="auto"/>
              </w:rPr>
              <w:t>Less:  Accumulated depreciation and amortization</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(3,275,690)</w:t>
            </w:r>
          </w:p>
        </w:tc>
        <w:tc>
          <w:tcPr>
            <w:tcW w:w="100" w:type="dxa"/>
            <w:vAlign w:val="bottom"/>
          </w:tcPr>
          <w:p>
            <w:pPr>
              <w:spacing w:after="0"/>
              <w:rPr>
                <w:sz w:val="17"/>
                <w:szCs w:val="17"/>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6"/>
                <w:szCs w:val="16"/>
                <w:color w:val="auto"/>
              </w:rPr>
              <w:t>(3,081,186)</w:t>
            </w:r>
          </w:p>
        </w:tc>
      </w:tr>
      <w:tr>
        <w:trPr>
          <w:trHeight w:val="196"/>
        </w:trPr>
        <w:tc>
          <w:tcPr>
            <w:tcW w:w="74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PROPERTY AND EQUIPMENT, NET</w:t>
            </w:r>
          </w:p>
        </w:tc>
        <w:tc>
          <w:tcPr>
            <w:tcW w:w="4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3,186,147</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3,513,235</w:t>
            </w:r>
          </w:p>
        </w:tc>
        <w:tc>
          <w:tcPr>
            <w:tcW w:w="120" w:type="dxa"/>
            <w:vAlign w:val="bottom"/>
            <w:tcBorders>
              <w:top w:val="single" w:sz="8" w:color="CFF0FC"/>
            </w:tcBorders>
            <w:shd w:val="clear" w:color="auto" w:fill="CFF0FC"/>
          </w:tcPr>
          <w:p>
            <w:pPr>
              <w:spacing w:after="0"/>
              <w:rPr>
                <w:sz w:val="17"/>
                <w:szCs w:val="17"/>
                <w:color w:val="auto"/>
              </w:rPr>
            </w:pPr>
          </w:p>
        </w:tc>
      </w:tr>
      <w:tr>
        <w:trPr>
          <w:trHeight w:val="193"/>
        </w:trPr>
        <w:tc>
          <w:tcPr>
            <w:tcW w:w="744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Patents and other intangible assets, net</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3,226,850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3,240,513</w:t>
            </w: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9,867,857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1,732,164</w:t>
            </w:r>
          </w:p>
        </w:tc>
        <w:tc>
          <w:tcPr>
            <w:tcW w:w="120" w:type="dxa"/>
            <w:vAlign w:val="bottom"/>
          </w:tcPr>
          <w:p>
            <w:pPr>
              <w:spacing w:after="0"/>
              <w:rPr>
                <w:sz w:val="17"/>
                <w:szCs w:val="17"/>
                <w:color w:val="auto"/>
              </w:rPr>
            </w:pPr>
          </w:p>
        </w:tc>
      </w:tr>
      <w:tr>
        <w:trPr>
          <w:trHeight w:val="203"/>
        </w:trPr>
        <w:tc>
          <w:tcPr>
            <w:tcW w:w="74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OTHER ASSETS</w:t>
            </w:r>
          </w:p>
        </w:tc>
        <w:tc>
          <w:tcPr>
            <w:tcW w:w="4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13,094,707</w:t>
            </w:r>
          </w:p>
        </w:tc>
        <w:tc>
          <w:tcPr>
            <w:tcW w:w="2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4,972,677</w:t>
            </w:r>
          </w:p>
        </w:tc>
        <w:tc>
          <w:tcPr>
            <w:tcW w:w="120" w:type="dxa"/>
            <w:vAlign w:val="bottom"/>
            <w:shd w:val="clear" w:color="auto" w:fill="CFF0FC"/>
          </w:tcPr>
          <w:p>
            <w:pPr>
              <w:spacing w:after="0"/>
              <w:rPr>
                <w:sz w:val="17"/>
                <w:szCs w:val="17"/>
                <w:color w:val="auto"/>
              </w:rPr>
            </w:pPr>
          </w:p>
        </w:tc>
      </w:tr>
      <w:tr>
        <w:trPr>
          <w:trHeight w:val="236"/>
        </w:trPr>
        <w:tc>
          <w:tcPr>
            <w:tcW w:w="7440" w:type="dxa"/>
            <w:vAlign w:val="bottom"/>
            <w:tcBorders>
              <w:bottom w:val="single" w:sz="8" w:color="CFF0FC"/>
            </w:tcBorders>
          </w:tcPr>
          <w:p>
            <w:pPr>
              <w:ind w:left="1120"/>
              <w:spacing w:after="0"/>
              <w:rPr>
                <w:sz w:val="20"/>
                <w:szCs w:val="20"/>
                <w:color w:val="auto"/>
              </w:rPr>
            </w:pPr>
            <w:r>
              <w:rPr>
                <w:rFonts w:ascii="Arial" w:cs="Arial" w:eastAsia="Arial" w:hAnsi="Arial"/>
                <w:sz w:val="16"/>
                <w:szCs w:val="16"/>
                <w:b w:val="1"/>
                <w:bCs w:val="1"/>
                <w:color w:val="auto"/>
              </w:rPr>
              <w:t>TOTAL ASSETS</w:t>
            </w:r>
          </w:p>
        </w:tc>
        <w:tc>
          <w:tcPr>
            <w:tcW w:w="4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92,692,477</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37,329,631</w:t>
            </w:r>
          </w:p>
        </w:tc>
        <w:tc>
          <w:tcPr>
            <w:tcW w:w="120" w:type="dxa"/>
            <w:vAlign w:val="bottom"/>
            <w:tcBorders>
              <w:bottom w:val="single" w:sz="8" w:color="CFF0FC"/>
            </w:tcBorders>
          </w:tcPr>
          <w:p>
            <w:pPr>
              <w:spacing w:after="0"/>
              <w:rPr>
                <w:sz w:val="20"/>
                <w:szCs w:val="20"/>
                <w:color w:val="auto"/>
              </w:rPr>
            </w:pPr>
          </w:p>
        </w:tc>
      </w:tr>
      <w:tr>
        <w:trPr>
          <w:trHeight w:val="183"/>
        </w:trPr>
        <w:tc>
          <w:tcPr>
            <w:tcW w:w="7440" w:type="dxa"/>
            <w:vAlign w:val="bottom"/>
            <w:shd w:val="clear" w:color="auto" w:fill="CFF0FC"/>
          </w:tcPr>
          <w:p>
            <w:pPr>
              <w:ind w:left="216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44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589,348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1,199,632</w:t>
            </w: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Pr>
          <w:p>
            <w:pPr>
              <w:ind w:left="500"/>
              <w:spacing w:after="0"/>
              <w:rPr>
                <w:sz w:val="20"/>
                <w:szCs w:val="20"/>
                <w:color w:val="auto"/>
              </w:rPr>
            </w:pPr>
            <w:r>
              <w:rPr>
                <w:rFonts w:ascii="Arial" w:cs="Arial" w:eastAsia="Arial" w:hAnsi="Arial"/>
                <w:sz w:val="16"/>
                <w:szCs w:val="16"/>
                <w:color w:val="auto"/>
              </w:rPr>
              <w:t>Accrued expenses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684,520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638,884</w:t>
            </w:r>
          </w:p>
        </w:tc>
        <w:tc>
          <w:tcPr>
            <w:tcW w:w="120" w:type="dxa"/>
            <w:vAlign w:val="bottom"/>
          </w:tcPr>
          <w:p>
            <w:pPr>
              <w:spacing w:after="0"/>
              <w:rPr>
                <w:sz w:val="17"/>
                <w:szCs w:val="17"/>
                <w:color w:val="auto"/>
              </w:rPr>
            </w:pPr>
          </w:p>
        </w:tc>
      </w:tr>
      <w:tr>
        <w:trPr>
          <w:trHeight w:val="203"/>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payroll and benefits</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678,035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905,771</w:t>
            </w: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109,375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103,125</w:t>
            </w:r>
          </w:p>
        </w:tc>
        <w:tc>
          <w:tcPr>
            <w:tcW w:w="120" w:type="dxa"/>
            <w:vAlign w:val="bottom"/>
          </w:tcPr>
          <w:p>
            <w:pPr>
              <w:spacing w:after="0"/>
              <w:rPr>
                <w:sz w:val="17"/>
                <w:szCs w:val="17"/>
                <w:color w:val="auto"/>
              </w:rPr>
            </w:pPr>
          </w:p>
        </w:tc>
      </w:tr>
      <w:tr>
        <w:trPr>
          <w:trHeight w:val="203"/>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Derivative liabilities</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5,097,442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4,096,363</w:t>
            </w: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Pr>
          <w:p>
            <w:pPr>
              <w:ind w:left="500"/>
              <w:spacing w:after="0"/>
              <w:rPr>
                <w:sz w:val="20"/>
                <w:szCs w:val="20"/>
                <w:color w:val="auto"/>
              </w:rPr>
            </w:pPr>
            <w:r>
              <w:rPr>
                <w:rFonts w:ascii="Arial" w:cs="Arial" w:eastAsia="Arial" w:hAnsi="Arial"/>
                <w:sz w:val="16"/>
                <w:szCs w:val="16"/>
                <w:color w:val="auto"/>
              </w:rPr>
              <w:t>Capital lease obligation</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221,345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221,345</w:t>
            </w:r>
          </w:p>
        </w:tc>
        <w:tc>
          <w:tcPr>
            <w:tcW w:w="120" w:type="dxa"/>
            <w:vAlign w:val="bottom"/>
          </w:tcPr>
          <w:p>
            <w:pPr>
              <w:spacing w:after="0"/>
              <w:rPr>
                <w:sz w:val="17"/>
                <w:szCs w:val="17"/>
                <w:color w:val="auto"/>
              </w:rPr>
            </w:pPr>
          </w:p>
        </w:tc>
      </w:tr>
      <w:tr>
        <w:trPr>
          <w:trHeight w:val="203"/>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Notes payable</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1,050,000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971,557</w:t>
            </w: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 current liabilities</w:t>
            </w:r>
          </w:p>
        </w:tc>
        <w:tc>
          <w:tcPr>
            <w:tcW w:w="4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588,343</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588,343</w:t>
            </w:r>
          </w:p>
        </w:tc>
        <w:tc>
          <w:tcPr>
            <w:tcW w:w="120" w:type="dxa"/>
            <w:vAlign w:val="bottom"/>
            <w:tcBorders>
              <w:bottom w:val="single" w:sz="8" w:color="CFF0FC"/>
            </w:tcBorders>
          </w:tcPr>
          <w:p>
            <w:pPr>
              <w:spacing w:after="0"/>
              <w:rPr>
                <w:sz w:val="17"/>
                <w:szCs w:val="17"/>
                <w:color w:val="auto"/>
              </w:rPr>
            </w:pPr>
          </w:p>
        </w:tc>
      </w:tr>
      <w:tr>
        <w:trPr>
          <w:trHeight w:val="196"/>
        </w:trPr>
        <w:tc>
          <w:tcPr>
            <w:tcW w:w="74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CURRENT LIABILITIES</w:t>
            </w:r>
          </w:p>
        </w:tc>
        <w:tc>
          <w:tcPr>
            <w:tcW w:w="4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9,018,408</w:t>
            </w:r>
          </w:p>
        </w:tc>
        <w:tc>
          <w:tcPr>
            <w:tcW w:w="2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8,725,020</w:t>
            </w:r>
          </w:p>
        </w:tc>
        <w:tc>
          <w:tcPr>
            <w:tcW w:w="120" w:type="dxa"/>
            <w:vAlign w:val="bottom"/>
            <w:shd w:val="clear" w:color="auto" w:fill="CFF0FC"/>
          </w:tcPr>
          <w:p>
            <w:pPr>
              <w:spacing w:after="0"/>
              <w:rPr>
                <w:sz w:val="17"/>
                <w:szCs w:val="17"/>
                <w:color w:val="auto"/>
              </w:rPr>
            </w:pPr>
          </w:p>
        </w:tc>
      </w:tr>
      <w:tr>
        <w:trPr>
          <w:trHeight w:val="193"/>
        </w:trPr>
        <w:tc>
          <w:tcPr>
            <w:tcW w:w="7440" w:type="dxa"/>
            <w:vAlign w:val="bottom"/>
          </w:tcPr>
          <w:p>
            <w:pPr>
              <w:ind w:left="140"/>
              <w:spacing w:after="0"/>
              <w:rPr>
                <w:sz w:val="20"/>
                <w:szCs w:val="20"/>
                <w:color w:val="auto"/>
              </w:rPr>
            </w:pPr>
            <w:r>
              <w:rPr>
                <w:rFonts w:ascii="Arial" w:cs="Arial" w:eastAsia="Arial" w:hAnsi="Arial"/>
                <w:sz w:val="16"/>
                <w:szCs w:val="16"/>
                <w:color w:val="auto"/>
              </w:rPr>
              <w:t>LONG-TERM LIABILITIES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Notes payable, net of current portion</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Pr>
          <w:p>
            <w:pPr>
              <w:ind w:left="500"/>
              <w:spacing w:after="0"/>
              <w:rPr>
                <w:sz w:val="20"/>
                <w:szCs w:val="20"/>
                <w:color w:val="auto"/>
              </w:rPr>
            </w:pPr>
            <w:r>
              <w:rPr>
                <w:rFonts w:ascii="Arial" w:cs="Arial" w:eastAsia="Arial" w:hAnsi="Arial"/>
                <w:sz w:val="16"/>
                <w:szCs w:val="16"/>
                <w:color w:val="auto"/>
              </w:rPr>
              <w:t>Capital lease obligation, net of current portion</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1,006,398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1,061,113</w:t>
            </w:r>
          </w:p>
        </w:tc>
      </w:tr>
      <w:tr>
        <w:trPr>
          <w:trHeight w:val="203"/>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non-current liabilities</w:t>
            </w:r>
          </w:p>
        </w:tc>
        <w:tc>
          <w:tcPr>
            <w:tcW w:w="4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1,757,384</w:t>
            </w:r>
          </w:p>
        </w:tc>
        <w:tc>
          <w:tcPr>
            <w:tcW w:w="2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1,758,709</w:t>
            </w:r>
          </w:p>
        </w:tc>
        <w:tc>
          <w:tcPr>
            <w:tcW w:w="120" w:type="dxa"/>
            <w:vAlign w:val="bottom"/>
            <w:shd w:val="clear" w:color="auto" w:fill="CFF0FC"/>
          </w:tcPr>
          <w:p>
            <w:pPr>
              <w:spacing w:after="0"/>
              <w:rPr>
                <w:sz w:val="17"/>
                <w:szCs w:val="17"/>
                <w:color w:val="auto"/>
              </w:rPr>
            </w:pPr>
          </w:p>
        </w:tc>
      </w:tr>
      <w:tr>
        <w:trPr>
          <w:trHeight w:val="196"/>
        </w:trPr>
        <w:tc>
          <w:tcPr>
            <w:tcW w:w="744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LONG-TERM LIABILITIES</w:t>
            </w:r>
          </w:p>
        </w:tc>
        <w:tc>
          <w:tcPr>
            <w:tcW w:w="4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2,763,782</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2,869,822</w:t>
            </w:r>
          </w:p>
        </w:tc>
        <w:tc>
          <w:tcPr>
            <w:tcW w:w="120" w:type="dxa"/>
            <w:vAlign w:val="bottom"/>
            <w:tcBorders>
              <w:bottom w:val="single" w:sz="8" w:color="CFF0FC"/>
            </w:tcBorders>
          </w:tcPr>
          <w:p>
            <w:pPr>
              <w:spacing w:after="0"/>
              <w:rPr>
                <w:sz w:val="17"/>
                <w:szCs w:val="17"/>
                <w:color w:val="auto"/>
              </w:rPr>
            </w:pPr>
          </w:p>
        </w:tc>
      </w:tr>
      <w:tr>
        <w:trPr>
          <w:trHeight w:val="196"/>
        </w:trPr>
        <w:tc>
          <w:tcPr>
            <w:tcW w:w="74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Commitments and contingencies</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Pr>
          <w:p>
            <w:pPr>
              <w:ind w:left="140"/>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Arrowhead Research Corporation stockholders' equity:</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Pr>
          <w:p>
            <w:pPr>
              <w:ind w:left="500"/>
              <w:spacing w:after="0"/>
              <w:rPr>
                <w:sz w:val="20"/>
                <w:szCs w:val="20"/>
                <w:color w:val="auto"/>
              </w:rPr>
            </w:pPr>
            <w:r>
              <w:rPr>
                <w:rFonts w:ascii="Arial" w:cs="Arial" w:eastAsia="Arial" w:hAnsi="Arial"/>
                <w:sz w:val="16"/>
                <w:szCs w:val="16"/>
                <w:color w:val="auto"/>
              </w:rPr>
              <w:t>Preferred stock, $0.001 par value; 5,000,000 shares authorized; 51,291 and 9,900 shares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issued and outstanding as of December 31, 2013 and September 30, 2013, respectively</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Pr>
          <w:p>
            <w:pPr>
              <w:ind w:left="500"/>
              <w:spacing w:after="0"/>
              <w:rPr>
                <w:sz w:val="20"/>
                <w:szCs w:val="20"/>
                <w:color w:val="auto"/>
              </w:rPr>
            </w:pPr>
            <w:r>
              <w:rPr>
                <w:rFonts w:ascii="Arial" w:cs="Arial" w:eastAsia="Arial" w:hAnsi="Arial"/>
                <w:sz w:val="16"/>
                <w:szCs w:val="16"/>
                <w:color w:val="auto"/>
                <w:w w:val="95"/>
              </w:rPr>
              <w:t>Common stock, $0.001 par value; 145,000,000 shares authorized; 39,002,152 and 32,489,444 shares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issued and outstanding as of December 31, 2013 and September 30, 2013, respectively</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131,372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124,859</w:t>
            </w:r>
          </w:p>
        </w:tc>
        <w:tc>
          <w:tcPr>
            <w:tcW w:w="120" w:type="dxa"/>
            <w:vAlign w:val="bottom"/>
            <w:shd w:val="clear" w:color="auto" w:fill="CFF0FC"/>
          </w:tcPr>
          <w:p>
            <w:pPr>
              <w:spacing w:after="0"/>
              <w:rPr>
                <w:sz w:val="17"/>
                <w:szCs w:val="17"/>
                <w:color w:val="auto"/>
              </w:rPr>
            </w:pPr>
          </w:p>
        </w:tc>
      </w:tr>
      <w:tr>
        <w:trPr>
          <w:trHeight w:val="203"/>
        </w:trPr>
        <w:tc>
          <w:tcPr>
            <w:tcW w:w="744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259,369,442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193,514,766</w:t>
            </w:r>
          </w:p>
        </w:tc>
        <w:tc>
          <w:tcPr>
            <w:tcW w:w="120" w:type="dxa"/>
            <w:vAlign w:val="bottom"/>
          </w:tcPr>
          <w:p>
            <w:pPr>
              <w:spacing w:after="0"/>
              <w:rPr>
                <w:sz w:val="17"/>
                <w:szCs w:val="17"/>
                <w:color w:val="auto"/>
              </w:rPr>
            </w:pPr>
          </w:p>
        </w:tc>
      </w:tr>
      <w:tr>
        <w:trPr>
          <w:trHeight w:val="203"/>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Accumulated deficit during the development stage</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(176,769,281)</w:t>
            </w: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(166,140,969)</w:t>
            </w:r>
          </w:p>
        </w:tc>
      </w:tr>
      <w:tr>
        <w:trPr>
          <w:trHeight w:val="196"/>
        </w:trPr>
        <w:tc>
          <w:tcPr>
            <w:tcW w:w="7440" w:type="dxa"/>
            <w:vAlign w:val="bottom"/>
          </w:tcPr>
          <w:p>
            <w:pPr>
              <w:ind w:left="620"/>
              <w:spacing w:after="0"/>
              <w:rPr>
                <w:sz w:val="20"/>
                <w:szCs w:val="20"/>
                <w:color w:val="auto"/>
              </w:rPr>
            </w:pPr>
            <w:r>
              <w:rPr>
                <w:rFonts w:ascii="Arial" w:cs="Arial" w:eastAsia="Arial" w:hAnsi="Arial"/>
                <w:sz w:val="16"/>
                <w:szCs w:val="16"/>
                <w:color w:val="auto"/>
              </w:rPr>
              <w:t>Total Arrowhead Research Corporation stockholders' equity</w:t>
            </w: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82,731,584</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27,498,666</w:t>
            </w:r>
          </w:p>
        </w:tc>
        <w:tc>
          <w:tcPr>
            <w:tcW w:w="120" w:type="dxa"/>
            <w:vAlign w:val="bottom"/>
          </w:tcPr>
          <w:p>
            <w:pPr>
              <w:spacing w:after="0"/>
              <w:rPr>
                <w:sz w:val="17"/>
                <w:szCs w:val="17"/>
                <w:color w:val="auto"/>
              </w:rPr>
            </w:pPr>
          </w:p>
        </w:tc>
      </w:tr>
      <w:tr>
        <w:trPr>
          <w:trHeight w:val="203"/>
        </w:trPr>
        <w:tc>
          <w:tcPr>
            <w:tcW w:w="7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Noncontrolling interest</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(1,821,297)</w:t>
            </w: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(1,763,877)</w:t>
            </w:r>
          </w:p>
        </w:tc>
      </w:tr>
      <w:tr>
        <w:trPr>
          <w:trHeight w:val="196"/>
        </w:trPr>
        <w:tc>
          <w:tcPr>
            <w:tcW w:w="744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80,910,287</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25,734,789</w:t>
            </w:r>
          </w:p>
        </w:tc>
        <w:tc>
          <w:tcPr>
            <w:tcW w:w="120" w:type="dxa"/>
            <w:vAlign w:val="bottom"/>
            <w:tcBorders>
              <w:bottom w:val="single" w:sz="8" w:color="CFF0FC"/>
            </w:tcBorders>
          </w:tcPr>
          <w:p>
            <w:pPr>
              <w:spacing w:after="0"/>
              <w:rPr>
                <w:sz w:val="17"/>
                <w:szCs w:val="17"/>
                <w:color w:val="auto"/>
              </w:rPr>
            </w:pPr>
          </w:p>
        </w:tc>
      </w:tr>
      <w:tr>
        <w:trPr>
          <w:trHeight w:val="196"/>
        </w:trPr>
        <w:tc>
          <w:tcPr>
            <w:tcW w:w="7440" w:type="dxa"/>
            <w:vAlign w:val="bottom"/>
            <w:tcBorders>
              <w:bottom w:val="single" w:sz="8" w:color="CFF0FC"/>
            </w:tcBorders>
            <w:shd w:val="clear" w:color="auto" w:fill="CFF0FC"/>
          </w:tcPr>
          <w:p>
            <w:pPr>
              <w:ind w:left="1120"/>
              <w:spacing w:after="0"/>
              <w:rPr>
                <w:sz w:val="20"/>
                <w:szCs w:val="20"/>
                <w:color w:val="auto"/>
              </w:rPr>
            </w:pPr>
            <w:r>
              <w:rPr>
                <w:rFonts w:ascii="Arial" w:cs="Arial" w:eastAsia="Arial" w:hAnsi="Arial"/>
                <w:sz w:val="16"/>
                <w:szCs w:val="16"/>
                <w:b w:val="1"/>
                <w:bCs w:val="1"/>
                <w:color w:val="auto"/>
              </w:rPr>
              <w:t>TOTAL LIABILITIES AND STOCKHOLDERS’ EQUITY</w:t>
            </w:r>
          </w:p>
        </w:tc>
        <w:tc>
          <w:tcPr>
            <w:tcW w:w="4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92,692,477</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37,329,631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May 7, 2003</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Pr>
          <w:p>
            <w:pPr>
              <w:spacing w:after="0"/>
              <w:rPr>
                <w:sz w:val="14"/>
                <w:szCs w:val="14"/>
                <w:color w:val="auto"/>
              </w:rPr>
            </w:pPr>
          </w:p>
        </w:tc>
        <w:tc>
          <w:tcPr>
            <w:tcW w:w="14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December 31, 2012</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142"/>
        </w:trPr>
        <w:tc>
          <w:tcPr>
            <w:tcW w:w="5760" w:type="dxa"/>
            <w:vAlign w:val="bottom"/>
            <w:tcBorders>
              <w:top w:val="single" w:sz="8" w:color="CFF0FC"/>
            </w:tcBorders>
            <w:shd w:val="clear" w:color="auto" w:fill="CFF0FC"/>
          </w:tcPr>
          <w:p>
            <w:pPr>
              <w:ind w:left="140"/>
              <w:spacing w:after="0" w:line="142" w:lineRule="exact"/>
              <w:rPr>
                <w:sz w:val="20"/>
                <w:szCs w:val="20"/>
                <w:color w:val="auto"/>
              </w:rPr>
            </w:pPr>
            <w:r>
              <w:rPr>
                <w:rFonts w:ascii="Arial" w:cs="Arial" w:eastAsia="Arial" w:hAnsi="Arial"/>
                <w:sz w:val="14"/>
                <w:szCs w:val="14"/>
                <w:b w:val="1"/>
                <w:bCs w:val="1"/>
                <w:color w:val="auto"/>
              </w:rPr>
              <w:t>REVENUE</w:t>
            </w:r>
          </w:p>
        </w:tc>
        <w:tc>
          <w:tcPr>
            <w:tcW w:w="13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43,750</w:t>
            </w:r>
          </w:p>
        </w:tc>
        <w:tc>
          <w:tcPr>
            <w:tcW w:w="1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gridSpan w:val="2"/>
            <w:shd w:val="clear" w:color="auto" w:fill="CFF0FC"/>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159,016</w:t>
            </w:r>
          </w:p>
        </w:tc>
        <w:tc>
          <w:tcPr>
            <w:tcW w:w="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4,472,850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140"/>
              <w:spacing w:after="0"/>
              <w:rPr>
                <w:sz w:val="20"/>
                <w:szCs w:val="20"/>
                <w:color w:val="auto"/>
              </w:rPr>
            </w:pPr>
            <w:r>
              <w:rPr>
                <w:rFonts w:ascii="Arial" w:cs="Arial" w:eastAsia="Arial" w:hAnsi="Arial"/>
                <w:sz w:val="14"/>
                <w:szCs w:val="14"/>
                <w:b w:val="1"/>
                <w:bCs w:val="1"/>
                <w:color w:val="auto"/>
              </w:rPr>
              <w:t>OPERATING EXPENSES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500"/>
              <w:spacing w:after="0" w:line="149" w:lineRule="exact"/>
              <w:rPr>
                <w:sz w:val="20"/>
                <w:szCs w:val="20"/>
                <w:color w:val="auto"/>
              </w:rPr>
            </w:pPr>
            <w:r>
              <w:rPr>
                <w:rFonts w:ascii="Arial" w:cs="Arial" w:eastAsia="Arial" w:hAnsi="Arial"/>
                <w:sz w:val="14"/>
                <w:szCs w:val="14"/>
                <w:color w:val="auto"/>
              </w:rPr>
              <w:t>Salaries and payroll-related costs</w:t>
            </w: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2,081,791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1,629,423</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35,141,590</w:t>
            </w:r>
          </w:p>
        </w:tc>
        <w:tc>
          <w:tcPr>
            <w:tcW w:w="0" w:type="dxa"/>
            <w:vAlign w:val="bottom"/>
          </w:tcPr>
          <w:p>
            <w:pPr>
              <w:spacing w:after="0"/>
              <w:rPr>
                <w:sz w:val="1"/>
                <w:szCs w:val="1"/>
                <w:color w:val="auto"/>
              </w:rPr>
            </w:pPr>
          </w:p>
        </w:tc>
      </w:tr>
      <w:tr>
        <w:trPr>
          <w:trHeight w:val="149"/>
        </w:trPr>
        <w:tc>
          <w:tcPr>
            <w:tcW w:w="5760" w:type="dxa"/>
            <w:vAlign w:val="bottom"/>
          </w:tcPr>
          <w:p>
            <w:pPr>
              <w:ind w:left="500"/>
              <w:spacing w:after="0" w:line="149" w:lineRule="exact"/>
              <w:rPr>
                <w:sz w:val="20"/>
                <w:szCs w:val="20"/>
                <w:color w:val="auto"/>
              </w:rPr>
            </w:pPr>
            <w:r>
              <w:rPr>
                <w:rFonts w:ascii="Arial" w:cs="Arial" w:eastAsia="Arial" w:hAnsi="Arial"/>
                <w:sz w:val="14"/>
                <w:szCs w:val="14"/>
                <w:color w:val="auto"/>
              </w:rPr>
              <w:t>General and administrative expenses</w:t>
            </w: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913,784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917,676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35,755,863</w:t>
            </w: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500"/>
              <w:spacing w:after="0" w:line="149" w:lineRule="exact"/>
              <w:rPr>
                <w:sz w:val="20"/>
                <w:szCs w:val="20"/>
                <w:color w:val="auto"/>
              </w:rPr>
            </w:pPr>
            <w:r>
              <w:rPr>
                <w:rFonts w:ascii="Arial" w:cs="Arial" w:eastAsia="Arial" w:hAnsi="Arial"/>
                <w:sz w:val="14"/>
                <w:szCs w:val="14"/>
                <w:color w:val="auto"/>
              </w:rPr>
              <w:t>Research and development</w:t>
            </w: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3,133,014</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1,576,666</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54,457,389</w:t>
            </w:r>
          </w:p>
        </w:tc>
        <w:tc>
          <w:tcPr>
            <w:tcW w:w="0" w:type="dxa"/>
            <w:vAlign w:val="bottom"/>
          </w:tcPr>
          <w:p>
            <w:pPr>
              <w:spacing w:after="0"/>
              <w:rPr>
                <w:sz w:val="1"/>
                <w:szCs w:val="1"/>
                <w:color w:val="auto"/>
              </w:rPr>
            </w:pPr>
          </w:p>
        </w:tc>
      </w:tr>
      <w:tr>
        <w:trPr>
          <w:trHeight w:val="149"/>
        </w:trPr>
        <w:tc>
          <w:tcPr>
            <w:tcW w:w="5760" w:type="dxa"/>
            <w:vAlign w:val="bottom"/>
          </w:tcPr>
          <w:p>
            <w:pPr>
              <w:ind w:left="500"/>
              <w:spacing w:after="0" w:line="149" w:lineRule="exact"/>
              <w:rPr>
                <w:sz w:val="20"/>
                <w:szCs w:val="20"/>
                <w:color w:val="auto"/>
              </w:rPr>
            </w:pPr>
            <w:r>
              <w:rPr>
                <w:rFonts w:ascii="Arial" w:cs="Arial" w:eastAsia="Arial" w:hAnsi="Arial"/>
                <w:sz w:val="14"/>
                <w:szCs w:val="14"/>
                <w:color w:val="auto"/>
              </w:rPr>
              <w:t>Stock-based compensation</w:t>
            </w: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521,138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395,675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15,638,877</w:t>
            </w: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500"/>
              <w:spacing w:after="0" w:line="149" w:lineRule="exact"/>
              <w:rPr>
                <w:sz w:val="20"/>
                <w:szCs w:val="20"/>
                <w:color w:val="auto"/>
              </w:rPr>
            </w:pPr>
            <w:r>
              <w:rPr>
                <w:rFonts w:ascii="Arial" w:cs="Arial" w:eastAsia="Arial" w:hAnsi="Arial"/>
                <w:sz w:val="14"/>
                <w:szCs w:val="14"/>
                <w:color w:val="auto"/>
              </w:rPr>
              <w:t>Depreciation and amortization</w:t>
            </w: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403,405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0"/>
              <w:spacing w:after="0" w:line="149" w:lineRule="exact"/>
              <w:rPr>
                <w:sz w:val="20"/>
                <w:szCs w:val="20"/>
                <w:color w:val="auto"/>
              </w:rPr>
            </w:pPr>
            <w:r>
              <w:rPr>
                <w:rFonts w:ascii="Arial" w:cs="Arial" w:eastAsia="Arial" w:hAnsi="Arial"/>
                <w:sz w:val="14"/>
                <w:szCs w:val="14"/>
                <w:color w:val="auto"/>
              </w:rPr>
              <w:t>449,597</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9,564,103</w:t>
            </w:r>
          </w:p>
        </w:tc>
        <w:tc>
          <w:tcPr>
            <w:tcW w:w="0" w:type="dxa"/>
            <w:vAlign w:val="bottom"/>
          </w:tcPr>
          <w:p>
            <w:pPr>
              <w:spacing w:after="0"/>
              <w:rPr>
                <w:sz w:val="1"/>
                <w:szCs w:val="1"/>
                <w:color w:val="auto"/>
              </w:rPr>
            </w:pPr>
          </w:p>
        </w:tc>
      </w:tr>
      <w:tr>
        <w:trPr>
          <w:trHeight w:val="149"/>
        </w:trPr>
        <w:tc>
          <w:tcPr>
            <w:tcW w:w="5760" w:type="dxa"/>
            <w:vAlign w:val="bottom"/>
          </w:tcPr>
          <w:p>
            <w:pPr>
              <w:ind w:left="500"/>
              <w:spacing w:after="0" w:line="149" w:lineRule="exact"/>
              <w:rPr>
                <w:sz w:val="20"/>
                <w:szCs w:val="20"/>
                <w:color w:val="auto"/>
              </w:rPr>
            </w:pPr>
            <w:r>
              <w:rPr>
                <w:rFonts w:ascii="Arial" w:cs="Arial" w:eastAsia="Arial" w:hAnsi="Arial"/>
                <w:sz w:val="14"/>
                <w:szCs w:val="14"/>
                <w:color w:val="auto"/>
              </w:rPr>
              <w:t>Impairment expense</w:t>
            </w: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1,308,047</w:t>
            </w: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500"/>
              <w:spacing w:after="0" w:line="149" w:lineRule="exact"/>
              <w:rPr>
                <w:sz w:val="20"/>
                <w:szCs w:val="20"/>
                <w:color w:val="auto"/>
              </w:rPr>
            </w:pPr>
            <w:r>
              <w:rPr>
                <w:rFonts w:ascii="Arial" w:cs="Arial" w:eastAsia="Arial" w:hAnsi="Arial"/>
                <w:sz w:val="14"/>
                <w:szCs w:val="14"/>
                <w:color w:val="auto"/>
              </w:rPr>
              <w:t>Contingent consideration - fair value adjustments</w:t>
            </w: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1,421,652</w:t>
            </w:r>
          </w:p>
        </w:tc>
        <w:tc>
          <w:tcPr>
            <w:tcW w:w="0" w:type="dxa"/>
            <w:vAlign w:val="bottom"/>
          </w:tcPr>
          <w:p>
            <w:pPr>
              <w:spacing w:after="0"/>
              <w:rPr>
                <w:sz w:val="1"/>
                <w:szCs w:val="1"/>
                <w:color w:val="auto"/>
              </w:rPr>
            </w:pPr>
          </w:p>
        </w:tc>
      </w:tr>
      <w:tr>
        <w:trPr>
          <w:trHeight w:val="142"/>
        </w:trPr>
        <w:tc>
          <w:tcPr>
            <w:tcW w:w="5760" w:type="dxa"/>
            <w:vAlign w:val="bottom"/>
          </w:tcPr>
          <w:p>
            <w:pPr>
              <w:ind w:left="620"/>
              <w:spacing w:after="0" w:line="142" w:lineRule="exact"/>
              <w:rPr>
                <w:sz w:val="20"/>
                <w:szCs w:val="20"/>
                <w:color w:val="auto"/>
              </w:rPr>
            </w:pPr>
            <w:r>
              <w:rPr>
                <w:rFonts w:ascii="Arial" w:cs="Arial" w:eastAsia="Arial" w:hAnsi="Arial"/>
                <w:sz w:val="14"/>
                <w:szCs w:val="14"/>
                <w:color w:val="auto"/>
              </w:rPr>
              <w:t>TOTAL OPERATING EXPENSES</w:t>
            </w:r>
          </w:p>
        </w:tc>
        <w:tc>
          <w:tcPr>
            <w:tcW w:w="1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7,053,132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4,969,037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153,287,521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5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OPERATING LOSS</w:t>
            </w: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(7,009,382)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3"/>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(4,810,021)</w:t>
            </w: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(148,814,671)</w:t>
            </w:r>
          </w:p>
        </w:tc>
        <w:tc>
          <w:tcPr>
            <w:tcW w:w="0" w:type="dxa"/>
            <w:vAlign w:val="bottom"/>
          </w:tcPr>
          <w:p>
            <w:pPr>
              <w:spacing w:after="0"/>
              <w:rPr>
                <w:sz w:val="1"/>
                <w:szCs w:val="1"/>
                <w:color w:val="auto"/>
              </w:rPr>
            </w:pPr>
          </w:p>
        </w:tc>
      </w:tr>
      <w:tr>
        <w:trPr>
          <w:trHeight w:val="230"/>
        </w:trPr>
        <w:tc>
          <w:tcPr>
            <w:tcW w:w="5760" w:type="dxa"/>
            <w:vAlign w:val="bottom"/>
          </w:tcPr>
          <w:p>
            <w:pPr>
              <w:ind w:left="140"/>
              <w:spacing w:after="0"/>
              <w:rPr>
                <w:sz w:val="20"/>
                <w:szCs w:val="20"/>
                <w:color w:val="auto"/>
              </w:rPr>
            </w:pPr>
            <w:r>
              <w:rPr>
                <w:rFonts w:ascii="Arial" w:cs="Arial" w:eastAsia="Arial" w:hAnsi="Arial"/>
                <w:sz w:val="14"/>
                <w:szCs w:val="14"/>
                <w:b w:val="1"/>
                <w:bCs w:val="1"/>
                <w:color w:val="auto"/>
              </w:rPr>
              <w:t>OTHER INCOME (EXPENSE)</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500"/>
              <w:spacing w:after="0" w:line="149" w:lineRule="exact"/>
              <w:rPr>
                <w:sz w:val="20"/>
                <w:szCs w:val="20"/>
                <w:color w:val="auto"/>
              </w:rPr>
            </w:pPr>
            <w:r>
              <w:rPr>
                <w:rFonts w:ascii="Arial" w:cs="Arial" w:eastAsia="Arial" w:hAnsi="Arial"/>
                <w:sz w:val="14"/>
                <w:szCs w:val="14"/>
                <w:color w:val="auto"/>
              </w:rPr>
              <w:t>Equity in income (loss) of unconsolidated affiliates</w:t>
            </w: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(138,456)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3"/>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(63,557)</w:t>
            </w: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(1,743,004)</w:t>
            </w:r>
          </w:p>
        </w:tc>
        <w:tc>
          <w:tcPr>
            <w:tcW w:w="0" w:type="dxa"/>
            <w:vAlign w:val="bottom"/>
          </w:tcPr>
          <w:p>
            <w:pPr>
              <w:spacing w:after="0"/>
              <w:rPr>
                <w:sz w:val="1"/>
                <w:szCs w:val="1"/>
                <w:color w:val="auto"/>
              </w:rPr>
            </w:pPr>
          </w:p>
        </w:tc>
      </w:tr>
      <w:tr>
        <w:trPr>
          <w:trHeight w:val="149"/>
        </w:trPr>
        <w:tc>
          <w:tcPr>
            <w:tcW w:w="5760" w:type="dxa"/>
            <w:vAlign w:val="bottom"/>
          </w:tcPr>
          <w:p>
            <w:pPr>
              <w:ind w:left="500"/>
              <w:spacing w:after="0" w:line="149" w:lineRule="exact"/>
              <w:rPr>
                <w:sz w:val="20"/>
                <w:szCs w:val="20"/>
                <w:color w:val="auto"/>
              </w:rPr>
            </w:pPr>
            <w:r>
              <w:rPr>
                <w:rFonts w:ascii="Arial" w:cs="Arial" w:eastAsia="Arial" w:hAnsi="Arial"/>
                <w:sz w:val="14"/>
                <w:szCs w:val="14"/>
                <w:color w:val="auto"/>
              </w:rPr>
              <w:t>Impairment of investment in unconsolidated affiliates</w:t>
            </w: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(1,642,775)</w:t>
            </w: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500"/>
              <w:spacing w:after="0" w:line="149" w:lineRule="exact"/>
              <w:rPr>
                <w:sz w:val="20"/>
                <w:szCs w:val="20"/>
                <w:color w:val="auto"/>
              </w:rPr>
            </w:pPr>
            <w:r>
              <w:rPr>
                <w:rFonts w:ascii="Arial" w:cs="Arial" w:eastAsia="Arial" w:hAnsi="Arial"/>
                <w:sz w:val="14"/>
                <w:szCs w:val="14"/>
                <w:color w:val="auto"/>
              </w:rPr>
              <w:t>Gain on purchase of Roche Madison</w:t>
            </w: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1,576,107</w:t>
            </w:r>
          </w:p>
        </w:tc>
        <w:tc>
          <w:tcPr>
            <w:tcW w:w="0" w:type="dxa"/>
            <w:vAlign w:val="bottom"/>
          </w:tcPr>
          <w:p>
            <w:pPr>
              <w:spacing w:after="0"/>
              <w:rPr>
                <w:sz w:val="1"/>
                <w:szCs w:val="1"/>
                <w:color w:val="auto"/>
              </w:rPr>
            </w:pPr>
          </w:p>
        </w:tc>
      </w:tr>
      <w:tr>
        <w:trPr>
          <w:trHeight w:val="149"/>
        </w:trPr>
        <w:tc>
          <w:tcPr>
            <w:tcW w:w="5760" w:type="dxa"/>
            <w:vAlign w:val="bottom"/>
          </w:tcPr>
          <w:p>
            <w:pPr>
              <w:ind w:left="500"/>
              <w:spacing w:after="0" w:line="149" w:lineRule="exact"/>
              <w:rPr>
                <w:sz w:val="20"/>
                <w:szCs w:val="20"/>
                <w:color w:val="auto"/>
              </w:rPr>
            </w:pPr>
            <w:r>
              <w:rPr>
                <w:rFonts w:ascii="Arial" w:cs="Arial" w:eastAsia="Arial" w:hAnsi="Arial"/>
                <w:sz w:val="14"/>
                <w:szCs w:val="14"/>
                <w:color w:val="auto"/>
              </w:rPr>
              <w:t>Gain (loss) on sale of fixed assets, net</w:t>
            </w: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(53,562)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18,493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(1,336,415)</w:t>
            </w: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500"/>
              <w:spacing w:after="0" w:line="149" w:lineRule="exact"/>
              <w:rPr>
                <w:sz w:val="20"/>
                <w:szCs w:val="20"/>
                <w:color w:val="auto"/>
              </w:rPr>
            </w:pPr>
            <w:r>
              <w:rPr>
                <w:rFonts w:ascii="Arial" w:cs="Arial" w:eastAsia="Arial" w:hAnsi="Arial"/>
                <w:sz w:val="14"/>
                <w:szCs w:val="14"/>
                <w:color w:val="auto"/>
              </w:rPr>
              <w:t>Realized and unrealized gain (loss) in marketable securities</w:t>
            </w: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62,954</w:t>
            </w:r>
          </w:p>
        </w:tc>
        <w:tc>
          <w:tcPr>
            <w:tcW w:w="0" w:type="dxa"/>
            <w:vAlign w:val="bottom"/>
          </w:tcPr>
          <w:p>
            <w:pPr>
              <w:spacing w:after="0"/>
              <w:rPr>
                <w:sz w:val="1"/>
                <w:szCs w:val="1"/>
                <w:color w:val="auto"/>
              </w:rPr>
            </w:pPr>
          </w:p>
        </w:tc>
      </w:tr>
      <w:tr>
        <w:trPr>
          <w:trHeight w:val="149"/>
        </w:trPr>
        <w:tc>
          <w:tcPr>
            <w:tcW w:w="5760" w:type="dxa"/>
            <w:vAlign w:val="bottom"/>
          </w:tcPr>
          <w:p>
            <w:pPr>
              <w:ind w:left="500"/>
              <w:spacing w:after="0" w:line="149" w:lineRule="exact"/>
              <w:rPr>
                <w:sz w:val="20"/>
                <w:szCs w:val="20"/>
                <w:color w:val="auto"/>
              </w:rPr>
            </w:pPr>
            <w:r>
              <w:rPr>
                <w:rFonts w:ascii="Arial" w:cs="Arial" w:eastAsia="Arial" w:hAnsi="Arial"/>
                <w:sz w:val="14"/>
                <w:szCs w:val="14"/>
                <w:color w:val="auto"/>
              </w:rPr>
              <w:t>Interest income (expense), net</w:t>
            </w: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40,578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7,416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2,693,112</w:t>
            </w: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500"/>
              <w:spacing w:after="0" w:line="149" w:lineRule="exact"/>
              <w:rPr>
                <w:sz w:val="20"/>
                <w:szCs w:val="20"/>
                <w:color w:val="auto"/>
              </w:rPr>
            </w:pPr>
            <w:r>
              <w:rPr>
                <w:rFonts w:ascii="Arial" w:cs="Arial" w:eastAsia="Arial" w:hAnsi="Arial"/>
                <w:sz w:val="14"/>
                <w:szCs w:val="14"/>
                <w:color w:val="auto"/>
              </w:rPr>
              <w:t>Change in value of derivatives</w:t>
            </w: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(3,519,579)</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0"/>
              <w:spacing w:after="0" w:line="149" w:lineRule="exact"/>
              <w:rPr>
                <w:sz w:val="20"/>
                <w:szCs w:val="20"/>
                <w:color w:val="auto"/>
              </w:rPr>
            </w:pPr>
            <w:r>
              <w:rPr>
                <w:rFonts w:ascii="Arial" w:cs="Arial" w:eastAsia="Arial" w:hAnsi="Arial"/>
                <w:sz w:val="14"/>
                <w:szCs w:val="14"/>
                <w:color w:val="auto"/>
              </w:rPr>
              <w:t>44,275</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(5,538,564)</w:t>
            </w:r>
          </w:p>
        </w:tc>
        <w:tc>
          <w:tcPr>
            <w:tcW w:w="0" w:type="dxa"/>
            <w:vAlign w:val="bottom"/>
          </w:tcPr>
          <w:p>
            <w:pPr>
              <w:spacing w:after="0"/>
              <w:rPr>
                <w:sz w:val="1"/>
                <w:szCs w:val="1"/>
                <w:color w:val="auto"/>
              </w:rPr>
            </w:pPr>
          </w:p>
        </w:tc>
      </w:tr>
      <w:tr>
        <w:trPr>
          <w:trHeight w:val="149"/>
        </w:trPr>
        <w:tc>
          <w:tcPr>
            <w:tcW w:w="5760" w:type="dxa"/>
            <w:vAlign w:val="bottom"/>
          </w:tcPr>
          <w:p>
            <w:pPr>
              <w:ind w:left="500"/>
              <w:spacing w:after="0" w:line="149" w:lineRule="exact"/>
              <w:rPr>
                <w:sz w:val="20"/>
                <w:szCs w:val="20"/>
                <w:color w:val="auto"/>
              </w:rPr>
            </w:pPr>
            <w:r>
              <w:rPr>
                <w:rFonts w:ascii="Arial" w:cs="Arial" w:eastAsia="Arial" w:hAnsi="Arial"/>
                <w:sz w:val="14"/>
                <w:szCs w:val="14"/>
                <w:color w:val="auto"/>
              </w:rPr>
              <w:t>Gain on sale of stock in subsidiary</w:t>
            </w: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2,292,800</w:t>
            </w: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500"/>
              <w:spacing w:after="0" w:line="149" w:lineRule="exact"/>
              <w:rPr>
                <w:sz w:val="20"/>
                <w:szCs w:val="20"/>
                <w:color w:val="auto"/>
              </w:rPr>
            </w:pPr>
            <w:r>
              <w:rPr>
                <w:rFonts w:ascii="Arial" w:cs="Arial" w:eastAsia="Arial" w:hAnsi="Arial"/>
                <w:sz w:val="14"/>
                <w:szCs w:val="14"/>
                <w:color w:val="auto"/>
              </w:rPr>
              <w:t>Other income (expense)</w:t>
            </w: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(5,331)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0"/>
              <w:spacing w:after="0" w:line="149" w:lineRule="exact"/>
              <w:rPr>
                <w:sz w:val="20"/>
                <w:szCs w:val="20"/>
                <w:color w:val="auto"/>
              </w:rPr>
            </w:pPr>
            <w:r>
              <w:rPr>
                <w:rFonts w:ascii="Arial" w:cs="Arial" w:eastAsia="Arial" w:hAnsi="Arial"/>
                <w:sz w:val="14"/>
                <w:szCs w:val="14"/>
                <w:color w:val="auto"/>
              </w:rPr>
              <w:t>22,685</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(753,306)</w:t>
            </w:r>
          </w:p>
        </w:tc>
        <w:tc>
          <w:tcPr>
            <w:tcW w:w="0" w:type="dxa"/>
            <w:vAlign w:val="bottom"/>
          </w:tcPr>
          <w:p>
            <w:pPr>
              <w:spacing w:after="0"/>
              <w:rPr>
                <w:sz w:val="1"/>
                <w:szCs w:val="1"/>
                <w:color w:val="auto"/>
              </w:rPr>
            </w:pPr>
          </w:p>
        </w:tc>
      </w:tr>
      <w:tr>
        <w:trPr>
          <w:trHeight w:val="142"/>
        </w:trPr>
        <w:tc>
          <w:tcPr>
            <w:tcW w:w="5760" w:type="dxa"/>
            <w:vAlign w:val="bottom"/>
          </w:tcPr>
          <w:p>
            <w:pPr>
              <w:ind w:left="620"/>
              <w:spacing w:after="0" w:line="142" w:lineRule="exact"/>
              <w:rPr>
                <w:sz w:val="20"/>
                <w:szCs w:val="20"/>
                <w:color w:val="auto"/>
              </w:rPr>
            </w:pPr>
            <w:r>
              <w:rPr>
                <w:rFonts w:ascii="Arial" w:cs="Arial" w:eastAsia="Arial" w:hAnsi="Arial"/>
                <w:sz w:val="14"/>
                <w:szCs w:val="14"/>
                <w:color w:val="auto"/>
              </w:rPr>
              <w:t>TOTAL OTHER INCOME (EXPENSE)</w:t>
            </w:r>
          </w:p>
        </w:tc>
        <w:tc>
          <w:tcPr>
            <w:tcW w:w="1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(3,676,350)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29,312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(4,389,091)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5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LOSS FROM CONTINUING OPERATIONS BEFORE INCOME TAXES</w:t>
            </w: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b w:val="1"/>
                <w:bCs w:val="1"/>
                <w:color w:val="auto"/>
              </w:rPr>
              <w:t>(10,685,732)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3"/>
            <w:shd w:val="clear" w:color="auto" w:fill="CFF0FC"/>
          </w:tcPr>
          <w:p>
            <w:pPr>
              <w:jc w:val="right"/>
              <w:ind w:right="160"/>
              <w:spacing w:after="0" w:line="149" w:lineRule="exact"/>
              <w:rPr>
                <w:sz w:val="20"/>
                <w:szCs w:val="20"/>
                <w:color w:val="auto"/>
              </w:rPr>
            </w:pPr>
            <w:r>
              <w:rPr>
                <w:rFonts w:ascii="Arial" w:cs="Arial" w:eastAsia="Arial" w:hAnsi="Arial"/>
                <w:sz w:val="14"/>
                <w:szCs w:val="14"/>
                <w:b w:val="1"/>
                <w:bCs w:val="1"/>
                <w:color w:val="auto"/>
              </w:rPr>
              <w:t>(4,780,709)</w:t>
            </w: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b w:val="1"/>
                <w:bCs w:val="1"/>
                <w:color w:val="auto"/>
              </w:rPr>
              <w:t>(153,203,762)</w:t>
            </w:r>
          </w:p>
        </w:tc>
        <w:tc>
          <w:tcPr>
            <w:tcW w:w="0" w:type="dxa"/>
            <w:vAlign w:val="bottom"/>
          </w:tcPr>
          <w:p>
            <w:pPr>
              <w:spacing w:after="0"/>
              <w:rPr>
                <w:sz w:val="1"/>
                <w:szCs w:val="1"/>
                <w:color w:val="auto"/>
              </w:rPr>
            </w:pPr>
          </w:p>
        </w:tc>
      </w:tr>
      <w:tr>
        <w:trPr>
          <w:trHeight w:val="245"/>
        </w:trPr>
        <w:tc>
          <w:tcPr>
            <w:tcW w:w="5760" w:type="dxa"/>
            <w:vAlign w:val="bottom"/>
          </w:tcPr>
          <w:p>
            <w:pPr>
              <w:ind w:left="500"/>
              <w:spacing w:after="0"/>
              <w:rPr>
                <w:sz w:val="20"/>
                <w:szCs w:val="20"/>
                <w:color w:val="auto"/>
              </w:rPr>
            </w:pPr>
            <w:r>
              <w:rPr>
                <w:rFonts w:ascii="Arial" w:cs="Arial" w:eastAsia="Arial" w:hAnsi="Arial"/>
                <w:sz w:val="14"/>
                <w:szCs w:val="14"/>
                <w:color w:val="auto"/>
              </w:rPr>
              <w:t>Provision for income taxes</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5760" w:type="dxa"/>
            <w:vAlign w:val="bottom"/>
            <w:tcBorders>
              <w:bottom w:val="single" w:sz="8" w:color="CFF0FC"/>
            </w:tcBorders>
          </w:tcPr>
          <w:p>
            <w:pPr>
              <w:spacing w:after="0"/>
              <w:rPr>
                <w:sz w:val="5"/>
                <w:szCs w:val="5"/>
                <w:color w:val="auto"/>
              </w:rPr>
            </w:pPr>
          </w:p>
        </w:tc>
        <w:tc>
          <w:tcPr>
            <w:tcW w:w="1320" w:type="dxa"/>
            <w:vAlign w:val="bottom"/>
            <w:tcBorders>
              <w:bottom w:val="single" w:sz="8" w:color="CFF0FC"/>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CFF0FC"/>
            </w:tcBorders>
          </w:tcPr>
          <w:p>
            <w:pPr>
              <w:spacing w:after="0"/>
              <w:rPr>
                <w:sz w:val="5"/>
                <w:szCs w:val="5"/>
                <w:color w:val="auto"/>
              </w:rPr>
            </w:pPr>
          </w:p>
        </w:tc>
        <w:tc>
          <w:tcPr>
            <w:tcW w:w="180" w:type="dxa"/>
            <w:vAlign w:val="bottom"/>
            <w:tcBorders>
              <w:bottom w:val="single" w:sz="8" w:color="CFF0FC"/>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5760" w:type="dxa"/>
            <w:vAlign w:val="bottom"/>
            <w:shd w:val="clear" w:color="auto" w:fill="CFF0FC"/>
          </w:tcPr>
          <w:p>
            <w:pPr>
              <w:ind w:left="140"/>
              <w:spacing w:after="0" w:line="142" w:lineRule="exact"/>
              <w:rPr>
                <w:sz w:val="20"/>
                <w:szCs w:val="20"/>
                <w:color w:val="auto"/>
              </w:rPr>
            </w:pPr>
            <w:r>
              <w:rPr>
                <w:rFonts w:ascii="Arial" w:cs="Arial" w:eastAsia="Arial" w:hAnsi="Arial"/>
                <w:sz w:val="14"/>
                <w:szCs w:val="14"/>
                <w:color w:val="auto"/>
              </w:rPr>
              <w:t>LOSS FROM CONTINUING OPERATIONS</w:t>
            </w: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(10,685,732)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(4,780,709)</w:t>
            </w:r>
          </w:p>
        </w:tc>
        <w:tc>
          <w:tcPr>
            <w:tcW w:w="200" w:type="dxa"/>
            <w:vAlign w:val="bottom"/>
            <w:gridSpan w:val="2"/>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(153,203,762)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7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500"/>
              <w:spacing w:after="0" w:line="149" w:lineRule="exact"/>
              <w:rPr>
                <w:sz w:val="20"/>
                <w:szCs w:val="20"/>
                <w:color w:val="auto"/>
              </w:rPr>
            </w:pPr>
            <w:r>
              <w:rPr>
                <w:rFonts w:ascii="Arial" w:cs="Arial" w:eastAsia="Arial" w:hAnsi="Arial"/>
                <w:sz w:val="14"/>
                <w:szCs w:val="14"/>
                <w:color w:val="auto"/>
              </w:rPr>
              <w:t>Income (loss) from discontinued operations</w:t>
            </w: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3"/>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(18)</w:t>
            </w: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(47,546,996)</w:t>
            </w:r>
          </w:p>
        </w:tc>
        <w:tc>
          <w:tcPr>
            <w:tcW w:w="0" w:type="dxa"/>
            <w:vAlign w:val="bottom"/>
          </w:tcPr>
          <w:p>
            <w:pPr>
              <w:spacing w:after="0"/>
              <w:rPr>
                <w:sz w:val="1"/>
                <w:szCs w:val="1"/>
                <w:color w:val="auto"/>
              </w:rPr>
            </w:pPr>
          </w:p>
        </w:tc>
      </w:tr>
      <w:tr>
        <w:trPr>
          <w:trHeight w:val="149"/>
        </w:trPr>
        <w:tc>
          <w:tcPr>
            <w:tcW w:w="5760" w:type="dxa"/>
            <w:vAlign w:val="bottom"/>
          </w:tcPr>
          <w:p>
            <w:pPr>
              <w:ind w:left="500"/>
              <w:spacing w:after="0" w:line="149" w:lineRule="exact"/>
              <w:rPr>
                <w:sz w:val="20"/>
                <w:szCs w:val="20"/>
                <w:color w:val="auto"/>
              </w:rPr>
            </w:pPr>
            <w:r>
              <w:rPr>
                <w:rFonts w:ascii="Arial" w:cs="Arial" w:eastAsia="Arial" w:hAnsi="Arial"/>
                <w:sz w:val="14"/>
                <w:szCs w:val="14"/>
                <w:color w:val="auto"/>
              </w:rPr>
              <w:t>Gain on disposal of discontinued operations</w:t>
            </w: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4,708,588</w:t>
            </w:r>
          </w:p>
        </w:tc>
        <w:tc>
          <w:tcPr>
            <w:tcW w:w="0" w:type="dxa"/>
            <w:vAlign w:val="bottom"/>
          </w:tcPr>
          <w:p>
            <w:pPr>
              <w:spacing w:after="0"/>
              <w:rPr>
                <w:sz w:val="1"/>
                <w:szCs w:val="1"/>
                <w:color w:val="auto"/>
              </w:rPr>
            </w:pPr>
          </w:p>
        </w:tc>
      </w:tr>
      <w:tr>
        <w:trPr>
          <w:trHeight w:val="81"/>
        </w:trPr>
        <w:tc>
          <w:tcPr>
            <w:tcW w:w="5760" w:type="dxa"/>
            <w:vAlign w:val="bottom"/>
            <w:shd w:val="clear" w:color="auto" w:fill="CFF0FC"/>
          </w:tcPr>
          <w:p>
            <w:pPr>
              <w:spacing w:after="0"/>
              <w:rPr>
                <w:sz w:val="7"/>
                <w:szCs w:val="7"/>
                <w:color w:val="auto"/>
              </w:rPr>
            </w:pPr>
          </w:p>
        </w:tc>
        <w:tc>
          <w:tcPr>
            <w:tcW w:w="1320" w:type="dxa"/>
            <w:vAlign w:val="bottom"/>
            <w:shd w:val="clear" w:color="auto" w:fill="CFF0FC"/>
          </w:tcPr>
          <w:p>
            <w:pPr>
              <w:spacing w:after="0"/>
              <w:rPr>
                <w:sz w:val="7"/>
                <w:szCs w:val="7"/>
                <w:color w:val="auto"/>
              </w:rPr>
            </w:pPr>
          </w:p>
        </w:tc>
        <w:tc>
          <w:tcPr>
            <w:tcW w:w="140" w:type="dxa"/>
            <w:vAlign w:val="bottom"/>
            <w:tcBorders>
              <w:bottom w:val="single" w:sz="8" w:color="auto"/>
            </w:tcBorders>
            <w:shd w:val="clear" w:color="auto" w:fill="CFF0FC"/>
          </w:tcPr>
          <w:p>
            <w:pPr>
              <w:spacing w:after="0"/>
              <w:rPr>
                <w:sz w:val="7"/>
                <w:szCs w:val="7"/>
                <w:color w:val="auto"/>
              </w:rPr>
            </w:pPr>
          </w:p>
        </w:tc>
        <w:tc>
          <w:tcPr>
            <w:tcW w:w="1120" w:type="dxa"/>
            <w:vAlign w:val="bottom"/>
            <w:tcBorders>
              <w:bottom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0" w:type="dxa"/>
            <w:vAlign w:val="bottom"/>
            <w:tcBorders>
              <w:bottom w:val="single" w:sz="8" w:color="auto"/>
            </w:tcBorders>
            <w:shd w:val="clear" w:color="auto" w:fill="CFF0FC"/>
          </w:tcPr>
          <w:p>
            <w:pPr>
              <w:spacing w:after="0"/>
              <w:rPr>
                <w:sz w:val="7"/>
                <w:szCs w:val="7"/>
                <w:color w:val="auto"/>
              </w:rPr>
            </w:pPr>
          </w:p>
        </w:tc>
        <w:tc>
          <w:tcPr>
            <w:tcW w:w="1120" w:type="dxa"/>
            <w:vAlign w:val="bottom"/>
            <w:tcBorders>
              <w:bottom w:val="single" w:sz="8" w:color="auto"/>
            </w:tcBorders>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60" w:type="dxa"/>
            <w:vAlign w:val="bottom"/>
            <w:tcBorders>
              <w:bottom w:val="single" w:sz="8" w:color="auto"/>
            </w:tcBorders>
            <w:shd w:val="clear" w:color="auto" w:fill="CFF0FC"/>
          </w:tcPr>
          <w:p>
            <w:pPr>
              <w:spacing w:after="0"/>
              <w:rPr>
                <w:sz w:val="7"/>
                <w:szCs w:val="7"/>
                <w:color w:val="auto"/>
              </w:rPr>
            </w:pPr>
          </w:p>
        </w:tc>
        <w:tc>
          <w:tcPr>
            <w:tcW w:w="1140" w:type="dxa"/>
            <w:vAlign w:val="bottom"/>
            <w:tcBorders>
              <w:bottom w:val="single" w:sz="8" w:color="auto"/>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5760" w:type="dxa"/>
            <w:vAlign w:val="bottom"/>
          </w:tcPr>
          <w:p>
            <w:pPr>
              <w:ind w:left="140"/>
              <w:spacing w:after="0" w:line="142" w:lineRule="exact"/>
              <w:rPr>
                <w:sz w:val="20"/>
                <w:szCs w:val="20"/>
                <w:color w:val="auto"/>
              </w:rPr>
            </w:pPr>
            <w:r>
              <w:rPr>
                <w:rFonts w:ascii="Arial" w:cs="Arial" w:eastAsia="Arial" w:hAnsi="Arial"/>
                <w:sz w:val="14"/>
                <w:szCs w:val="14"/>
                <w:color w:val="auto"/>
              </w:rPr>
              <w:t>NET INCOME (LOSS) FROM DISCONTINUED OPERATIONS</w:t>
            </w:r>
          </w:p>
        </w:tc>
        <w:tc>
          <w:tcPr>
            <w:tcW w:w="1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w:t>
            </w:r>
          </w:p>
        </w:tc>
        <w:tc>
          <w:tcPr>
            <w:tcW w:w="200" w:type="dxa"/>
            <w:vAlign w:val="bottom"/>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(42,838,408)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5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76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NET LOSS</w:t>
            </w:r>
          </w:p>
        </w:tc>
        <w:tc>
          <w:tcPr>
            <w:tcW w:w="1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b w:val="1"/>
                <w:bCs w:val="1"/>
                <w:color w:val="auto"/>
              </w:rPr>
              <w:t>(10,685,732)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gridSpan w:val="3"/>
            <w:shd w:val="clear" w:color="auto" w:fill="CFF0FC"/>
          </w:tcPr>
          <w:p>
            <w:pPr>
              <w:jc w:val="right"/>
              <w:ind w:right="160"/>
              <w:spacing w:after="0" w:line="149" w:lineRule="exact"/>
              <w:rPr>
                <w:sz w:val="20"/>
                <w:szCs w:val="20"/>
                <w:color w:val="auto"/>
              </w:rPr>
            </w:pPr>
            <w:r>
              <w:rPr>
                <w:rFonts w:ascii="Arial" w:cs="Arial" w:eastAsia="Arial" w:hAnsi="Arial"/>
                <w:sz w:val="14"/>
                <w:szCs w:val="14"/>
                <w:b w:val="1"/>
                <w:bCs w:val="1"/>
                <w:color w:val="auto"/>
              </w:rPr>
              <w:t>(4,780,727)</w:t>
            </w: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b w:val="1"/>
                <w:bCs w:val="1"/>
                <w:color w:val="auto"/>
              </w:rPr>
              <w:t>(196,042,170)</w:t>
            </w:r>
          </w:p>
        </w:tc>
        <w:tc>
          <w:tcPr>
            <w:tcW w:w="0" w:type="dxa"/>
            <w:vAlign w:val="bottom"/>
          </w:tcPr>
          <w:p>
            <w:pPr>
              <w:spacing w:after="0"/>
              <w:rPr>
                <w:sz w:val="1"/>
                <w:szCs w:val="1"/>
                <w:color w:val="auto"/>
              </w:rPr>
            </w:pPr>
          </w:p>
        </w:tc>
      </w:tr>
      <w:tr>
        <w:trPr>
          <w:trHeight w:val="245"/>
        </w:trPr>
        <w:tc>
          <w:tcPr>
            <w:tcW w:w="5760" w:type="dxa"/>
            <w:vAlign w:val="bottom"/>
          </w:tcPr>
          <w:p>
            <w:pPr>
              <w:ind w:left="500"/>
              <w:spacing w:after="0"/>
              <w:rPr>
                <w:sz w:val="20"/>
                <w:szCs w:val="20"/>
                <w:color w:val="auto"/>
              </w:rPr>
            </w:pPr>
            <w:r>
              <w:rPr>
                <w:rFonts w:ascii="Arial" w:cs="Arial" w:eastAsia="Arial" w:hAnsi="Arial"/>
                <w:sz w:val="14"/>
                <w:szCs w:val="14"/>
                <w:color w:val="auto"/>
              </w:rPr>
              <w:t>Net loss attributable to noncontrolling interests</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57,420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166,568</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19,436,849</w:t>
            </w:r>
          </w:p>
        </w:tc>
        <w:tc>
          <w:tcPr>
            <w:tcW w:w="0" w:type="dxa"/>
            <w:vAlign w:val="bottom"/>
          </w:tcPr>
          <w:p>
            <w:pPr>
              <w:spacing w:after="0"/>
              <w:rPr>
                <w:sz w:val="1"/>
                <w:szCs w:val="1"/>
                <w:color w:val="auto"/>
              </w:rPr>
            </w:pPr>
          </w:p>
        </w:tc>
      </w:tr>
      <w:tr>
        <w:trPr>
          <w:trHeight w:val="66"/>
        </w:trPr>
        <w:tc>
          <w:tcPr>
            <w:tcW w:w="5760" w:type="dxa"/>
            <w:vAlign w:val="bottom"/>
            <w:tcBorders>
              <w:bottom w:val="single" w:sz="8" w:color="CFF0FC"/>
            </w:tcBorders>
          </w:tcPr>
          <w:p>
            <w:pPr>
              <w:spacing w:after="0"/>
              <w:rPr>
                <w:sz w:val="5"/>
                <w:szCs w:val="5"/>
                <w:color w:val="auto"/>
              </w:rPr>
            </w:pPr>
          </w:p>
        </w:tc>
        <w:tc>
          <w:tcPr>
            <w:tcW w:w="1320" w:type="dxa"/>
            <w:vAlign w:val="bottom"/>
            <w:tcBorders>
              <w:bottom w:val="single" w:sz="8" w:color="CFF0FC"/>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CFF0FC"/>
            </w:tcBorders>
          </w:tcPr>
          <w:p>
            <w:pPr>
              <w:spacing w:after="0"/>
              <w:rPr>
                <w:sz w:val="5"/>
                <w:szCs w:val="5"/>
                <w:color w:val="auto"/>
              </w:rPr>
            </w:pPr>
          </w:p>
        </w:tc>
        <w:tc>
          <w:tcPr>
            <w:tcW w:w="180" w:type="dxa"/>
            <w:vAlign w:val="bottom"/>
            <w:tcBorders>
              <w:bottom w:val="single" w:sz="8" w:color="CFF0FC"/>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5760" w:type="dxa"/>
            <w:vAlign w:val="bottom"/>
            <w:shd w:val="clear" w:color="auto" w:fill="CFF0FC"/>
          </w:tcPr>
          <w:p>
            <w:pPr>
              <w:ind w:left="140"/>
              <w:spacing w:after="0" w:line="142" w:lineRule="exact"/>
              <w:rPr>
                <w:sz w:val="20"/>
                <w:szCs w:val="20"/>
                <w:color w:val="auto"/>
              </w:rPr>
            </w:pPr>
            <w:r>
              <w:rPr>
                <w:rFonts w:ascii="Arial" w:cs="Arial" w:eastAsia="Arial" w:hAnsi="Arial"/>
                <w:sz w:val="14"/>
                <w:szCs w:val="14"/>
                <w:color w:val="auto"/>
              </w:rPr>
              <w:t>NET LOSS ATTRIBUTABLE TO ARROWHEAD</w:t>
            </w:r>
          </w:p>
        </w:tc>
        <w:tc>
          <w:tcPr>
            <w:tcW w:w="13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(10,628,312)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(4,614,159)</w:t>
            </w:r>
          </w:p>
        </w:tc>
        <w:tc>
          <w:tcPr>
            <w:tcW w:w="200" w:type="dxa"/>
            <w:vAlign w:val="bottom"/>
            <w:gridSpan w:val="2"/>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(176,605,321)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5760" w:type="dxa"/>
            <w:vAlign w:val="bottom"/>
          </w:tcPr>
          <w:p>
            <w:pPr>
              <w:ind w:left="140"/>
              <w:spacing w:after="0"/>
              <w:rPr>
                <w:sz w:val="20"/>
                <w:szCs w:val="20"/>
                <w:color w:val="auto"/>
              </w:rPr>
            </w:pPr>
            <w:r>
              <w:rPr>
                <w:rFonts w:ascii="Arial" w:cs="Arial" w:eastAsia="Arial" w:hAnsi="Arial"/>
                <w:sz w:val="14"/>
                <w:szCs w:val="14"/>
                <w:color w:val="auto"/>
              </w:rPr>
              <w:t>NET LOSS PER SHARE ATTRIBUTABLE TO ARROWHEAD</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SHAREHOLDERS - BASIC &amp; DILUTED:</w:t>
            </w:r>
          </w:p>
        </w:tc>
        <w:tc>
          <w:tcPr>
            <w:tcW w:w="146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(0.28)</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4"/>
                <w:szCs w:val="14"/>
                <w:color w:val="auto"/>
              </w:rPr>
              <w:t>Weighted average shares outstanding - basic and diluted</w:t>
            </w:r>
          </w:p>
        </w:tc>
        <w:tc>
          <w:tcPr>
            <w:tcW w:w="1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CFF0FC"/>
            </w:tcBorders>
            <w:vMerge w:val="restart"/>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CFF0FC"/>
            </w:tcBorders>
            <w:vMerge w:val="restart"/>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60" w:type="dxa"/>
            <w:vAlign w:val="bottom"/>
            <w:vMerge w:val="continue"/>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37,741,743</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14,113,620</w:t>
            </w:r>
          </w:p>
        </w:tc>
        <w:tc>
          <w:tcPr>
            <w:tcW w:w="20" w:type="dxa"/>
            <w:vAlign w:val="bottom"/>
            <w:tcBorders>
              <w:bottom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through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52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vMerge w:val="restart"/>
          </w:tcPr>
          <w:p>
            <w:pPr>
              <w:spacing w:after="0"/>
              <w:rPr>
                <w:sz w:val="9"/>
                <w:szCs w:val="9"/>
                <w:color w:val="auto"/>
              </w:rPr>
            </w:pPr>
          </w:p>
        </w:tc>
        <w:tc>
          <w:tcPr>
            <w:tcW w:w="138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Subscription</w:t>
            </w:r>
          </w:p>
        </w:tc>
        <w:tc>
          <w:tcPr>
            <w:tcW w:w="80" w:type="dxa"/>
            <w:vAlign w:val="bottom"/>
          </w:tcPr>
          <w:p>
            <w:pPr>
              <w:spacing w:after="0"/>
              <w:rPr>
                <w:sz w:val="9"/>
                <w:szCs w:val="9"/>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during the</w:t>
            </w: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20" w:type="dxa"/>
            <w:vAlign w:val="bottom"/>
            <w:tcBorders>
              <w:bottom w:val="single" w:sz="8" w:color="auto"/>
            </w:tcBorders>
            <w:gridSpan w:val="4"/>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Paid-</w:t>
            </w: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Amount</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in Capital</w:t>
            </w: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7"/>
              </w:rPr>
              <w:t>Receivable</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Development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Stage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180" w:type="dxa"/>
            <w:vAlign w:val="bottom"/>
            <w:tcBorders>
              <w:bottom w:val="single" w:sz="8" w:color="CFF0FC"/>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80" w:type="dxa"/>
            <w:vAlign w:val="bottom"/>
            <w:tcBorders>
              <w:bottom w:val="single" w:sz="8" w:color="CFF0FC"/>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Initial Issuance of Stock:</w:t>
            </w: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ind w:left="120"/>
              <w:spacing w:after="0" w:line="130" w:lineRule="exact"/>
              <w:rPr>
                <w:sz w:val="20"/>
                <w:szCs w:val="20"/>
                <w:color w:val="auto"/>
              </w:rPr>
            </w:pPr>
            <w:r>
              <w:rPr>
                <w:rFonts w:ascii="Arial" w:cs="Arial" w:eastAsia="Arial" w:hAnsi="Arial"/>
                <w:sz w:val="14"/>
                <w:szCs w:val="14"/>
                <w:color w:val="auto"/>
                <w:w w:val="95"/>
              </w:rPr>
              <w:t>Common stock &amp; warrants issued for cash @ $0.01</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per unit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3,000</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w w:val="92"/>
              </w:rPr>
              <w:t>Common stock &amp; warrants issued for cash @ $10.00</w:t>
            </w: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per unit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168,000</w:t>
            </w: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1,680</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1,678,320</w:t>
            </w: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1,680,000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ind w:left="120"/>
              <w:spacing w:after="0" w:line="130" w:lineRule="exact"/>
              <w:rPr>
                <w:sz w:val="20"/>
                <w:szCs w:val="20"/>
                <w:color w:val="auto"/>
              </w:rPr>
            </w:pPr>
            <w:r>
              <w:rPr>
                <w:rFonts w:ascii="Arial" w:cs="Arial" w:eastAsia="Arial" w:hAnsi="Arial"/>
                <w:sz w:val="14"/>
                <w:szCs w:val="14"/>
                <w:color w:val="auto"/>
              </w:rPr>
              <w:t>Stock issuance cost charged to additional paid-in</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capital</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(168,000)</w:t>
            </w:r>
          </w:p>
        </w:tc>
        <w:tc>
          <w:tcPr>
            <w:tcW w:w="7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(168,000)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w w:val="95"/>
              </w:rPr>
              <w:t>Net loss for period from inception to September 30,</w:t>
            </w: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2003</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(95,238)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(95,238)</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September 30, 2003</w:t>
            </w:r>
          </w:p>
        </w:tc>
        <w:tc>
          <w:tcPr>
            <w:tcW w:w="68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468,000</w:t>
            </w:r>
          </w:p>
        </w:tc>
        <w:tc>
          <w:tcPr>
            <w:tcW w:w="2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4,680</w:t>
            </w:r>
          </w:p>
        </w:tc>
        <w:tc>
          <w:tcPr>
            <w:tcW w:w="200" w:type="dxa"/>
            <w:vAlign w:val="bottom"/>
            <w:vMerge w:val="continue"/>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vMerge w:val="continue"/>
          </w:tcPr>
          <w:p>
            <w:pPr>
              <w:spacing w:after="0"/>
              <w:rPr>
                <w:sz w:val="12"/>
                <w:szCs w:val="12"/>
                <w:color w:val="auto"/>
              </w:rPr>
            </w:pPr>
          </w:p>
        </w:tc>
        <w:tc>
          <w:tcPr>
            <w:tcW w:w="580" w:type="dxa"/>
            <w:vAlign w:val="bottom"/>
          </w:tcPr>
          <w:p>
            <w:pPr>
              <w:jc w:val="right"/>
              <w:ind w:right="428"/>
              <w:spacing w:after="0" w:line="142" w:lineRule="exact"/>
              <w:rPr>
                <w:sz w:val="20"/>
                <w:szCs w:val="20"/>
                <w:color w:val="auto"/>
              </w:rPr>
            </w:pPr>
            <w:r>
              <w:rPr>
                <w:rFonts w:ascii="Arial" w:cs="Arial" w:eastAsia="Arial" w:hAnsi="Arial"/>
                <w:sz w:val="14"/>
                <w:szCs w:val="14"/>
                <w:b w:val="1"/>
                <w:bCs w:val="1"/>
                <w:color w:val="auto"/>
                <w:w w:val="76"/>
              </w:rPr>
              <w:t>$</w:t>
            </w:r>
          </w:p>
        </w:tc>
        <w:tc>
          <w:tcPr>
            <w:tcW w:w="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1,510,320</w:t>
            </w:r>
          </w:p>
        </w:tc>
        <w:tc>
          <w:tcPr>
            <w:tcW w:w="200" w:type="dxa"/>
            <w:vAlign w:val="bottom"/>
            <w:vMerge w:val="continue"/>
          </w:tcPr>
          <w:p>
            <w:pPr>
              <w:spacing w:after="0"/>
              <w:rPr>
                <w:sz w:val="12"/>
                <w:szCs w:val="12"/>
                <w:color w:val="auto"/>
              </w:rPr>
            </w:pPr>
          </w:p>
        </w:tc>
        <w:tc>
          <w:tcPr>
            <w:tcW w:w="72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w:t>
            </w:r>
          </w:p>
        </w:tc>
        <w:tc>
          <w:tcPr>
            <w:tcW w:w="1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(95,238)</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vMerge w:val="continue"/>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1,419,762</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Exercise of stock options</w:t>
            </w:r>
          </w:p>
        </w:tc>
        <w:tc>
          <w:tcPr>
            <w:tcW w:w="8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7,500</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75</w:t>
            </w:r>
          </w:p>
        </w:tc>
        <w:tc>
          <w:tcPr>
            <w:tcW w:w="80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14,925</w:t>
            </w: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ind w:left="120"/>
              <w:spacing w:after="0" w:line="130" w:lineRule="exact"/>
              <w:rPr>
                <w:sz w:val="20"/>
                <w:szCs w:val="20"/>
                <w:color w:val="auto"/>
              </w:rPr>
            </w:pPr>
            <w:r>
              <w:rPr>
                <w:rFonts w:ascii="Arial" w:cs="Arial" w:eastAsia="Arial" w:hAnsi="Arial"/>
                <w:sz w:val="14"/>
                <w:szCs w:val="14"/>
                <w:color w:val="auto"/>
                <w:w w:val="92"/>
              </w:rPr>
              <w:t>Common stock &amp; warrants issued for cash @ $10.00</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per unit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47,500</w:t>
            </w:r>
          </w:p>
        </w:tc>
        <w:tc>
          <w:tcPr>
            <w:tcW w:w="6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475</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474,525</w:t>
            </w:r>
          </w:p>
        </w:tc>
        <w:tc>
          <w:tcPr>
            <w:tcW w:w="7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475,000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rPr>
              <w:t>Common stock &amp; warrants issued for marketable</w:t>
            </w: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securities @ $10.00 per unit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50,000</w:t>
            </w: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500</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499,500</w:t>
            </w: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ind w:left="120"/>
              <w:spacing w:after="0" w:line="130" w:lineRule="exact"/>
              <w:rPr>
                <w:sz w:val="20"/>
                <w:szCs w:val="20"/>
                <w:color w:val="auto"/>
              </w:rPr>
            </w:pPr>
            <w:r>
              <w:rPr>
                <w:rFonts w:ascii="Arial" w:cs="Arial" w:eastAsia="Arial" w:hAnsi="Arial"/>
                <w:sz w:val="14"/>
                <w:szCs w:val="14"/>
                <w:color w:val="auto"/>
              </w:rPr>
              <w:t>Stock issuance cost charged to additional paid-in</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capital</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(96,500)</w:t>
            </w:r>
          </w:p>
        </w:tc>
        <w:tc>
          <w:tcPr>
            <w:tcW w:w="7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(96,500)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rPr>
              <w:t>Common stock and warrants issued for cash @</w:t>
            </w: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$15.00 per unit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660,879</w:t>
            </w: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6,609</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9,906,573</w:t>
            </w: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9,913,182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20"/>
              <w:spacing w:after="0" w:line="149" w:lineRule="exact"/>
              <w:rPr>
                <w:sz w:val="20"/>
                <w:szCs w:val="20"/>
                <w:color w:val="auto"/>
              </w:rPr>
            </w:pPr>
            <w:r>
              <w:rPr>
                <w:rFonts w:ascii="Arial" w:cs="Arial" w:eastAsia="Arial" w:hAnsi="Arial"/>
                <w:sz w:val="14"/>
                <w:szCs w:val="14"/>
                <w:color w:val="auto"/>
              </w:rPr>
              <w:t>Common stock issued in reverse acquisition</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70,553</w:t>
            </w: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706</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(151,175)</w:t>
            </w:r>
          </w:p>
        </w:tc>
        <w:tc>
          <w:tcPr>
            <w:tcW w:w="72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w w:val="94"/>
              </w:rPr>
              <w:t>Common stock issued as a gift for $10.90 per share</w:t>
            </w:r>
          </w:p>
        </w:tc>
        <w:tc>
          <w:tcPr>
            <w:tcW w:w="8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15,000</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163</w:t>
            </w:r>
          </w:p>
        </w:tc>
        <w:tc>
          <w:tcPr>
            <w:tcW w:w="80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162,587</w:t>
            </w: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162,750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ind w:left="120"/>
              <w:spacing w:after="0" w:line="130" w:lineRule="exact"/>
              <w:rPr>
                <w:sz w:val="20"/>
                <w:szCs w:val="20"/>
                <w:color w:val="auto"/>
              </w:rPr>
            </w:pPr>
            <w:r>
              <w:rPr>
                <w:rFonts w:ascii="Arial" w:cs="Arial" w:eastAsia="Arial" w:hAnsi="Arial"/>
                <w:sz w:val="14"/>
                <w:szCs w:val="14"/>
                <w:color w:val="auto"/>
                <w:w w:val="90"/>
              </w:rPr>
              <w:t>Common stock and warrants issued as stock issuance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cost @ $15.00 per unit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35,623</w:t>
            </w:r>
          </w:p>
        </w:tc>
        <w:tc>
          <w:tcPr>
            <w:tcW w:w="6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356</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533,988</w:t>
            </w:r>
          </w:p>
        </w:tc>
        <w:tc>
          <w:tcPr>
            <w:tcW w:w="7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534,344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rPr>
              <w:t>Stock issuance cost charged to additional paid-in</w:t>
            </w: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capital</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(991,318)</w:t>
            </w: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(991,318)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20"/>
              <w:spacing w:after="0" w:line="149" w:lineRule="exact"/>
              <w:rPr>
                <w:sz w:val="20"/>
                <w:szCs w:val="20"/>
                <w:color w:val="auto"/>
              </w:rPr>
            </w:pPr>
            <w:r>
              <w:rPr>
                <w:rFonts w:ascii="Arial" w:cs="Arial" w:eastAsia="Arial" w:hAnsi="Arial"/>
                <w:sz w:val="14"/>
                <w:szCs w:val="14"/>
                <w:color w:val="auto"/>
              </w:rPr>
              <w:t>Exercise of stock option @ $2.00 per share</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7,500</w:t>
            </w: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14,925</w:t>
            </w:r>
          </w:p>
        </w:tc>
        <w:tc>
          <w:tcPr>
            <w:tcW w:w="72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Exercise of stock options @ $10.00 per share</w:t>
            </w: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600</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80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5,994</w:t>
            </w: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175,653</w:t>
            </w:r>
          </w:p>
        </w:tc>
        <w:tc>
          <w:tcPr>
            <w:tcW w:w="72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175,653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Net loss for the year ended September 30, 2004</w:t>
            </w: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4"/>
                <w:szCs w:val="14"/>
                <w:color w:val="auto"/>
              </w:rPr>
              <w:t>(2,528,954)</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1,777,699</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(751,255)</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September 30, 2004</w:t>
            </w:r>
          </w:p>
        </w:tc>
        <w:tc>
          <w:tcPr>
            <w:tcW w:w="6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1,363,155</w:t>
            </w:r>
          </w:p>
        </w:tc>
        <w:tc>
          <w:tcPr>
            <w:tcW w:w="2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13,645</w:t>
            </w:r>
          </w:p>
        </w:tc>
        <w:tc>
          <w:tcPr>
            <w:tcW w:w="200" w:type="dxa"/>
            <w:vAlign w:val="bottom"/>
            <w:vMerge w:val="continue"/>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vMerge w:val="continue"/>
          </w:tcPr>
          <w:p>
            <w:pPr>
              <w:spacing w:after="0"/>
              <w:rPr>
                <w:sz w:val="12"/>
                <w:szCs w:val="12"/>
                <w:color w:val="auto"/>
              </w:rPr>
            </w:pPr>
          </w:p>
        </w:tc>
        <w:tc>
          <w:tcPr>
            <w:tcW w:w="580" w:type="dxa"/>
            <w:vAlign w:val="bottom"/>
          </w:tcPr>
          <w:p>
            <w:pPr>
              <w:jc w:val="right"/>
              <w:ind w:right="428"/>
              <w:spacing w:after="0" w:line="142" w:lineRule="exact"/>
              <w:rPr>
                <w:sz w:val="20"/>
                <w:szCs w:val="20"/>
                <w:color w:val="auto"/>
              </w:rPr>
            </w:pPr>
            <w:r>
              <w:rPr>
                <w:rFonts w:ascii="Arial" w:cs="Arial" w:eastAsia="Arial" w:hAnsi="Arial"/>
                <w:sz w:val="14"/>
                <w:szCs w:val="14"/>
                <w:b w:val="1"/>
                <w:bCs w:val="1"/>
                <w:color w:val="auto"/>
                <w:w w:val="76"/>
              </w:rPr>
              <w:t>$</w:t>
            </w:r>
          </w:p>
        </w:tc>
        <w:tc>
          <w:tcPr>
            <w:tcW w:w="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12,059,997</w:t>
            </w:r>
          </w:p>
        </w:tc>
        <w:tc>
          <w:tcPr>
            <w:tcW w:w="200" w:type="dxa"/>
            <w:vAlign w:val="bottom"/>
            <w:vMerge w:val="continue"/>
          </w:tcPr>
          <w:p>
            <w:pPr>
              <w:spacing w:after="0"/>
              <w:rPr>
                <w:sz w:val="12"/>
                <w:szCs w:val="12"/>
                <w:color w:val="auto"/>
              </w:rPr>
            </w:pPr>
          </w:p>
        </w:tc>
        <w:tc>
          <w:tcPr>
            <w:tcW w:w="72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w:t>
            </w:r>
          </w:p>
        </w:tc>
        <w:tc>
          <w:tcPr>
            <w:tcW w:w="18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(2,624,192)</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1,777,699</w:t>
            </w:r>
          </w:p>
        </w:tc>
        <w:tc>
          <w:tcPr>
            <w:tcW w:w="100" w:type="dxa"/>
            <w:vAlign w:val="bottom"/>
            <w:vMerge w:val="continue"/>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11,227,149</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Exercise of warrants @ $15.00 per share</w:t>
            </w: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1,381,289</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13,813</w:t>
            </w:r>
          </w:p>
        </w:tc>
        <w:tc>
          <w:tcPr>
            <w:tcW w:w="80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w w:val="94"/>
              </w:rPr>
              <w:t>20,705,522</w:t>
            </w: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w w:val="91"/>
              </w:rPr>
              <w:t>20,719,335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20"/>
              <w:spacing w:after="0" w:line="149" w:lineRule="exact"/>
              <w:rPr>
                <w:sz w:val="20"/>
                <w:szCs w:val="20"/>
                <w:color w:val="auto"/>
              </w:rPr>
            </w:pPr>
            <w:r>
              <w:rPr>
                <w:rFonts w:ascii="Arial" w:cs="Arial" w:eastAsia="Arial" w:hAnsi="Arial"/>
                <w:sz w:val="14"/>
                <w:szCs w:val="14"/>
                <w:color w:val="auto"/>
              </w:rPr>
              <w:t>Exercise of stock options @ $10.00 per share</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2,500</w:t>
            </w: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24,975</w:t>
            </w:r>
          </w:p>
        </w:tc>
        <w:tc>
          <w:tcPr>
            <w:tcW w:w="72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rPr>
              <w:t>Common stock issued to purchase Insert</w:t>
            </w: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Therapeutics share @ $39.80 per share</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50,226</w:t>
            </w: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502</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1,999,498</w:t>
            </w: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20"/>
              <w:spacing w:after="0" w:line="149" w:lineRule="exact"/>
              <w:rPr>
                <w:sz w:val="20"/>
                <w:szCs w:val="20"/>
                <w:color w:val="auto"/>
              </w:rPr>
            </w:pPr>
            <w:r>
              <w:rPr>
                <w:rFonts w:ascii="Arial" w:cs="Arial" w:eastAsia="Arial" w:hAnsi="Arial"/>
                <w:sz w:val="14"/>
                <w:szCs w:val="14"/>
                <w:color w:val="auto"/>
              </w:rPr>
              <w:t>Common stock issued for services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49,988</w:t>
            </w:r>
          </w:p>
        </w:tc>
        <w:tc>
          <w:tcPr>
            <w:tcW w:w="72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508,513</w:t>
            </w: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508,513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ind w:left="120"/>
              <w:spacing w:after="0" w:line="149" w:lineRule="exact"/>
              <w:rPr>
                <w:sz w:val="20"/>
                <w:szCs w:val="20"/>
                <w:color w:val="auto"/>
              </w:rPr>
            </w:pPr>
            <w:r>
              <w:rPr>
                <w:rFonts w:ascii="Arial" w:cs="Arial" w:eastAsia="Arial" w:hAnsi="Arial"/>
                <w:sz w:val="14"/>
                <w:szCs w:val="14"/>
                <w:color w:val="auto"/>
              </w:rPr>
              <w:t>Change in percentage of ownership in subsidiary</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230,087</w:t>
            </w:r>
          </w:p>
        </w:tc>
        <w:tc>
          <w:tcPr>
            <w:tcW w:w="72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230,087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Net loss for the year ended September 30, 2005</w:t>
            </w: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4"/>
                <w:szCs w:val="14"/>
                <w:color w:val="auto"/>
              </w:rPr>
              <w:t>(6,854,918)</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121,491</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w w:val="97"/>
              </w:rPr>
              <w:t>(6,733,427)</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September 30, 2005</w:t>
            </w:r>
          </w:p>
        </w:tc>
        <w:tc>
          <w:tcPr>
            <w:tcW w:w="68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2,798,419</w:t>
            </w:r>
          </w:p>
        </w:tc>
        <w:tc>
          <w:tcPr>
            <w:tcW w:w="2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27,997</w:t>
            </w:r>
          </w:p>
        </w:tc>
        <w:tc>
          <w:tcPr>
            <w:tcW w:w="200" w:type="dxa"/>
            <w:vAlign w:val="bottom"/>
            <w:vMerge w:val="continue"/>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vMerge w:val="continue"/>
          </w:tcPr>
          <w:p>
            <w:pPr>
              <w:spacing w:after="0"/>
              <w:rPr>
                <w:sz w:val="12"/>
                <w:szCs w:val="12"/>
                <w:color w:val="auto"/>
              </w:rPr>
            </w:pPr>
          </w:p>
        </w:tc>
        <w:tc>
          <w:tcPr>
            <w:tcW w:w="580" w:type="dxa"/>
            <w:vAlign w:val="bottom"/>
          </w:tcPr>
          <w:p>
            <w:pPr>
              <w:jc w:val="right"/>
              <w:ind w:right="428"/>
              <w:spacing w:after="0" w:line="142" w:lineRule="exact"/>
              <w:rPr>
                <w:sz w:val="20"/>
                <w:szCs w:val="20"/>
                <w:color w:val="auto"/>
              </w:rPr>
            </w:pPr>
            <w:r>
              <w:rPr>
                <w:rFonts w:ascii="Arial" w:cs="Arial" w:eastAsia="Arial" w:hAnsi="Arial"/>
                <w:sz w:val="14"/>
                <w:szCs w:val="14"/>
                <w:b w:val="1"/>
                <w:bCs w:val="1"/>
                <w:color w:val="auto"/>
                <w:w w:val="76"/>
              </w:rPr>
              <w:t>$</w:t>
            </w:r>
          </w:p>
        </w:tc>
        <w:tc>
          <w:tcPr>
            <w:tcW w:w="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35,578,580</w:t>
            </w:r>
          </w:p>
        </w:tc>
        <w:tc>
          <w:tcPr>
            <w:tcW w:w="200" w:type="dxa"/>
            <w:vAlign w:val="bottom"/>
            <w:vMerge w:val="continue"/>
          </w:tcPr>
          <w:p>
            <w:pPr>
              <w:spacing w:after="0"/>
              <w:rPr>
                <w:sz w:val="12"/>
                <w:szCs w:val="12"/>
                <w:color w:val="auto"/>
              </w:rPr>
            </w:pPr>
          </w:p>
        </w:tc>
        <w:tc>
          <w:tcPr>
            <w:tcW w:w="72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w:t>
            </w:r>
          </w:p>
        </w:tc>
        <w:tc>
          <w:tcPr>
            <w:tcW w:w="180" w:type="dxa"/>
            <w:vAlign w:val="bottom"/>
            <w:vMerge w:val="continue"/>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(9,479,110)</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1,899,190</w:t>
            </w:r>
          </w:p>
        </w:tc>
        <w:tc>
          <w:tcPr>
            <w:tcW w:w="100" w:type="dxa"/>
            <w:vAlign w:val="bottom"/>
            <w:vMerge w:val="continue"/>
          </w:tcPr>
          <w:p>
            <w:pPr>
              <w:spacing w:after="0"/>
              <w:rPr>
                <w:sz w:val="12"/>
                <w:szCs w:val="12"/>
                <w:color w:val="auto"/>
              </w:rPr>
            </w:pPr>
          </w:p>
        </w:tc>
        <w:tc>
          <w:tcPr>
            <w:tcW w:w="1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28,026,657</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Exercise of stock options</w:t>
            </w:r>
          </w:p>
        </w:tc>
        <w:tc>
          <w:tcPr>
            <w:tcW w:w="8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11,579</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116</w:t>
            </w:r>
          </w:p>
        </w:tc>
        <w:tc>
          <w:tcPr>
            <w:tcW w:w="80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341,421</w:t>
            </w: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341,537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80" w:type="dxa"/>
            <w:vAlign w:val="bottom"/>
          </w:tcPr>
          <w:p>
            <w:pPr>
              <w:ind w:left="120"/>
              <w:spacing w:after="0"/>
              <w:rPr>
                <w:sz w:val="20"/>
                <w:szCs w:val="20"/>
                <w:color w:val="auto"/>
              </w:rPr>
            </w:pPr>
            <w:r>
              <w:rPr>
                <w:rFonts w:ascii="Arial" w:cs="Arial" w:eastAsia="Arial" w:hAnsi="Arial"/>
                <w:sz w:val="14"/>
                <w:szCs w:val="14"/>
                <w:color w:val="auto"/>
              </w:rPr>
              <w:t>Common stock issued @ $48.80 per share</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20,485</w:t>
            </w:r>
          </w:p>
        </w:tc>
        <w:tc>
          <w:tcPr>
            <w:tcW w:w="6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205</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999,795</w:t>
            </w:r>
          </w:p>
        </w:tc>
        <w:tc>
          <w:tcPr>
            <w:tcW w:w="7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Common stock issued @ $38.40 per share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1,500</w:t>
            </w: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57,585</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120"/>
              <w:spacing w:after="0" w:line="149" w:lineRule="exact"/>
              <w:rPr>
                <w:sz w:val="20"/>
                <w:szCs w:val="20"/>
                <w:color w:val="auto"/>
              </w:rPr>
            </w:pPr>
            <w:r>
              <w:rPr>
                <w:rFonts w:ascii="Arial" w:cs="Arial" w:eastAsia="Arial" w:hAnsi="Arial"/>
                <w:sz w:val="14"/>
                <w:szCs w:val="14"/>
                <w:color w:val="auto"/>
                <w:w w:val="96"/>
              </w:rPr>
              <w:t>Common stock and warrants issued @ $35.00 per unit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559,000</w:t>
            </w:r>
          </w:p>
        </w:tc>
        <w:tc>
          <w:tcPr>
            <w:tcW w:w="1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5,590</w:t>
            </w:r>
          </w:p>
        </w:tc>
        <w:tc>
          <w:tcPr>
            <w:tcW w:w="8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19,539,410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19,545,000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Common stock issued @ $59.10 per share</w:t>
            </w:r>
          </w:p>
        </w:tc>
        <w:tc>
          <w:tcPr>
            <w:tcW w:w="8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2,536</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25</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149,975</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tcPr>
          <w:p>
            <w:pPr>
              <w:ind w:left="120"/>
              <w:spacing w:after="0" w:line="130" w:lineRule="exact"/>
              <w:rPr>
                <w:sz w:val="20"/>
                <w:szCs w:val="20"/>
                <w:color w:val="auto"/>
              </w:rPr>
            </w:pPr>
            <w:r>
              <w:rPr>
                <w:rFonts w:ascii="Arial" w:cs="Arial" w:eastAsia="Arial" w:hAnsi="Arial"/>
                <w:sz w:val="14"/>
                <w:szCs w:val="14"/>
                <w:color w:val="auto"/>
              </w:rPr>
              <w:t>Common stock issued to purchase Calando</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Arial" w:cs="Arial" w:eastAsia="Arial" w:hAnsi="Arial"/>
                <w:sz w:val="14"/>
                <w:szCs w:val="14"/>
                <w:color w:val="auto"/>
              </w:rPr>
              <w:t>Pharmaceuticals, Inc. @ $51.70 per share</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20,838</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208</w:t>
            </w:r>
          </w:p>
        </w:tc>
        <w:tc>
          <w:tcPr>
            <w:tcW w:w="2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1,077,125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1,077,333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1,369,478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1,369,478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00" w:type="dxa"/>
            <w:vAlign w:val="bottom"/>
          </w:tcPr>
          <w:p>
            <w:pPr>
              <w:ind w:left="120"/>
              <w:spacing w:after="0"/>
              <w:rPr>
                <w:sz w:val="20"/>
                <w:szCs w:val="20"/>
                <w:color w:val="auto"/>
              </w:rPr>
            </w:pPr>
            <w:r>
              <w:rPr>
                <w:rFonts w:ascii="Arial" w:cs="Arial" w:eastAsia="Arial" w:hAnsi="Arial"/>
                <w:sz w:val="14"/>
                <w:szCs w:val="14"/>
                <w:color w:val="auto"/>
              </w:rPr>
              <w:t>Net loss for the year ended September 30, 2006</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(18,997,209)</w:t>
            </w:r>
          </w:p>
        </w:tc>
        <w:tc>
          <w:tcPr>
            <w:tcW w:w="1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(964,752)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5"/>
              </w:rPr>
              <w:t>(19,961,961)</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400" w:type="dxa"/>
            <w:vAlign w:val="bottom"/>
            <w:tcBorders>
              <w:bottom w:val="single" w:sz="8" w:color="CFF0FC"/>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0" w:type="dxa"/>
            <w:vAlign w:val="bottom"/>
            <w:tcBorders>
              <w:bottom w:val="single" w:sz="8" w:color="CFF0FC"/>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 w:type="dxa"/>
            <w:vAlign w:val="bottom"/>
            <w:tcBorders>
              <w:bottom w:val="single" w:sz="8" w:color="CFF0FC"/>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CFF0FC"/>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CFF0FC"/>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CFF0FC"/>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CFF0FC"/>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CFF0FC"/>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FF0FC"/>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Balance at September 30, 2006</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3,414,359</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34,156</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ind w:left="540"/>
              <w:spacing w:after="0"/>
              <w:rPr>
                <w:sz w:val="20"/>
                <w:szCs w:val="20"/>
                <w:color w:val="auto"/>
              </w:rPr>
            </w:pPr>
            <w:r>
              <w:rPr>
                <w:rFonts w:ascii="Arial" w:cs="Arial" w:eastAsia="Arial" w:hAnsi="Arial"/>
                <w:sz w:val="8"/>
                <w:szCs w:val="8"/>
                <w:b w:val="1"/>
                <w:bCs w:val="1"/>
                <w:color w:val="auto"/>
                <w:w w:val="73"/>
              </w:rPr>
              <w:t>-</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68"/>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59,113,369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85"/>
              </w:rPr>
              <w:t>$ (28,476,319)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934,438</w:t>
            </w: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99"/>
              </w:rPr>
              <w:t>31,605,644</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12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18,616</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186</w:t>
            </w:r>
          </w:p>
        </w:tc>
        <w:tc>
          <w:tcPr>
            <w:tcW w:w="220" w:type="dxa"/>
            <w:vAlign w:val="bottom"/>
          </w:tcPr>
          <w:p>
            <w:pPr>
              <w:spacing w:after="0"/>
              <w:rPr>
                <w:sz w:val="12"/>
                <w:szCs w:val="12"/>
                <w:color w:val="auto"/>
              </w:rPr>
            </w:pPr>
          </w:p>
        </w:tc>
        <w:tc>
          <w:tcPr>
            <w:tcW w:w="8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434,541</w:t>
            </w: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434,727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w w:val="96"/>
              </w:rPr>
              <w:t>Common stock and warrants issued @ $57.80 per unit</w:t>
            </w:r>
          </w:p>
        </w:tc>
        <w:tc>
          <w:tcPr>
            <w:tcW w:w="8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284,945</w:t>
            </w:r>
          </w:p>
        </w:tc>
        <w:tc>
          <w:tcPr>
            <w:tcW w:w="1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2,849</w:t>
            </w:r>
          </w:p>
        </w:tc>
        <w:tc>
          <w:tcPr>
            <w:tcW w:w="800" w:type="dxa"/>
            <w:vAlign w:val="bottom"/>
            <w:gridSpan w:val="2"/>
            <w:shd w:val="clear" w:color="auto" w:fill="CFF0FC"/>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15,149,366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w w:val="99"/>
              </w:rPr>
              <w:t>15,152,215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tcPr>
          <w:p>
            <w:pPr>
              <w:ind w:left="120"/>
              <w:spacing w:after="0" w:line="130" w:lineRule="exact"/>
              <w:rPr>
                <w:sz w:val="20"/>
                <w:szCs w:val="20"/>
                <w:color w:val="auto"/>
              </w:rPr>
            </w:pPr>
            <w:r>
              <w:rPr>
                <w:rFonts w:ascii="Arial" w:cs="Arial" w:eastAsia="Arial" w:hAnsi="Arial"/>
                <w:sz w:val="14"/>
                <w:szCs w:val="14"/>
                <w:color w:val="auto"/>
                <w:w w:val="99"/>
              </w:rPr>
              <w:t>Arrowhead's increase in proportionate share of Insert</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Arial" w:cs="Arial" w:eastAsia="Arial" w:hAnsi="Arial"/>
                <w:sz w:val="14"/>
                <w:szCs w:val="14"/>
                <w:color w:val="auto"/>
              </w:rPr>
              <w:t>Therapeutics' equity</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2,401,394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2,401,394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rPr>
              <w:t>Common stock issued for purchase of Carbon</w:t>
            </w: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Nanotechnologies, Inc. @ $37.70 per share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143,122</w:t>
            </w: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1,431</w:t>
            </w: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5,398,569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5,400,000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2,175,544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2,175,544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Net loss for the year ended September 30, 2007</w:t>
            </w:r>
          </w:p>
        </w:tc>
        <w:tc>
          <w:tcPr>
            <w:tcW w:w="8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(29,931,118)</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w w:val="96"/>
              </w:rPr>
              <w:t>(781,829)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w w:val="95"/>
              </w:rPr>
              <w:t>(30,712,947)</w:t>
            </w:r>
          </w:p>
        </w:tc>
        <w:tc>
          <w:tcPr>
            <w:tcW w:w="0" w:type="dxa"/>
            <w:vAlign w:val="bottom"/>
          </w:tcPr>
          <w:p>
            <w:pPr>
              <w:spacing w:after="0"/>
              <w:rPr>
                <w:sz w:val="1"/>
                <w:szCs w:val="1"/>
                <w:color w:val="auto"/>
              </w:rPr>
            </w:pPr>
          </w:p>
        </w:tc>
      </w:tr>
      <w:tr>
        <w:trPr>
          <w:trHeight w:val="81"/>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September 30, 2007</w:t>
            </w:r>
          </w:p>
        </w:tc>
        <w:tc>
          <w:tcPr>
            <w:tcW w:w="68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20" w:type="dxa"/>
            <w:vAlign w:val="bottom"/>
            <w:vMerge w:val="restart"/>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20" w:type="dxa"/>
            <w:vAlign w:val="bottom"/>
            <w:vMerge w:val="restart"/>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vMerge w:val="restart"/>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200" w:type="dxa"/>
            <w:vAlign w:val="bottom"/>
            <w:tcBorders>
              <w:bottom w:val="single" w:sz="8" w:color="auto"/>
            </w:tcBorders>
            <w:gridSpan w:val="2"/>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420" w:type="dxa"/>
            <w:vAlign w:val="bottom"/>
            <w:gridSpan w:val="2"/>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3,861,042</w:t>
            </w:r>
          </w:p>
        </w:tc>
        <w:tc>
          <w:tcPr>
            <w:tcW w:w="180" w:type="dxa"/>
            <w:vAlign w:val="bottom"/>
            <w:vMerge w:val="continue"/>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38,622</w:t>
            </w:r>
          </w:p>
        </w:tc>
        <w:tc>
          <w:tcPr>
            <w:tcW w:w="220" w:type="dxa"/>
            <w:vAlign w:val="bottom"/>
            <w:vMerge w:val="continue"/>
          </w:tcPr>
          <w:p>
            <w:pPr>
              <w:spacing w:after="0"/>
              <w:rPr>
                <w:sz w:val="12"/>
                <w:szCs w:val="12"/>
                <w:color w:val="auto"/>
              </w:rPr>
            </w:pPr>
          </w:p>
        </w:tc>
        <w:tc>
          <w:tcPr>
            <w:tcW w:w="580" w:type="dxa"/>
            <w:vAlign w:val="bottom"/>
          </w:tcPr>
          <w:p>
            <w:pPr>
              <w:ind w:left="540"/>
              <w:spacing w:after="0"/>
              <w:rPr>
                <w:sz w:val="20"/>
                <w:szCs w:val="20"/>
                <w:color w:val="auto"/>
              </w:rPr>
            </w:pPr>
            <w:r>
              <w:rPr>
                <w:rFonts w:ascii="Arial" w:cs="Arial" w:eastAsia="Arial" w:hAnsi="Arial"/>
                <w:sz w:val="8"/>
                <w:szCs w:val="8"/>
                <w:b w:val="1"/>
                <w:bCs w:val="1"/>
                <w:color w:val="auto"/>
                <w:w w:val="73"/>
              </w:rPr>
              <w:t>-</w:t>
            </w:r>
          </w:p>
        </w:tc>
        <w:tc>
          <w:tcPr>
            <w:tcW w:w="220" w:type="dxa"/>
            <w:vAlign w:val="bottom"/>
            <w:vMerge w:val="continue"/>
          </w:tcPr>
          <w:p>
            <w:pPr>
              <w:spacing w:after="0"/>
              <w:rPr>
                <w:sz w:val="12"/>
                <w:szCs w:val="12"/>
                <w:color w:val="auto"/>
              </w:rPr>
            </w:pPr>
          </w:p>
        </w:tc>
        <w:tc>
          <w:tcPr>
            <w:tcW w:w="3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84,672,783</w:t>
            </w:r>
          </w:p>
        </w:tc>
        <w:tc>
          <w:tcPr>
            <w:tcW w:w="20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 (58,407,437)</w:t>
            </w:r>
          </w:p>
        </w:tc>
        <w:tc>
          <w:tcPr>
            <w:tcW w:w="220" w:type="dxa"/>
            <w:vAlign w:val="bottom"/>
            <w:vMerge w:val="continue"/>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152,609</w:t>
            </w:r>
          </w:p>
        </w:tc>
        <w:tc>
          <w:tcPr>
            <w:tcW w:w="100" w:type="dxa"/>
            <w:vAlign w:val="bottom"/>
            <w:vMerge w:val="continue"/>
          </w:tcPr>
          <w:p>
            <w:pPr>
              <w:spacing w:after="0"/>
              <w:rPr>
                <w:sz w:val="12"/>
                <w:szCs w:val="12"/>
                <w:color w:val="auto"/>
              </w:rPr>
            </w:pPr>
          </w:p>
        </w:tc>
        <w:tc>
          <w:tcPr>
            <w:tcW w:w="2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26,456,577</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10,536</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106</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289,921</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290,027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tcPr>
          <w:p>
            <w:pPr>
              <w:ind w:left="120"/>
              <w:spacing w:after="0" w:line="130" w:lineRule="exact"/>
              <w:rPr>
                <w:sz w:val="20"/>
                <w:szCs w:val="20"/>
                <w:color w:val="auto"/>
              </w:rPr>
            </w:pPr>
            <w:r>
              <w:rPr>
                <w:rFonts w:ascii="Arial" w:cs="Arial" w:eastAsia="Arial" w:hAnsi="Arial"/>
                <w:sz w:val="14"/>
                <w:szCs w:val="14"/>
                <w:color w:val="auto"/>
                <w:w w:val="97"/>
              </w:rPr>
              <w:t>Common stock and warrrants issued at approximately</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Arial" w:cs="Arial" w:eastAsia="Arial" w:hAnsi="Arial"/>
                <w:sz w:val="14"/>
                <w:szCs w:val="14"/>
                <w:color w:val="auto"/>
              </w:rPr>
              <w:t>$18.00 per unit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386,399</w:t>
            </w:r>
          </w:p>
        </w:tc>
        <w:tc>
          <w:tcPr>
            <w:tcW w:w="1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3,867</w:t>
            </w:r>
          </w:p>
        </w:tc>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6,956,718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6,960,585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w w:val="92"/>
              </w:rPr>
              <w:t>Arrowhead's increase in proportionate share of Unidym's</w:t>
            </w: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equity</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1,720,962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1,720,962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tcPr>
          <w:p>
            <w:pPr>
              <w:ind w:left="120"/>
              <w:spacing w:after="0" w:line="130" w:lineRule="exact"/>
              <w:rPr>
                <w:sz w:val="20"/>
                <w:szCs w:val="20"/>
                <w:color w:val="auto"/>
              </w:rPr>
            </w:pPr>
            <w:r>
              <w:rPr>
                <w:rFonts w:ascii="Arial" w:cs="Arial" w:eastAsia="Arial" w:hAnsi="Arial"/>
                <w:sz w:val="14"/>
                <w:szCs w:val="14"/>
                <w:color w:val="auto"/>
              </w:rPr>
              <w:t>Common stock issued @ $27.20 per share to Rice</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Arial" w:cs="Arial" w:eastAsia="Arial" w:hAnsi="Arial"/>
                <w:sz w:val="14"/>
                <w:szCs w:val="14"/>
                <w:color w:val="auto"/>
              </w:rPr>
              <w:t>University</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5,000</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135,950</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136,000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w w:val="95"/>
              </w:rPr>
              <w:t>Common stock issued @ $28.30 per share to purchase</w:t>
            </w: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shares of Unidym, Inc.</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7,055</w:t>
            </w: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199,929</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tcPr>
          <w:p>
            <w:pPr>
              <w:ind w:left="120"/>
              <w:spacing w:after="0" w:line="130" w:lineRule="exact"/>
              <w:rPr>
                <w:sz w:val="20"/>
                <w:szCs w:val="20"/>
                <w:color w:val="auto"/>
              </w:rPr>
            </w:pPr>
            <w:r>
              <w:rPr>
                <w:rFonts w:ascii="Arial" w:cs="Arial" w:eastAsia="Arial" w:hAnsi="Arial"/>
                <w:sz w:val="14"/>
                <w:szCs w:val="14"/>
                <w:color w:val="auto"/>
                <w:w w:val="96"/>
              </w:rPr>
              <w:t>Common stock issued @ $29.50per share to purchase</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Arial" w:cs="Arial" w:eastAsia="Arial" w:hAnsi="Arial"/>
                <w:sz w:val="14"/>
                <w:szCs w:val="14"/>
                <w:color w:val="auto"/>
              </w:rPr>
              <w:t>MASA Energy, LLC</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10,505</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105</w:t>
            </w:r>
          </w:p>
        </w:tc>
        <w:tc>
          <w:tcPr>
            <w:tcW w:w="2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309,895</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310,000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w w:val="92"/>
              </w:rPr>
              <w:t>Common stock issued @ $21.90 per share to Unidym for</w:t>
            </w: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the acquisition of Nanoconduction</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11,416</w:t>
            </w: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114</w:t>
            </w: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249,886</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120"/>
              <w:spacing w:after="0" w:line="149" w:lineRule="exact"/>
              <w:rPr>
                <w:sz w:val="20"/>
                <w:szCs w:val="20"/>
                <w:color w:val="auto"/>
              </w:rPr>
            </w:pPr>
            <w:r>
              <w:rPr>
                <w:rFonts w:ascii="Arial" w:cs="Arial" w:eastAsia="Arial" w:hAnsi="Arial"/>
                <w:sz w:val="14"/>
                <w:szCs w:val="14"/>
                <w:color w:val="auto"/>
              </w:rPr>
              <w:t>Common stock issued @ $21.80 per share</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1,500</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8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32,685</w:t>
            </w: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3,187,397</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3,187,397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00" w:type="dxa"/>
            <w:vAlign w:val="bottom"/>
          </w:tcPr>
          <w:p>
            <w:pPr>
              <w:ind w:left="120"/>
              <w:spacing w:after="0"/>
              <w:rPr>
                <w:sz w:val="20"/>
                <w:szCs w:val="20"/>
                <w:color w:val="auto"/>
              </w:rPr>
            </w:pPr>
            <w:r>
              <w:rPr>
                <w:rFonts w:ascii="Arial" w:cs="Arial" w:eastAsia="Arial" w:hAnsi="Arial"/>
                <w:sz w:val="14"/>
                <w:szCs w:val="14"/>
                <w:color w:val="auto"/>
              </w:rPr>
              <w:t>Net loss for the year ended September 30, 2008</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(27,089,030)</w:t>
            </w:r>
          </w:p>
        </w:tc>
        <w:tc>
          <w:tcPr>
            <w:tcW w:w="1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(152,609)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5"/>
              </w:rPr>
              <w:t>(27,241,639)</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400" w:type="dxa"/>
            <w:vAlign w:val="bottom"/>
            <w:tcBorders>
              <w:bottom w:val="single" w:sz="8" w:color="CFF0FC"/>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0" w:type="dxa"/>
            <w:vAlign w:val="bottom"/>
            <w:tcBorders>
              <w:bottom w:val="single" w:sz="8" w:color="CFF0FC"/>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 w:type="dxa"/>
            <w:vAlign w:val="bottom"/>
            <w:tcBorders>
              <w:bottom w:val="single" w:sz="8" w:color="CFF0FC"/>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CFF0FC"/>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CFF0FC"/>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CFF0FC"/>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CFF0FC"/>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CFF0FC"/>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FF0FC"/>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Balance at September 30, 2008</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4,293,452</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42,950</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ind w:left="540"/>
              <w:spacing w:after="0"/>
              <w:rPr>
                <w:sz w:val="20"/>
                <w:szCs w:val="20"/>
                <w:color w:val="auto"/>
              </w:rPr>
            </w:pPr>
            <w:r>
              <w:rPr>
                <w:rFonts w:ascii="Arial" w:cs="Arial" w:eastAsia="Arial" w:hAnsi="Arial"/>
                <w:sz w:val="8"/>
                <w:szCs w:val="8"/>
                <w:b w:val="1"/>
                <w:bCs w:val="1"/>
                <w:color w:val="auto"/>
                <w:w w:val="73"/>
              </w:rPr>
              <w:t>-</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68"/>
              <w:spacing w:after="0" w:line="142" w:lineRule="exact"/>
              <w:rPr>
                <w:sz w:val="20"/>
                <w:szCs w:val="20"/>
                <w:color w:val="auto"/>
              </w:rPr>
            </w:pPr>
            <w:r>
              <w:rPr>
                <w:rFonts w:ascii="Arial" w:cs="Arial" w:eastAsia="Arial" w:hAnsi="Arial"/>
                <w:sz w:val="14"/>
                <w:szCs w:val="14"/>
                <w:b w:val="1"/>
                <w:bCs w:val="1"/>
                <w:color w:val="auto"/>
                <w:w w:val="76"/>
              </w:rPr>
              <w:t>$</w:t>
            </w:r>
          </w:p>
        </w:tc>
        <w:tc>
          <w:tcPr>
            <w:tcW w:w="2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97,756,126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85"/>
              </w:rPr>
              <w:t>$ (85,496,467)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99"/>
              </w:rPr>
              <w:t>12,302,609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tcPr>
          <w:p>
            <w:pPr>
              <w:ind w:left="120"/>
              <w:spacing w:after="0" w:line="130" w:lineRule="exact"/>
              <w:rPr>
                <w:sz w:val="20"/>
                <w:szCs w:val="20"/>
                <w:color w:val="auto"/>
              </w:rPr>
            </w:pPr>
            <w:r>
              <w:rPr>
                <w:rFonts w:ascii="Arial" w:cs="Arial" w:eastAsia="Arial" w:hAnsi="Arial"/>
                <w:sz w:val="14"/>
                <w:szCs w:val="14"/>
                <w:color w:val="auto"/>
                <w:w w:val="99"/>
              </w:rPr>
              <w:t>Common Stock issued @ $5.50 per share to Unidym</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Arial" w:cs="Arial" w:eastAsia="Arial" w:hAnsi="Arial"/>
                <w:sz w:val="14"/>
                <w:szCs w:val="14"/>
                <w:color w:val="auto"/>
              </w:rPr>
              <w:t>stockholder in exchange for Unidym's shares</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205,839</w:t>
            </w:r>
          </w:p>
        </w:tc>
        <w:tc>
          <w:tcPr>
            <w:tcW w:w="1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2,059</w:t>
            </w:r>
          </w:p>
        </w:tc>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1,131,617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1,133,676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rPr>
              <w:t>Common Stock issued @ $5.20 per share to TEL</w:t>
            </w: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Ventures in exchange for Unidym's shares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222,222</w:t>
            </w:r>
          </w:p>
        </w:tc>
        <w:tc>
          <w:tcPr>
            <w:tcW w:w="1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2,222</w:t>
            </w: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1,156,111</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1,158,333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tcPr>
          <w:p>
            <w:pPr>
              <w:ind w:left="120"/>
              <w:spacing w:after="0" w:line="130" w:lineRule="exact"/>
              <w:rPr>
                <w:sz w:val="20"/>
                <w:szCs w:val="20"/>
                <w:color w:val="auto"/>
              </w:rPr>
            </w:pPr>
            <w:r>
              <w:rPr>
                <w:rFonts w:ascii="Arial" w:cs="Arial" w:eastAsia="Arial" w:hAnsi="Arial"/>
                <w:sz w:val="14"/>
                <w:szCs w:val="14"/>
                <w:color w:val="auto"/>
                <w:w w:val="99"/>
              </w:rPr>
              <w:t>Reclassification of former Unidym mezzanine debt to</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Arial" w:cs="Arial" w:eastAsia="Arial" w:hAnsi="Arial"/>
                <w:sz w:val="14"/>
                <w:szCs w:val="14"/>
                <w:color w:val="auto"/>
              </w:rPr>
              <w:t>equity</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w w:val="91"/>
              </w:rPr>
              <w:t>Arrowhead's increase in proportionate share of Calando's</w:t>
            </w: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equity</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2,120,250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2,120,250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120"/>
              <w:spacing w:after="0" w:line="149" w:lineRule="exact"/>
              <w:rPr>
                <w:sz w:val="20"/>
                <w:szCs w:val="20"/>
                <w:color w:val="auto"/>
              </w:rPr>
            </w:pPr>
            <w:r>
              <w:rPr>
                <w:rFonts w:ascii="Arial" w:cs="Arial" w:eastAsia="Arial" w:hAnsi="Arial"/>
                <w:sz w:val="14"/>
                <w:szCs w:val="14"/>
                <w:color w:val="auto"/>
                <w:w w:val="98"/>
              </w:rPr>
              <w:t>Common stock and warrants issued @ $3.00 per unit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919,664</w:t>
            </w:r>
          </w:p>
        </w:tc>
        <w:tc>
          <w:tcPr>
            <w:tcW w:w="1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9,197</w:t>
            </w:r>
          </w:p>
        </w:tc>
        <w:tc>
          <w:tcPr>
            <w:tcW w:w="8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2,749,796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2,758,993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Change in percentage ownership in subsidiary</w:t>
            </w:r>
          </w:p>
        </w:tc>
        <w:tc>
          <w:tcPr>
            <w:tcW w:w="8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16,297</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16,297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2,676,170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2,676,170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w w:val="95"/>
              </w:rPr>
              <w:t>Issuance of Preferred Stock for Subscription in Unidym</w:t>
            </w:r>
          </w:p>
        </w:tc>
        <w:tc>
          <w:tcPr>
            <w:tcW w:w="8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300,000</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w w:val="96"/>
              </w:rPr>
              <w:t>(300,000)</w:t>
            </w:r>
          </w:p>
        </w:tc>
        <w:tc>
          <w:tcPr>
            <w:tcW w:w="1100" w:type="dxa"/>
            <w:vAlign w:val="bottom"/>
            <w:gridSpan w:val="3"/>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00" w:type="dxa"/>
            <w:vAlign w:val="bottom"/>
          </w:tcPr>
          <w:p>
            <w:pPr>
              <w:ind w:left="120"/>
              <w:spacing w:after="0" w:line="130" w:lineRule="exact"/>
              <w:rPr>
                <w:sz w:val="20"/>
                <w:szCs w:val="20"/>
                <w:color w:val="auto"/>
              </w:rPr>
            </w:pPr>
            <w:r>
              <w:rPr>
                <w:rFonts w:ascii="Arial" w:cs="Arial" w:eastAsia="Arial" w:hAnsi="Arial"/>
                <w:sz w:val="14"/>
                <w:szCs w:val="14"/>
                <w:color w:val="auto"/>
                <w:w w:val="95"/>
              </w:rPr>
              <w:t>Amortization of discount on Unidym Series D Preferred</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Arial" w:cs="Arial" w:eastAsia="Arial" w:hAnsi="Arial"/>
                <w:sz w:val="14"/>
                <w:szCs w:val="14"/>
                <w:color w:val="auto"/>
              </w:rPr>
              <w:t>Stock</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163,960</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(163,960)</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Net loss for the year ended September 30, 2009</w:t>
            </w:r>
          </w:p>
        </w:tc>
        <w:tc>
          <w:tcPr>
            <w:tcW w:w="8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5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(19,308,392)</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w w:val="95"/>
              </w:rPr>
              <w:t>(19,308,392)</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gridSpan w:val="5"/>
            <w:vMerge w:val="restart"/>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vMerge w:val="restart"/>
          </w:tcPr>
          <w:p>
            <w:pPr>
              <w:spacing w:after="0"/>
              <w:rPr>
                <w:sz w:val="9"/>
                <w:szCs w:val="9"/>
                <w:color w:val="auto"/>
              </w:rPr>
            </w:pPr>
          </w:p>
        </w:tc>
        <w:tc>
          <w:tcPr>
            <w:tcW w:w="1300" w:type="dxa"/>
            <w:vAlign w:val="bottom"/>
            <w:gridSpan w:val="3"/>
            <w:vMerge w:val="restart"/>
          </w:tcPr>
          <w:p>
            <w:pPr>
              <w:jc w:val="right"/>
              <w:ind w:right="23"/>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1"/>
              </w:rPr>
              <w:t>Subscription</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during the</w:t>
            </w:r>
          </w:p>
        </w:tc>
        <w:tc>
          <w:tcPr>
            <w:tcW w:w="10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00" w:type="dxa"/>
            <w:vAlign w:val="bottom"/>
            <w:tcBorders>
              <w:bottom w:val="single" w:sz="8" w:color="auto"/>
            </w:tcBorders>
            <w:gridSpan w:val="5"/>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30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Paid-</w:t>
            </w:r>
          </w:p>
        </w:tc>
        <w:tc>
          <w:tcPr>
            <w:tcW w:w="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0"/>
                <w:szCs w:val="10"/>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in Capital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7"/>
              </w:rPr>
              <w:t>Receivable</w:t>
            </w:r>
          </w:p>
        </w:tc>
        <w:tc>
          <w:tcPr>
            <w:tcW w:w="10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Development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0"/>
                <w:szCs w:val="10"/>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Stage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60" w:type="dxa"/>
            <w:vAlign w:val="bottom"/>
            <w:tcBorders>
              <w:bottom w:val="single" w:sz="8" w:color="CFF0FC"/>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CFF0FC"/>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Balance at September 30, 2009</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5,641,177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56,428</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363"/>
              <w:spacing w:after="0"/>
              <w:rPr>
                <w:sz w:val="20"/>
                <w:szCs w:val="20"/>
                <w:color w:val="auto"/>
              </w:rPr>
            </w:pPr>
            <w:r>
              <w:rPr>
                <w:rFonts w:ascii="Arial" w:cs="Arial" w:eastAsia="Arial" w:hAnsi="Arial"/>
                <w:sz w:val="10"/>
                <w:szCs w:val="10"/>
                <w:b w:val="1"/>
                <w:bCs w:val="1"/>
                <w:color w:val="auto"/>
                <w:w w:val="71"/>
              </w:rPr>
              <w:t>$</w:t>
            </w:r>
          </w:p>
        </w:tc>
        <w:tc>
          <w:tcPr>
            <w:tcW w:w="140" w:type="dxa"/>
            <w:vAlign w:val="bottom"/>
            <w:shd w:val="clear" w:color="auto" w:fill="CFF0FC"/>
          </w:tcPr>
          <w:p>
            <w:pPr>
              <w:ind w:left="100"/>
              <w:spacing w:after="0"/>
              <w:rPr>
                <w:sz w:val="20"/>
                <w:szCs w:val="20"/>
                <w:color w:val="auto"/>
              </w:rPr>
            </w:pPr>
            <w:r>
              <w:rPr>
                <w:rFonts w:ascii="Arial" w:cs="Arial" w:eastAsia="Arial" w:hAnsi="Arial"/>
                <w:sz w:val="8"/>
                <w:szCs w:val="8"/>
                <w:b w:val="1"/>
                <w:bCs w:val="1"/>
                <w:color w:val="auto"/>
                <w:w w:val="73"/>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91"/>
              </w:rPr>
              <w:t>$ 110,070,327</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90"/>
              </w:rPr>
              <w:t>(300,000.00)</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86"/>
              </w:rPr>
              <w:t>$ (104,968,819)</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4,857,936</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7,624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7,631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rPr>
              <w:t>Issuance of Preferred Stock for Subscription in</w:t>
            </w: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Unidym</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300,000</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ind w:left="120"/>
              <w:spacing w:after="0" w:line="130" w:lineRule="exact"/>
              <w:rPr>
                <w:sz w:val="20"/>
                <w:szCs w:val="20"/>
                <w:color w:val="auto"/>
              </w:rPr>
            </w:pPr>
            <w:r>
              <w:rPr>
                <w:rFonts w:ascii="Arial" w:cs="Arial" w:eastAsia="Arial" w:hAnsi="Arial"/>
                <w:sz w:val="14"/>
                <w:szCs w:val="14"/>
                <w:color w:val="auto"/>
                <w:w w:val="98"/>
              </w:rPr>
              <w:t>Issuance of Unidym's common stock to minority</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shareholders</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245,345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54,655</w:t>
            </w:r>
          </w:p>
        </w:tc>
        <w:tc>
          <w:tcPr>
            <w:tcW w:w="1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w w:val="96"/>
              </w:rPr>
              <w:t>Common stock and warrants issued @ $6.34 per</w:t>
            </w: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unit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508,343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5,083</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3,217,813</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3,222,896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ind w:left="120"/>
              <w:spacing w:after="0" w:line="130" w:lineRule="exact"/>
              <w:rPr>
                <w:sz w:val="20"/>
                <w:szCs w:val="20"/>
                <w:color w:val="auto"/>
              </w:rPr>
            </w:pPr>
            <w:r>
              <w:rPr>
                <w:rFonts w:ascii="Arial" w:cs="Arial" w:eastAsia="Arial" w:hAnsi="Arial"/>
                <w:sz w:val="14"/>
                <w:szCs w:val="14"/>
                <w:color w:val="auto"/>
                <w:w w:val="93"/>
              </w:rPr>
              <w:t>Common stock and warrants issued @ $13.12 per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unit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659,299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6,593</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7,861,985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7,868,578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Establish derivative liability</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(4,169,907)</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7"/>
              </w:rPr>
              <w:t>(4,169,907)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ind w:left="120"/>
              <w:spacing w:after="0" w:line="130" w:lineRule="exact"/>
              <w:rPr>
                <w:sz w:val="20"/>
                <w:szCs w:val="20"/>
                <w:color w:val="auto"/>
              </w:rPr>
            </w:pPr>
            <w:r>
              <w:rPr>
                <w:rFonts w:ascii="Arial" w:cs="Arial" w:eastAsia="Arial" w:hAnsi="Arial"/>
                <w:sz w:val="14"/>
                <w:szCs w:val="14"/>
                <w:color w:val="auto"/>
                <w:w w:val="94"/>
              </w:rPr>
              <w:t>Common Stock issued to Calando stockholders in</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exchange for Calando's shares</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122,000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1,220</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4"/>
                <w:szCs w:val="14"/>
                <w:color w:val="auto"/>
              </w:rPr>
              <w:t>(160,667)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159,447</w:t>
            </w:r>
          </w:p>
        </w:tc>
        <w:tc>
          <w:tcPr>
            <w:tcW w:w="1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w w:val="95"/>
              </w:rPr>
              <w:t>Common Stock issued to Unidym stockholders in</w:t>
            </w: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exchange for Unidym's shares</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15,318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(1,435)</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1,282</w:t>
            </w: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1,582,149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1,582,149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 of warrants</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225,189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2,250</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1,063,600</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200</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1,066,050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w w:val="97"/>
              </w:rPr>
              <w:t>Net loss for the year ended September 30, 2010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(5,774,048)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(1,182,990)</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7"/>
              </w:rPr>
              <w:t>(6,957,038)</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60" w:type="dxa"/>
            <w:vAlign w:val="bottom"/>
            <w:tcBorders>
              <w:bottom w:val="single" w:sz="8" w:color="CFF0FC"/>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CFF0FC"/>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Balance at September 30, 2010</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7,172,014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71,734</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363"/>
              <w:spacing w:after="0"/>
              <w:rPr>
                <w:sz w:val="20"/>
                <w:szCs w:val="20"/>
                <w:color w:val="auto"/>
              </w:rPr>
            </w:pPr>
            <w:r>
              <w:rPr>
                <w:rFonts w:ascii="Arial" w:cs="Arial" w:eastAsia="Arial" w:hAnsi="Arial"/>
                <w:sz w:val="10"/>
                <w:szCs w:val="10"/>
                <w:b w:val="1"/>
                <w:bCs w:val="1"/>
                <w:color w:val="auto"/>
                <w:w w:val="71"/>
              </w:rPr>
              <w:t>$</w:t>
            </w:r>
          </w:p>
        </w:tc>
        <w:tc>
          <w:tcPr>
            <w:tcW w:w="140" w:type="dxa"/>
            <w:vAlign w:val="bottom"/>
            <w:shd w:val="clear" w:color="auto" w:fill="CFF0FC"/>
          </w:tcPr>
          <w:p>
            <w:pPr>
              <w:ind w:left="100"/>
              <w:spacing w:after="0"/>
              <w:rPr>
                <w:sz w:val="20"/>
                <w:szCs w:val="20"/>
                <w:color w:val="auto"/>
              </w:rPr>
            </w:pPr>
            <w:r>
              <w:rPr>
                <w:rFonts w:ascii="Arial" w:cs="Arial" w:eastAsia="Arial" w:hAnsi="Arial"/>
                <w:sz w:val="8"/>
                <w:szCs w:val="8"/>
                <w:b w:val="1"/>
                <w:bCs w:val="1"/>
                <w:color w:val="auto"/>
                <w:w w:val="73"/>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91"/>
              </w:rPr>
              <w:t>$ 119,716,834</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86"/>
              </w:rPr>
              <w:t>$ (110,742,867)</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(967,406)</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8,078,295</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Exercise of warrants</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8,656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87</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43,192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 of stock options</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2,700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13,857</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Divestiture of Unidym</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254,275</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254,275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Issuance of preferred stock in subsidiary</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1,618,509</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1,618,509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w w:val="96"/>
              </w:rPr>
              <w:t>Change in percentage of ownership in subsidiary</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4"/>
                <w:szCs w:val="14"/>
                <w:color w:val="auto"/>
              </w:rPr>
              <w:t>(849,707)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849,707</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1,404,640</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1,404,640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Common stock issued @ $3.80 per share</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1,458,917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14,574</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4,629,110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4,643,684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Issuance of Common Stock for Subscription</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900,000</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(900,000)</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w w:val="97"/>
              </w:rPr>
              <w:t>Net loss for the year ended September 30, 2011</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(3,128,885)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(363,514)</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7"/>
              </w:rPr>
              <w:t>(3,492,399)</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60" w:type="dxa"/>
            <w:vAlign w:val="bottom"/>
            <w:tcBorders>
              <w:bottom w:val="single" w:sz="8" w:color="CFF0FC"/>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CFF0FC"/>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Balance at September 30, 2011</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8,642,286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86,422</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363"/>
              <w:spacing w:after="0"/>
              <w:rPr>
                <w:sz w:val="20"/>
                <w:szCs w:val="20"/>
                <w:color w:val="auto"/>
              </w:rPr>
            </w:pPr>
            <w:r>
              <w:rPr>
                <w:rFonts w:ascii="Arial" w:cs="Arial" w:eastAsia="Arial" w:hAnsi="Arial"/>
                <w:sz w:val="10"/>
                <w:szCs w:val="10"/>
                <w:b w:val="1"/>
                <w:bCs w:val="1"/>
                <w:color w:val="auto"/>
                <w:w w:val="71"/>
              </w:rPr>
              <w:t>$</w:t>
            </w:r>
          </w:p>
        </w:tc>
        <w:tc>
          <w:tcPr>
            <w:tcW w:w="140" w:type="dxa"/>
            <w:vAlign w:val="bottom"/>
            <w:shd w:val="clear" w:color="auto" w:fill="CFF0FC"/>
          </w:tcPr>
          <w:p>
            <w:pPr>
              <w:ind w:left="100"/>
              <w:spacing w:after="0"/>
              <w:rPr>
                <w:sz w:val="20"/>
                <w:szCs w:val="20"/>
                <w:color w:val="auto"/>
              </w:rPr>
            </w:pPr>
            <w:r>
              <w:rPr>
                <w:rFonts w:ascii="Arial" w:cs="Arial" w:eastAsia="Arial" w:hAnsi="Arial"/>
                <w:sz w:val="8"/>
                <w:szCs w:val="8"/>
                <w:b w:val="1"/>
                <w:bCs w:val="1"/>
                <w:color w:val="auto"/>
                <w:w w:val="73"/>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91"/>
              </w:rPr>
              <w:t>$ 127,476,436</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90"/>
              </w:rPr>
              <w:t>(900,000.00)</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86"/>
              </w:rPr>
              <w:t>$ (113,871,752)</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(226,938)</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91"/>
              </w:rPr>
              <w:t>12,564,167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Exercise of stock options</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4,583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23,788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23,833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1,241,404</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1,241,404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Common stock issued @ $3.80 per share</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138,158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1,382</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523,618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(100,000)</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Common stock issued @ $3.70 per share</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675,000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6,750</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2,241,000</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2,247,750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Common stock issued @ $4.00 per share</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1,000</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399,000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Common stock issued @ $6.23 per share</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83,211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499,918</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Common stock issued @ $5.11 per share</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97,831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98</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499,903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500,001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w w:val="96"/>
              </w:rPr>
              <w:t>Common stock and warrants issued @ $2.76 per</w:t>
            </w: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unit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2,260,869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2,261</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5,809,979</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(16,000)</w:t>
            </w: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5,796,240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ind w:left="120"/>
              <w:spacing w:after="0" w:line="130" w:lineRule="exact"/>
              <w:rPr>
                <w:sz w:val="20"/>
                <w:szCs w:val="20"/>
                <w:color w:val="auto"/>
              </w:rPr>
            </w:pPr>
            <w:r>
              <w:rPr>
                <w:rFonts w:ascii="Arial" w:cs="Arial" w:eastAsia="Arial" w:hAnsi="Arial"/>
                <w:sz w:val="14"/>
                <w:szCs w:val="14"/>
                <w:color w:val="auto"/>
                <w:w w:val="98"/>
              </w:rPr>
              <w:t>Common stock issued under Committed Capital</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Agreement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68,926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689</w:t>
            </w:r>
          </w:p>
        </w:tc>
        <w:tc>
          <w:tcPr>
            <w:tcW w:w="1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4"/>
                <w:szCs w:val="14"/>
                <w:color w:val="auto"/>
              </w:rPr>
              <w:t>(689)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Common stock issued in acquisitions</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1,217,159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9,332</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6,138,498</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6,147,830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w w:val="95"/>
              </w:rPr>
              <w:t>Fractional shares redeemed in reverse stock split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Preferred stock issued @ $1,000 per share</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1,015</w:t>
            </w:r>
          </w:p>
        </w:tc>
        <w:tc>
          <w:tcPr>
            <w:tcW w:w="4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1</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1,014,999</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1,015,000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Preferred stock converted to common stock</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275,782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276</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(1,015)</w:t>
            </w:r>
          </w:p>
        </w:tc>
        <w:tc>
          <w:tcPr>
            <w:tcW w:w="26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3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 of Calando stock options</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jc w:val="right"/>
              <w:ind w:right="139"/>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8,000</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Exercise of warrants</w:t>
            </w:r>
          </w:p>
        </w:tc>
        <w:tc>
          <w:tcPr>
            <w:tcW w:w="760" w:type="dxa"/>
            <w:vAlign w:val="bottom"/>
          </w:tcPr>
          <w:p>
            <w:pPr>
              <w:jc w:val="right"/>
              <w:spacing w:after="0"/>
              <w:rPr>
                <w:sz w:val="20"/>
                <w:szCs w:val="20"/>
                <w:color w:val="auto"/>
              </w:rPr>
            </w:pPr>
            <w:r>
              <w:rPr>
                <w:rFonts w:ascii="Arial" w:cs="Arial" w:eastAsia="Arial" w:hAnsi="Arial"/>
                <w:sz w:val="14"/>
                <w:szCs w:val="14"/>
                <w:color w:val="auto"/>
              </w:rPr>
              <w:t>15,511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16</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50,390</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3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50,406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w w:val="97"/>
              </w:rPr>
              <w:t>Net loss for the year ended September 30, 2012</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jc w:val="right"/>
              <w:ind w:right="99"/>
              <w:spacing w:after="0"/>
              <w:rPr>
                <w:sz w:val="20"/>
                <w:szCs w:val="20"/>
                <w:color w:val="auto"/>
              </w:rPr>
            </w:pPr>
            <w:r>
              <w:rPr>
                <w:rFonts w:ascii="Arial" w:cs="Arial" w:eastAsia="Arial" w:hAnsi="Arial"/>
                <w:sz w:val="14"/>
                <w:szCs w:val="14"/>
                <w:color w:val="auto"/>
              </w:rPr>
              <w:t>(21,125,928)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(984,795)</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w w:val="95"/>
              </w:rPr>
              <w:t>(22,110,723)</w:t>
            </w:r>
          </w:p>
        </w:tc>
        <w:tc>
          <w:tcPr>
            <w:tcW w:w="0" w:type="dxa"/>
            <w:vAlign w:val="bottom"/>
          </w:tcPr>
          <w:p>
            <w:pPr>
              <w:spacing w:after="0"/>
              <w:rPr>
                <w:sz w:val="1"/>
                <w:szCs w:val="1"/>
                <w:color w:val="auto"/>
              </w:rPr>
            </w:pPr>
          </w:p>
        </w:tc>
      </w:tr>
      <w:tr>
        <w:trPr>
          <w:trHeight w:val="81"/>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Septemeber 30, 2012</w:t>
            </w: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gridSpan w:val="2"/>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080" w:type="dxa"/>
            <w:vAlign w:val="bottom"/>
            <w:gridSpan w:val="2"/>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13,579,185</w:t>
            </w: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108,354</w:t>
            </w:r>
          </w:p>
        </w:tc>
        <w:tc>
          <w:tcPr>
            <w:tcW w:w="200" w:type="dxa"/>
            <w:vAlign w:val="bottom"/>
            <w:vMerge w:val="continue"/>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$ 145,917,968</w:t>
            </w:r>
          </w:p>
        </w:tc>
        <w:tc>
          <w:tcPr>
            <w:tcW w:w="180" w:type="dxa"/>
            <w:vAlign w:val="bottom"/>
            <w:vMerge w:val="continue"/>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(1,016,000.00)</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 (134,997,680)</w:t>
            </w:r>
          </w:p>
        </w:tc>
        <w:tc>
          <w:tcPr>
            <w:tcW w:w="18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 (1,203,733)</w:t>
            </w:r>
          </w:p>
        </w:tc>
        <w:tc>
          <w:tcPr>
            <w:tcW w:w="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8,808,909</w:t>
            </w:r>
          </w:p>
        </w:tc>
        <w:tc>
          <w:tcPr>
            <w:tcW w:w="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Exercise of warrants</w:t>
            </w: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1,182,451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1,183</w:t>
            </w:r>
          </w:p>
        </w:tc>
        <w:tc>
          <w:tcPr>
            <w:tcW w:w="6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2,053,416</w:t>
            </w: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
              <w:spacing w:after="0" w:line="149" w:lineRule="exact"/>
              <w:rPr>
                <w:sz w:val="20"/>
                <w:szCs w:val="20"/>
                <w:color w:val="auto"/>
              </w:rPr>
            </w:pPr>
            <w:r>
              <w:rPr>
                <w:rFonts w:ascii="Arial" w:cs="Arial" w:eastAsia="Arial" w:hAnsi="Arial"/>
                <w:sz w:val="14"/>
                <w:szCs w:val="14"/>
                <w:color w:val="auto"/>
              </w:rPr>
              <w:t>2,054,599</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20"/>
              <w:spacing w:after="0" w:line="149" w:lineRule="exact"/>
              <w:rPr>
                <w:sz w:val="20"/>
                <w:szCs w:val="20"/>
                <w:color w:val="auto"/>
              </w:rPr>
            </w:pPr>
            <w:r>
              <w:rPr>
                <w:rFonts w:ascii="Arial" w:cs="Arial" w:eastAsia="Arial" w:hAnsi="Arial"/>
                <w:sz w:val="14"/>
                <w:szCs w:val="14"/>
                <w:color w:val="auto"/>
              </w:rPr>
              <w:t>Exercise of stock options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2,578</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1,536,271</w:t>
            </w: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
              <w:spacing w:after="0" w:line="149" w:lineRule="exact"/>
              <w:rPr>
                <w:sz w:val="20"/>
                <w:szCs w:val="20"/>
                <w:color w:val="auto"/>
              </w:rPr>
            </w:pPr>
            <w:r>
              <w:rPr>
                <w:rFonts w:ascii="Arial" w:cs="Arial" w:eastAsia="Arial" w:hAnsi="Arial"/>
                <w:sz w:val="14"/>
                <w:szCs w:val="14"/>
                <w:color w:val="auto"/>
              </w:rPr>
              <w:t>1,536,271</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20"/>
              <w:spacing w:after="0" w:line="149" w:lineRule="exact"/>
              <w:rPr>
                <w:sz w:val="20"/>
                <w:szCs w:val="20"/>
                <w:color w:val="auto"/>
              </w:rPr>
            </w:pPr>
            <w:r>
              <w:rPr>
                <w:rFonts w:ascii="Arial" w:cs="Arial" w:eastAsia="Arial" w:hAnsi="Arial"/>
                <w:sz w:val="14"/>
                <w:szCs w:val="14"/>
                <w:color w:val="auto"/>
              </w:rPr>
              <w:t>Subscription payment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16,000</w:t>
            </w:r>
          </w:p>
        </w:tc>
        <w:tc>
          <w:tcPr>
            <w:tcW w:w="1140" w:type="dxa"/>
            <w:vAlign w:val="bottom"/>
            <w:gridSpan w:val="3"/>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Subscription reversal</w:t>
            </w:r>
          </w:p>
        </w:tc>
        <w:tc>
          <w:tcPr>
            <w:tcW w:w="86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(267,444)</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(2,674)</w:t>
            </w:r>
          </w:p>
        </w:tc>
        <w:tc>
          <w:tcPr>
            <w:tcW w:w="6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(997,326)</w:t>
            </w: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1,000,000</w:t>
            </w:r>
          </w:p>
        </w:tc>
        <w:tc>
          <w:tcPr>
            <w:tcW w:w="1140" w:type="dxa"/>
            <w:vAlign w:val="bottom"/>
            <w:gridSpan w:val="3"/>
            <w:shd w:val="clear" w:color="auto" w:fill="CFF0FC"/>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20"/>
              <w:spacing w:after="0" w:line="149" w:lineRule="exact"/>
              <w:rPr>
                <w:sz w:val="20"/>
                <w:szCs w:val="20"/>
                <w:color w:val="auto"/>
              </w:rPr>
            </w:pPr>
            <w:r>
              <w:rPr>
                <w:rFonts w:ascii="Arial" w:cs="Arial" w:eastAsia="Arial" w:hAnsi="Arial"/>
                <w:sz w:val="14"/>
                <w:szCs w:val="14"/>
                <w:color w:val="auto"/>
                <w:w w:val="91"/>
              </w:rPr>
              <w:t>Common stock issued @ $4.49 per share to Roche</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239,894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985,809</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986,049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w w:val="96"/>
              </w:rPr>
              <w:t>Common stock and warrants issued @ $2.26 per</w:t>
            </w: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unit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1,825,079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1,825</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3,814,643</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jc w:val="right"/>
              <w:ind w:right="139"/>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3,816,468</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ind w:left="120"/>
              <w:spacing w:after="0" w:line="130" w:lineRule="exact"/>
              <w:rPr>
                <w:sz w:val="20"/>
                <w:szCs w:val="20"/>
                <w:color w:val="auto"/>
              </w:rPr>
            </w:pPr>
            <w:r>
              <w:rPr>
                <w:rFonts w:ascii="Arial" w:cs="Arial" w:eastAsia="Arial" w:hAnsi="Arial"/>
                <w:sz w:val="14"/>
                <w:szCs w:val="14"/>
                <w:color w:val="auto"/>
                <w:w w:val="96"/>
              </w:rPr>
              <w:t>Common stock and warrants issued @ $2.12 per</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unit</w:t>
            </w:r>
          </w:p>
        </w:tc>
        <w:tc>
          <w:tcPr>
            <w:tcW w:w="760" w:type="dxa"/>
            <w:vAlign w:val="bottom"/>
          </w:tcPr>
          <w:p>
            <w:pPr>
              <w:jc w:val="right"/>
              <w:spacing w:after="0"/>
              <w:rPr>
                <w:sz w:val="20"/>
                <w:szCs w:val="20"/>
                <w:color w:val="auto"/>
              </w:rPr>
            </w:pPr>
            <w:r>
              <w:rPr>
                <w:rFonts w:ascii="Arial" w:cs="Arial" w:eastAsia="Arial" w:hAnsi="Arial"/>
                <w:sz w:val="14"/>
                <w:szCs w:val="14"/>
                <w:color w:val="auto"/>
              </w:rPr>
              <w:t>1,667,051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1,667</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3,255,192</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3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3,256,859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w w:val="96"/>
              </w:rPr>
              <w:t>Common stock and warrants issued @ $1.83 per</w:t>
            </w: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unit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14,262,553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14,263</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25,445,236</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jc w:val="right"/>
              <w:ind w:right="139"/>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w w:val="99"/>
              </w:rPr>
              <w:t>25,459,499</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ind w:left="120"/>
              <w:spacing w:after="0" w:line="130" w:lineRule="exact"/>
              <w:rPr>
                <w:sz w:val="20"/>
                <w:szCs w:val="20"/>
                <w:color w:val="auto"/>
              </w:rPr>
            </w:pPr>
            <w:r>
              <w:rPr>
                <w:rFonts w:ascii="Arial" w:cs="Arial" w:eastAsia="Arial" w:hAnsi="Arial"/>
                <w:sz w:val="14"/>
                <w:szCs w:val="14"/>
                <w:color w:val="auto"/>
              </w:rPr>
              <w:t>Establish and settlements related to derivative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rPr>
              <w:t>liability</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1,600,989</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3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1,600,989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Preferred stock issued @ 1,000 per share</w:t>
            </w: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9,900</w:t>
            </w:r>
          </w:p>
        </w:tc>
        <w:tc>
          <w:tcPr>
            <w:tcW w:w="2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080" w:type="dxa"/>
            <w:vAlign w:val="bottom"/>
            <w:gridSpan w:val="3"/>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9,899,990</w:t>
            </w: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
              <w:spacing w:after="0" w:line="149" w:lineRule="exact"/>
              <w:rPr>
                <w:sz w:val="20"/>
                <w:szCs w:val="20"/>
                <w:color w:val="auto"/>
              </w:rPr>
            </w:pPr>
            <w:r>
              <w:rPr>
                <w:rFonts w:ascii="Arial" w:cs="Arial" w:eastAsia="Arial" w:hAnsi="Arial"/>
                <w:sz w:val="14"/>
                <w:szCs w:val="14"/>
                <w:color w:val="auto"/>
              </w:rPr>
              <w:t>9,900,000</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60" w:type="dxa"/>
            <w:vAlign w:val="bottom"/>
          </w:tcPr>
          <w:p>
            <w:pPr>
              <w:ind w:left="120"/>
              <w:spacing w:after="0"/>
              <w:rPr>
                <w:sz w:val="20"/>
                <w:szCs w:val="20"/>
                <w:color w:val="auto"/>
              </w:rPr>
            </w:pPr>
            <w:r>
              <w:rPr>
                <w:rFonts w:ascii="Arial" w:cs="Arial" w:eastAsia="Arial" w:hAnsi="Arial"/>
                <w:sz w:val="14"/>
                <w:szCs w:val="14"/>
                <w:color w:val="auto"/>
                <w:w w:val="97"/>
              </w:rPr>
              <w:t>Net loss for the year ended September 30, 2013</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99"/>
              <w:spacing w:after="0"/>
              <w:rPr>
                <w:sz w:val="20"/>
                <w:szCs w:val="20"/>
                <w:color w:val="auto"/>
              </w:rPr>
            </w:pPr>
            <w:r>
              <w:rPr>
                <w:rFonts w:ascii="Arial" w:cs="Arial" w:eastAsia="Arial" w:hAnsi="Arial"/>
                <w:sz w:val="14"/>
                <w:szCs w:val="14"/>
                <w:color w:val="auto"/>
              </w:rPr>
              <w:t>(31,143,289)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(560,144)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w w:val="95"/>
              </w:rPr>
              <w:t>(31,703,433)</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060" w:type="dxa"/>
            <w:vAlign w:val="bottom"/>
            <w:tcBorders>
              <w:bottom w:val="single" w:sz="8" w:color="CFF0FC"/>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CFF0FC"/>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0" w:type="dxa"/>
            <w:vAlign w:val="bottom"/>
            <w:tcBorders>
              <w:bottom w:val="single" w:sz="8" w:color="CFF0FC"/>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60" w:type="dxa"/>
            <w:vAlign w:val="bottom"/>
            <w:tcBorders>
              <w:bottom w:val="single" w:sz="8" w:color="CFF0FC"/>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CFF0FC"/>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CFF0FC"/>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CFF0FC"/>
            </w:tcBorders>
          </w:tcPr>
          <w:p>
            <w:pPr>
              <w:spacing w:after="0"/>
              <w:rPr>
                <w:sz w:val="4"/>
                <w:szCs w:val="4"/>
                <w:color w:val="auto"/>
              </w:rPr>
            </w:pPr>
          </w:p>
        </w:tc>
        <w:tc>
          <w:tcPr>
            <w:tcW w:w="40" w:type="dxa"/>
            <w:vAlign w:val="bottom"/>
            <w:tcBorders>
              <w:bottom w:val="single" w:sz="8" w:color="CFF0FC"/>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Balance at September 30, 2013</w:t>
            </w: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32,489,444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98"/>
              </w:rPr>
              <w:t>124,859</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9,900</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10</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91"/>
              </w:rPr>
              <w:t>$ 193,514,766</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86"/>
              </w:rPr>
              <w:t>$ (166,140,969)</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86"/>
              </w:rPr>
              <w:t>$ (1,763,877)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w w:val="99"/>
              </w:rPr>
              <w:t>25,734,789</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20"/>
              <w:spacing w:after="0" w:line="149" w:lineRule="exact"/>
              <w:rPr>
                <w:sz w:val="20"/>
                <w:szCs w:val="20"/>
                <w:color w:val="auto"/>
              </w:rPr>
            </w:pPr>
            <w:r>
              <w:rPr>
                <w:rFonts w:ascii="Arial" w:cs="Arial" w:eastAsia="Arial" w:hAnsi="Arial"/>
                <w:sz w:val="14"/>
                <w:szCs w:val="14"/>
                <w:color w:val="auto"/>
              </w:rPr>
              <w:t>Exercise of warrants</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848,961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849</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2,433,714</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2,434,563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73,496</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73</w:t>
            </w:r>
          </w:p>
        </w:tc>
        <w:tc>
          <w:tcPr>
            <w:tcW w:w="6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326,844</w:t>
            </w: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
              <w:spacing w:after="0" w:line="149" w:lineRule="exact"/>
              <w:rPr>
                <w:sz w:val="20"/>
                <w:szCs w:val="20"/>
                <w:color w:val="auto"/>
              </w:rPr>
            </w:pPr>
            <w:r>
              <w:rPr>
                <w:rFonts w:ascii="Arial" w:cs="Arial" w:eastAsia="Arial" w:hAnsi="Arial"/>
                <w:sz w:val="14"/>
                <w:szCs w:val="14"/>
                <w:color w:val="auto"/>
              </w:rPr>
              <w:t>326,917</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521,138</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521,138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Common stock issued @ $5.86</w:t>
            </w: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3,071,672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0"/>
              <w:spacing w:after="0" w:line="149" w:lineRule="exact"/>
              <w:rPr>
                <w:sz w:val="20"/>
                <w:szCs w:val="20"/>
                <w:color w:val="auto"/>
              </w:rPr>
            </w:pPr>
            <w:r>
              <w:rPr>
                <w:rFonts w:ascii="Arial" w:cs="Arial" w:eastAsia="Arial" w:hAnsi="Arial"/>
                <w:sz w:val="14"/>
                <w:szCs w:val="14"/>
                <w:color w:val="auto"/>
              </w:rPr>
              <w:t>3,072</w:t>
            </w:r>
          </w:p>
        </w:tc>
        <w:tc>
          <w:tcPr>
            <w:tcW w:w="6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14,057,040</w:t>
            </w: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w w:val="99"/>
              </w:rPr>
              <w:t>14,060,112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20"/>
              <w:spacing w:after="0" w:line="149" w:lineRule="exact"/>
              <w:rPr>
                <w:sz w:val="20"/>
                <w:szCs w:val="20"/>
                <w:color w:val="auto"/>
              </w:rPr>
            </w:pPr>
            <w:r>
              <w:rPr>
                <w:rFonts w:ascii="Arial" w:cs="Arial" w:eastAsia="Arial" w:hAnsi="Arial"/>
                <w:sz w:val="14"/>
                <w:szCs w:val="14"/>
                <w:color w:val="auto"/>
              </w:rPr>
              <w:t>Preferred stock issued @ $1,000 per share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46,000</w:t>
            </w:r>
          </w:p>
        </w:tc>
        <w:tc>
          <w:tcPr>
            <w:tcW w:w="26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45,999,954</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46,000,000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rPr>
              <w:t>Establish and settlements related to derivative</w:t>
            </w: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liability</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2,518,500</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jc w:val="right"/>
              <w:ind w:right="139"/>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2,518,500</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120"/>
              <w:spacing w:after="0" w:line="149" w:lineRule="exact"/>
              <w:rPr>
                <w:sz w:val="20"/>
                <w:szCs w:val="20"/>
                <w:color w:val="auto"/>
              </w:rPr>
            </w:pPr>
            <w:r>
              <w:rPr>
                <w:rFonts w:ascii="Arial" w:cs="Arial" w:eastAsia="Arial" w:hAnsi="Arial"/>
                <w:sz w:val="14"/>
                <w:szCs w:val="14"/>
                <w:color w:val="auto"/>
              </w:rPr>
              <w:t>Preferred stock converted to common stock</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2,518,579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2,519</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(4,609)</w:t>
            </w:r>
          </w:p>
        </w:tc>
        <w:tc>
          <w:tcPr>
            <w:tcW w:w="26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(2,514)</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FF0FC"/>
          </w:tcPr>
          <w:p>
            <w:pPr>
              <w:ind w:left="120"/>
              <w:spacing w:after="0" w:line="130" w:lineRule="exact"/>
              <w:rPr>
                <w:sz w:val="20"/>
                <w:szCs w:val="20"/>
                <w:color w:val="auto"/>
              </w:rPr>
            </w:pPr>
            <w:r>
              <w:rPr>
                <w:rFonts w:ascii="Arial" w:cs="Arial" w:eastAsia="Arial" w:hAnsi="Arial"/>
                <w:sz w:val="14"/>
                <w:szCs w:val="14"/>
                <w:color w:val="auto"/>
                <w:w w:val="92"/>
              </w:rPr>
              <w:t>Net loss for the three months ended December 31,</w:t>
            </w: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2013</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jc w:val="right"/>
              <w:ind w:right="99"/>
              <w:spacing w:after="0"/>
              <w:rPr>
                <w:sz w:val="20"/>
                <w:szCs w:val="20"/>
                <w:color w:val="auto"/>
              </w:rPr>
            </w:pPr>
            <w:r>
              <w:rPr>
                <w:rFonts w:ascii="Arial" w:cs="Arial" w:eastAsia="Arial" w:hAnsi="Arial"/>
                <w:sz w:val="14"/>
                <w:szCs w:val="14"/>
                <w:color w:val="auto"/>
              </w:rPr>
              <w:t>(10,628,312)</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(57,420)</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w w:val="95"/>
              </w:rPr>
              <w:t>(10,685,732)</w:t>
            </w:r>
          </w:p>
        </w:tc>
        <w:tc>
          <w:tcPr>
            <w:tcW w:w="0" w:type="dxa"/>
            <w:vAlign w:val="bottom"/>
          </w:tcPr>
          <w:p>
            <w:pPr>
              <w:spacing w:after="0"/>
              <w:rPr>
                <w:sz w:val="1"/>
                <w:szCs w:val="1"/>
                <w:color w:val="auto"/>
              </w:rPr>
            </w:pPr>
          </w:p>
        </w:tc>
      </w:tr>
      <w:tr>
        <w:trPr>
          <w:trHeight w:val="81"/>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2013</w:t>
            </w: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80" w:type="dxa"/>
            <w:vAlign w:val="bottom"/>
            <w:vMerge w:val="restart"/>
          </w:tcPr>
          <w:p>
            <w:pPr>
              <w:jc w:val="right"/>
              <w:ind w:right="99"/>
              <w:spacing w:after="0"/>
              <w:rPr>
                <w:sz w:val="20"/>
                <w:szCs w:val="20"/>
                <w:color w:val="auto"/>
              </w:rPr>
            </w:pPr>
            <w:r>
              <w:rPr>
                <w:rFonts w:ascii="Arial" w:cs="Arial" w:eastAsia="Arial" w:hAnsi="Arial"/>
                <w:sz w:val="8"/>
                <w:szCs w:val="8"/>
                <w:b w:val="1"/>
                <w:bCs w:val="1"/>
                <w:color w:val="auto"/>
                <w:w w:val="73"/>
              </w:rPr>
              <w:t>)</w:t>
            </w:r>
          </w:p>
        </w:tc>
        <w:tc>
          <w:tcPr>
            <w:tcW w:w="740" w:type="dxa"/>
            <w:vAlign w:val="bottom"/>
            <w:tcBorders>
              <w:bottom w:val="single" w:sz="8" w:color="auto"/>
            </w:tcBorders>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w:t>
            </w: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gridSpan w:val="2"/>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080" w:type="dxa"/>
            <w:vAlign w:val="bottom"/>
            <w:gridSpan w:val="2"/>
            <w:vMerge w:val="continue"/>
          </w:tcPr>
          <w:p>
            <w:pPr>
              <w:spacing w:after="0"/>
              <w:rPr>
                <w:sz w:val="15"/>
                <w:szCs w:val="15"/>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39,002,152</w:t>
            </w:r>
          </w:p>
        </w:tc>
        <w:tc>
          <w:tcPr>
            <w:tcW w:w="10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131,372</w:t>
            </w:r>
          </w:p>
        </w:tc>
        <w:tc>
          <w:tcPr>
            <w:tcW w:w="200" w:type="dxa"/>
            <w:vAlign w:val="bottom"/>
            <w:vMerge w:val="continue"/>
          </w:tcPr>
          <w:p>
            <w:pPr>
              <w:spacing w:after="0"/>
              <w:rPr>
                <w:sz w:val="15"/>
                <w:szCs w:val="15"/>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51,291</w:t>
            </w:r>
          </w:p>
        </w:tc>
        <w:tc>
          <w:tcPr>
            <w:tcW w:w="18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51</w:t>
            </w:r>
          </w:p>
        </w:tc>
        <w:tc>
          <w:tcPr>
            <w:tcW w:w="1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$ 259,369,442</w:t>
            </w:r>
          </w:p>
        </w:tc>
        <w:tc>
          <w:tcPr>
            <w:tcW w:w="18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(176,769,281</w:t>
            </w:r>
          </w:p>
        </w:tc>
        <w:tc>
          <w:tcPr>
            <w:tcW w:w="180" w:type="dxa"/>
            <w:vAlign w:val="bottom"/>
            <w:vMerge w:val="continue"/>
          </w:tcPr>
          <w:p>
            <w:pPr>
              <w:spacing w:after="0"/>
              <w:rPr>
                <w:sz w:val="15"/>
                <w:szCs w:val="15"/>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(1,821,297</w:t>
            </w: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80,910,287</w:t>
            </w:r>
          </w:p>
        </w:tc>
        <w:tc>
          <w:tcPr>
            <w:tcW w:w="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88"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May 7, 2003 (Date of</w:t>
            </w: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 2013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 2012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56"/>
        </w:trPr>
        <w:tc>
          <w:tcPr>
            <w:tcW w:w="5880" w:type="dxa"/>
            <w:vAlign w:val="bottom"/>
            <w:tcBorders>
              <w:top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CASH FLOWS FROM OPERATING ACTIVITIES OF CONTINUING OPERATIONS:</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Net loss</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(10,685,732)</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(4,780,727)</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(196,042,170)</w:t>
            </w: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Net (income) loss attributable to nonconrolling interests</w:t>
            </w: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57,420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166,568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19,436,849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80" w:type="dxa"/>
            <w:vAlign w:val="bottom"/>
          </w:tcPr>
          <w:p>
            <w:pPr>
              <w:ind w:left="360"/>
              <w:spacing w:after="0" w:line="155" w:lineRule="exact"/>
              <w:rPr>
                <w:sz w:val="20"/>
                <w:szCs w:val="20"/>
                <w:color w:val="auto"/>
              </w:rPr>
            </w:pPr>
            <w:r>
              <w:rPr>
                <w:rFonts w:ascii="Arial" w:cs="Arial" w:eastAsia="Arial" w:hAnsi="Arial"/>
                <w:sz w:val="14"/>
                <w:szCs w:val="14"/>
                <w:color w:val="auto"/>
              </w:rPr>
              <w:t>Net income (loss) attributable to Arrowhead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spacing w:after="0" w:line="155" w:lineRule="exact"/>
              <w:rPr>
                <w:sz w:val="20"/>
                <w:szCs w:val="20"/>
                <w:color w:val="auto"/>
              </w:rPr>
            </w:pPr>
            <w:r>
              <w:rPr>
                <w:rFonts w:ascii="Arial" w:cs="Arial" w:eastAsia="Arial" w:hAnsi="Arial"/>
                <w:sz w:val="14"/>
                <w:szCs w:val="14"/>
                <w:color w:val="auto"/>
              </w:rPr>
              <w:t>(10,628,312)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(4,614,159)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(176,605,321)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(Income) loss from discontinued operations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42,838,408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Realized and unrealized (gain) loss on investments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(762,954)</w:t>
            </w: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Charge for bad debt allowance</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2,497,300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(Gain) loss from sale of subsidiary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(306,344)</w:t>
            </w: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(Gain) loss on purchase of Roche Madison</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(1,576,107)</w:t>
            </w: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(Gain) loss on disposal of fixed assets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53,562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(18,493)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1,336,415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Stock issued for professional services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741,632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Change in value of derivatives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3,519,579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(44,275)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5,538,564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Contingent consideration - fair value adjustments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1,421,652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Purchased in-process research and development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15,851,555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521,138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395,675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15,638,877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403,405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449,597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9,564,103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Amortization (accretion) of note discounts, net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28,443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158,301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Gain on sale of stock in subsidiary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(2,292,800)</w:t>
            </w: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Noncash impairment expense</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3,958,496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Equity in income (loss) of unconsolidated affiliates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63,557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963,407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(57,420)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(166,568)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(19,436,849)</w:t>
            </w: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600"/>
              <w:spacing w:after="0"/>
              <w:rPr>
                <w:sz w:val="20"/>
                <w:szCs w:val="20"/>
                <w:color w:val="auto"/>
              </w:rPr>
            </w:pPr>
            <w:r>
              <w:rPr>
                <w:rFonts w:ascii="Arial" w:cs="Arial" w:eastAsia="Arial" w:hAnsi="Arial"/>
                <w:sz w:val="14"/>
                <w:szCs w:val="14"/>
                <w:color w:val="auto"/>
              </w:rPr>
              <w:t>Receivables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(105,891)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600"/>
              <w:spacing w:after="0"/>
              <w:rPr>
                <w:sz w:val="20"/>
                <w:szCs w:val="20"/>
                <w:color w:val="auto"/>
              </w:rPr>
            </w:pPr>
            <w:r>
              <w:rPr>
                <w:rFonts w:ascii="Arial" w:cs="Arial" w:eastAsia="Arial" w:hAnsi="Arial"/>
                <w:sz w:val="14"/>
                <w:szCs w:val="14"/>
                <w:color w:val="auto"/>
              </w:rPr>
              <w:t>Other receivables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(11,825)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(2,553,887)</w:t>
            </w: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600"/>
              <w:spacing w:after="0"/>
              <w:rPr>
                <w:sz w:val="20"/>
                <w:szCs w:val="20"/>
                <w:color w:val="auto"/>
              </w:rPr>
            </w:pPr>
            <w:r>
              <w:rPr>
                <w:rFonts w:ascii="Arial" w:cs="Arial" w:eastAsia="Arial" w:hAnsi="Arial"/>
                <w:sz w:val="14"/>
                <w:szCs w:val="14"/>
                <w:color w:val="auto"/>
              </w:rPr>
              <w:t>Prepaid expenses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(74,455)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157,208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(510,841)</w:t>
            </w:r>
          </w:p>
        </w:tc>
        <w:tc>
          <w:tcPr>
            <w:tcW w:w="0" w:type="dxa"/>
            <w:vAlign w:val="bottom"/>
          </w:tcPr>
          <w:p>
            <w:pPr>
              <w:spacing w:after="0"/>
              <w:rPr>
                <w:sz w:val="1"/>
                <w:szCs w:val="1"/>
                <w:color w:val="auto"/>
              </w:rPr>
            </w:pPr>
          </w:p>
        </w:tc>
      </w:tr>
      <w:tr>
        <w:trPr>
          <w:trHeight w:val="162"/>
        </w:trPr>
        <w:tc>
          <w:tcPr>
            <w:tcW w:w="5880" w:type="dxa"/>
            <w:vAlign w:val="bottom"/>
          </w:tcPr>
          <w:p>
            <w:pPr>
              <w:ind w:left="600"/>
              <w:spacing w:after="0"/>
              <w:rPr>
                <w:sz w:val="20"/>
                <w:szCs w:val="20"/>
                <w:color w:val="auto"/>
              </w:rPr>
            </w:pPr>
            <w:r>
              <w:rPr>
                <w:rFonts w:ascii="Arial" w:cs="Arial" w:eastAsia="Arial" w:hAnsi="Arial"/>
                <w:sz w:val="14"/>
                <w:szCs w:val="14"/>
                <w:color w:val="auto"/>
              </w:rPr>
              <w:t>Other current assets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(12,441)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(165,566)</w:t>
            </w: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60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(610,284)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(68,459)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209,673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600"/>
              <w:spacing w:after="0"/>
              <w:rPr>
                <w:sz w:val="20"/>
                <w:szCs w:val="20"/>
                <w:color w:val="auto"/>
              </w:rPr>
            </w:pPr>
            <w:r>
              <w:rPr>
                <w:rFonts w:ascii="Arial" w:cs="Arial" w:eastAsia="Arial" w:hAnsi="Arial"/>
                <w:sz w:val="14"/>
                <w:szCs w:val="14"/>
                <w:color w:val="auto"/>
              </w:rPr>
              <w:t>Accrued expenses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56,648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111,865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805,477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600"/>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(222,811)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14,208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719,440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tcPr>
          <w:p>
            <w:pPr>
              <w:ind w:left="360"/>
              <w:spacing w:after="0"/>
              <w:rPr>
                <w:sz w:val="20"/>
                <w:szCs w:val="20"/>
                <w:color w:val="auto"/>
              </w:rPr>
            </w:pPr>
            <w:r>
              <w:rPr>
                <w:rFonts w:ascii="Arial" w:cs="Arial" w:eastAsia="Arial" w:hAnsi="Arial"/>
                <w:sz w:val="14"/>
                <w:szCs w:val="14"/>
                <w:color w:val="auto"/>
              </w:rPr>
              <w:t>NET CASH USED IN OPERATING ACTIVITIES OF CONTINUING OPERATIONS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(7,022,332)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(3,837,586)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(101,932,954)</w:t>
            </w: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 FLOWS FROM INVESTING ACTIVITIES OF CONTINUING OPERATIONS: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Purchases of property and equipment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(116,215)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(9,439)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(4,458,404)</w:t>
            </w: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Proceeds from sale of investments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4,732,688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Proceeds from sale of fixed assets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121,418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522,192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Purchase of marketable securities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(19,075,306)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(48,383,752)</w:t>
            </w: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Proceeds from sale of marketable securities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4,045,956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22,934,181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Cash transferred in acquisitions/divestitures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(1,579,365)</w:t>
            </w: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Purchase of MASA Energy, LLC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Minority equity investment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Cash paid for interest in Insert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(10,150,000)</w:t>
            </w: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Cash obtained from interest in Insert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10,529,594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Proceeds from sale of subsidiaries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359,375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Payment for patents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(303,440)</w:t>
            </w:r>
          </w:p>
        </w:tc>
        <w:tc>
          <w:tcPr>
            <w:tcW w:w="0" w:type="dxa"/>
            <w:vAlign w:val="bottom"/>
          </w:tcPr>
          <w:p>
            <w:pPr>
              <w:spacing w:after="0"/>
              <w:rPr>
                <w:sz w:val="1"/>
                <w:szCs w:val="1"/>
                <w:color w:val="auto"/>
              </w:rPr>
            </w:pPr>
          </w:p>
        </w:tc>
      </w:tr>
      <w:tr>
        <w:trPr>
          <w:trHeight w:val="182"/>
        </w:trPr>
        <w:tc>
          <w:tcPr>
            <w:tcW w:w="5880" w:type="dxa"/>
            <w:vAlign w:val="bottom"/>
          </w:tcPr>
          <w:p>
            <w:pPr>
              <w:ind w:left="360"/>
              <w:spacing w:after="0"/>
              <w:rPr>
                <w:sz w:val="20"/>
                <w:szCs w:val="20"/>
                <w:color w:val="auto"/>
              </w:rPr>
            </w:pPr>
            <w:r>
              <w:rPr>
                <w:rFonts w:ascii="Arial" w:cs="Arial" w:eastAsia="Arial" w:hAnsi="Arial"/>
                <w:sz w:val="14"/>
                <w:szCs w:val="14"/>
                <w:color w:val="auto"/>
              </w:rPr>
              <w:t>Restricted cash</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50,773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5880" w:type="dxa"/>
            <w:vAlign w:val="bottom"/>
            <w:tcBorders>
              <w:bottom w:val="single" w:sz="8" w:color="CFF0FC"/>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40" w:type="dxa"/>
            <w:vAlign w:val="bottom"/>
            <w:tcBorders>
              <w:bottom w:val="single" w:sz="8" w:color="CFF0FC"/>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5880" w:type="dxa"/>
            <w:vAlign w:val="bottom"/>
            <w:shd w:val="clear" w:color="auto" w:fill="CFF0FC"/>
          </w:tcPr>
          <w:p>
            <w:pPr>
              <w:ind w:left="360"/>
              <w:spacing w:after="0" w:line="123" w:lineRule="exact"/>
              <w:rPr>
                <w:sz w:val="20"/>
                <w:szCs w:val="20"/>
                <w:color w:val="auto"/>
              </w:rPr>
            </w:pPr>
            <w:r>
              <w:rPr>
                <w:rFonts w:ascii="Arial" w:cs="Arial" w:eastAsia="Arial" w:hAnsi="Arial"/>
                <w:sz w:val="14"/>
                <w:szCs w:val="14"/>
                <w:color w:val="auto"/>
              </w:rPr>
              <w:t>NET CASH PROVIDED BY (USED IN) INVESTING ACTIVITIES OF CONTINUING</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OPERATIONS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(15,145,565)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111,979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(27,996,158)</w:t>
            </w:r>
          </w:p>
        </w:tc>
        <w:tc>
          <w:tcPr>
            <w:tcW w:w="0" w:type="dxa"/>
            <w:vAlign w:val="bottom"/>
          </w:tcPr>
          <w:p>
            <w:pPr>
              <w:spacing w:after="0"/>
              <w:rPr>
                <w:sz w:val="1"/>
                <w:szCs w:val="1"/>
                <w:color w:val="auto"/>
              </w:rPr>
            </w:pPr>
          </w:p>
        </w:tc>
      </w:tr>
      <w:tr>
        <w:trPr>
          <w:trHeight w:val="162"/>
        </w:trPr>
        <w:tc>
          <w:tcPr>
            <w:tcW w:w="5880" w:type="dxa"/>
            <w:vAlign w:val="bottom"/>
          </w:tcPr>
          <w:p>
            <w:pPr>
              <w:ind w:left="120"/>
              <w:spacing w:after="0"/>
              <w:rPr>
                <w:sz w:val="20"/>
                <w:szCs w:val="20"/>
                <w:color w:val="auto"/>
              </w:rPr>
            </w:pPr>
            <w:r>
              <w:rPr>
                <w:rFonts w:ascii="Arial" w:cs="Arial" w:eastAsia="Arial" w:hAnsi="Arial"/>
                <w:sz w:val="14"/>
                <w:szCs w:val="14"/>
                <w:color w:val="auto"/>
              </w:rPr>
              <w:t>CASH FLOWS FROM FINANCING ACTIVITIES OF CONTINUING OPERATIONS: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Principal payments on capital leases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(54,715)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(53,098)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(466,122)</w:t>
            </w: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Proceeds from issuance of common stock, preferred stock and warrants, net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62,821,592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3,332,467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213,580,607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Proceeds from issuance of Calando debt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2,516,467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360"/>
              <w:spacing w:after="0"/>
              <w:rPr>
                <w:sz w:val="20"/>
                <w:szCs w:val="20"/>
                <w:color w:val="auto"/>
              </w:rPr>
            </w:pPr>
            <w:r>
              <w:rPr>
                <w:rFonts w:ascii="Arial" w:cs="Arial" w:eastAsia="Arial" w:hAnsi="Arial"/>
                <w:sz w:val="14"/>
                <w:szCs w:val="14"/>
                <w:color w:val="auto"/>
              </w:rPr>
              <w:t>Proceeds from sale of stock in subsidiary</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20,902,100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5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NET CASH PROVIDED BY FINANCING ACTIVITIES OF CONTINUING OPERATIONS</w:t>
            </w: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62,766,877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3,279,369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236,533,052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80" w:type="dxa"/>
            <w:vAlign w:val="bottom"/>
          </w:tcPr>
          <w:p>
            <w:pPr>
              <w:ind w:left="120"/>
              <w:spacing w:after="0"/>
              <w:rPr>
                <w:sz w:val="20"/>
                <w:szCs w:val="20"/>
                <w:color w:val="auto"/>
              </w:rPr>
            </w:pPr>
            <w:r>
              <w:rPr>
                <w:rFonts w:ascii="Arial" w:cs="Arial" w:eastAsia="Arial" w:hAnsi="Arial"/>
                <w:sz w:val="14"/>
                <w:szCs w:val="14"/>
                <w:color w:val="auto"/>
              </w:rPr>
              <w:t>Cash flows from discontinued operations: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8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Operating cash flows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(46,004,141)</w:t>
            </w:r>
          </w:p>
        </w:tc>
        <w:tc>
          <w:tcPr>
            <w:tcW w:w="0" w:type="dxa"/>
            <w:vAlign w:val="bottom"/>
          </w:tcPr>
          <w:p>
            <w:pPr>
              <w:spacing w:after="0"/>
              <w:rPr>
                <w:sz w:val="1"/>
                <w:szCs w:val="1"/>
                <w:color w:val="auto"/>
              </w:rPr>
            </w:pPr>
          </w:p>
        </w:tc>
      </w:tr>
      <w:tr>
        <w:trPr>
          <w:trHeight w:val="182"/>
        </w:trPr>
        <w:tc>
          <w:tcPr>
            <w:tcW w:w="5880" w:type="dxa"/>
            <w:vAlign w:val="bottom"/>
          </w:tcPr>
          <w:p>
            <w:pPr>
              <w:ind w:left="360"/>
              <w:spacing w:after="0"/>
              <w:rPr>
                <w:sz w:val="20"/>
                <w:szCs w:val="20"/>
                <w:color w:val="auto"/>
              </w:rPr>
            </w:pPr>
            <w:r>
              <w:rPr>
                <w:rFonts w:ascii="Arial" w:cs="Arial" w:eastAsia="Arial" w:hAnsi="Arial"/>
                <w:sz w:val="14"/>
                <w:szCs w:val="14"/>
                <w:color w:val="auto"/>
              </w:rPr>
              <w:t>Investing cash flows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790,625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320" w:top="121"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May 7, 2003 (Date of</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8"/>
              </w:rPr>
              <w:t>December 31, 2013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42"/>
        </w:trPr>
        <w:tc>
          <w:tcPr>
            <w:tcW w:w="4660" w:type="dxa"/>
            <w:vAlign w:val="bottom"/>
            <w:tcBorders>
              <w:top w:val="single" w:sz="8" w:color="CFF0FC"/>
            </w:tcBorders>
            <w:shd w:val="clear" w:color="auto" w:fill="CFF0FC"/>
          </w:tcPr>
          <w:p>
            <w:pPr>
              <w:ind w:left="360"/>
              <w:spacing w:after="0" w:line="142" w:lineRule="exact"/>
              <w:rPr>
                <w:sz w:val="20"/>
                <w:szCs w:val="20"/>
                <w:color w:val="auto"/>
              </w:rPr>
            </w:pPr>
            <w:r>
              <w:rPr>
                <w:rFonts w:ascii="Arial" w:cs="Arial" w:eastAsia="Arial" w:hAnsi="Arial"/>
                <w:sz w:val="14"/>
                <w:szCs w:val="14"/>
                <w:color w:val="auto"/>
              </w:rPr>
              <w:t>Financing cash flows</w:t>
            </w:r>
          </w:p>
        </w:tc>
        <w:tc>
          <w:tcPr>
            <w:tcW w:w="13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1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1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(1,677,000)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60" w:type="dxa"/>
            <w:vAlign w:val="bottom"/>
            <w:tcBorders>
              <w:bottom w:val="single" w:sz="8" w:color="CFF0FC"/>
            </w:tcBorders>
          </w:tcPr>
          <w:p>
            <w:pPr>
              <w:ind w:left="120"/>
              <w:spacing w:after="0" w:line="155" w:lineRule="exact"/>
              <w:rPr>
                <w:sz w:val="20"/>
                <w:szCs w:val="20"/>
                <w:color w:val="auto"/>
              </w:rPr>
            </w:pPr>
            <w:r>
              <w:rPr>
                <w:rFonts w:ascii="Arial" w:cs="Arial" w:eastAsia="Arial" w:hAnsi="Arial"/>
                <w:sz w:val="14"/>
                <w:szCs w:val="14"/>
                <w:color w:val="auto"/>
              </w:rPr>
              <w:t>Net cash provided by (used in) discontinued operations:</w:t>
            </w:r>
          </w:p>
        </w:tc>
        <w:tc>
          <w:tcPr>
            <w:tcW w:w="13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(46,890,516)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60" w:type="dxa"/>
            <w:vAlign w:val="bottom"/>
            <w:shd w:val="clear" w:color="auto" w:fill="CFF0FC"/>
          </w:tcPr>
          <w:p>
            <w:pPr>
              <w:ind w:left="860"/>
              <w:spacing w:after="0" w:line="155" w:lineRule="exact"/>
              <w:rPr>
                <w:sz w:val="20"/>
                <w:szCs w:val="20"/>
                <w:color w:val="auto"/>
              </w:rPr>
            </w:pPr>
            <w:r>
              <w:rPr>
                <w:rFonts w:ascii="Arial" w:cs="Arial" w:eastAsia="Arial" w:hAnsi="Arial"/>
                <w:sz w:val="14"/>
                <w:szCs w:val="14"/>
                <w:color w:val="auto"/>
              </w:rPr>
              <w:t>NET INCREASE (DECREASE) IN CASH</w:t>
            </w: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40,598,980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(446,256)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59,713,424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660" w:type="dxa"/>
            <w:vAlign w:val="bottom"/>
          </w:tcPr>
          <w:p>
            <w:pPr>
              <w:ind w:left="120"/>
              <w:spacing w:after="0"/>
              <w:rPr>
                <w:sz w:val="20"/>
                <w:szCs w:val="20"/>
                <w:color w:val="auto"/>
              </w:rPr>
            </w:pPr>
            <w:r>
              <w:rPr>
                <w:rFonts w:ascii="Arial" w:cs="Arial" w:eastAsia="Arial" w:hAnsi="Arial"/>
                <w:sz w:val="14"/>
                <w:szCs w:val="14"/>
                <w:color w:val="auto"/>
              </w:rPr>
              <w:t>CASH AT BEGINNING OF PERIOD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19,114,444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3,377,288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CASH AT END OF PERIOD</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59,713,424</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2,931,032</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59,713,424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bottom w:val="single" w:sz="8" w:color="CFF0FC"/>
            </w:tcBorders>
            <w:vMerge w:val="restart"/>
          </w:tcPr>
          <w:p>
            <w:pPr>
              <w:ind w:left="120"/>
              <w:spacing w:after="0"/>
              <w:rPr>
                <w:sz w:val="20"/>
                <w:szCs w:val="20"/>
                <w:color w:val="auto"/>
              </w:rPr>
            </w:pPr>
            <w:r>
              <w:rPr>
                <w:rFonts w:ascii="Arial" w:cs="Arial" w:eastAsia="Arial" w:hAnsi="Arial"/>
                <w:sz w:val="14"/>
                <w:szCs w:val="14"/>
                <w:color w:val="auto"/>
              </w:rPr>
              <w:t>Supplementary disclosures:</w:t>
            </w:r>
          </w:p>
        </w:tc>
        <w:tc>
          <w:tcPr>
            <w:tcW w:w="1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6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Interest paid</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9,496</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11,114</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332,228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60" w:type="dxa"/>
            <w:vAlign w:val="bottom"/>
          </w:tcPr>
          <w:p>
            <w:pPr>
              <w:ind w:left="360"/>
              <w:spacing w:after="0"/>
              <w:rPr>
                <w:sz w:val="20"/>
                <w:szCs w:val="20"/>
                <w:color w:val="auto"/>
              </w:rPr>
            </w:pPr>
            <w:r>
              <w:rPr>
                <w:rFonts w:ascii="Arial" w:cs="Arial" w:eastAsia="Arial" w:hAnsi="Arial"/>
                <w:sz w:val="14"/>
                <w:szCs w:val="14"/>
                <w:color w:val="auto"/>
              </w:rPr>
              <w:t>Taxes paid</w:t>
            </w: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742,500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320" w:top="104"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SUPPLEMENTARY NON CASH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Arrowhead share amounts have been adjusted to reflect the 1 for 10 reverse stock split effected on November 17, 2011.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March 23, 2005, Arrowhead purchased 7,375,000 shares of Insert Therapeutics, Inc. common stock from two minority stockholders of Insert for</w:t>
      </w:r>
    </w:p>
    <w:p>
      <w:pPr>
        <w:spacing w:after="0" w:line="46"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50,226 newly issued shares of Arrowhead Common Stock valued at $2,000,000 based on the closing market price of Arrowhead Common Stock on NASDAQ on the date of the closing.</w:t>
      </w:r>
    </w:p>
    <w:p>
      <w:pPr>
        <w:spacing w:after="0" w:line="18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On March 31, 2006, Arrowhead purchased 964,000 shares of Calando Pharmaceuticals, Inc. common stock from minority stockholders of Calando for $1,928,000 consisting of 20,838 newly issued shares of Arrowhead Common Stock valued at $1,077,333 plus $850,667 in cash. The 20,838 shares of Arrowhead Common Stock were valued based on the average closing price of Arrowhead’s Common Stock on NASDAQ the ten trading days immediately prior to the date of the closing.</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On April 20, 2007, Arrowhead purchased the Series E Preferred Stock of Carbon Nanotechnologies, Inc. in exchange for 143,122 shares of Arrowhead Common Stock with an estimated fair market value of $5,400,000 based on the average closing price of Arrowhead’s Common Stock on NASDAQ the ten trading days immediately prior to March 24, 2007, as set forth in the Agreement and Plan of Merger among Unidym, Carbon Nanotechnologies, Inc., Arrowhead, and others.</w:t>
      </w:r>
    </w:p>
    <w:p>
      <w:pPr>
        <w:spacing w:after="0" w:line="187"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On April 23, 2008, Arrowhead purchased 200,000 shares of the Common Stock of Unidym Inc., in exchange for 7,054 shares of Arrowhead Common Stock with an estimated fair market value of $200,000 based on the average closing price of Arrowhead’s Common Stock on NASDAQ the ten trading days immediately prior to the date of the closing.</w:t>
      </w:r>
    </w:p>
    <w:p>
      <w:pPr>
        <w:spacing w:after="0" w:line="18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On April 29, 2008, Arrowhead purchased all of the membership units of MASA Energy, LLC for $560,000. The purchase price consisted of 10,504 shares of Arrowhead Common Stock with an estimated fair market value of $310,000 based on the average closing price of Arrowhead’s Common Stock on NASDAQ the ten trading days immediately prior to the date of the closing, plus $250,000 in cash.</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On August 8, 2008, Unidym acquired all of the outstanding stock of Nanoconduction, Inc. in exchange for 11,411 shares of Arrowhead stock with an estimated fair market value of $250,000.</w:t>
      </w:r>
    </w:p>
    <w:p>
      <w:pPr>
        <w:spacing w:after="0" w:line="170"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On June 11, 2009, Arrowhead issued 132,462 shares of Common Stock with an estimated fair market value of $688,802 in exchange for an equal number of Series A Preferred Stock of Unidym, with minority stockholders of Unidym.</w:t>
      </w:r>
    </w:p>
    <w:p>
      <w:pPr>
        <w:spacing w:after="0" w:line="170"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On June 25, 2009, Arrowhead issued 194,444 shares of Common Stock with an estimated fair market value of $972,222 in exchange for an equal number of Series C Preferred Stock of Unidym, with a minority stockholder of Unidym.</w:t>
      </w:r>
    </w:p>
    <w:p>
      <w:pPr>
        <w:spacing w:after="0" w:line="17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On September 22, 2009, Arrowhead issued 9,149 shares of Common Stock with an estimated fair market value of $46,662 in exchange for an equal number of Series A Preferred Stock of Unidym with a minority stockholder of Unidym.</w:t>
      </w:r>
    </w:p>
    <w:p>
      <w:pPr>
        <w:spacing w:after="0" w:line="170"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On September 28, 2009, Arrowhead issued 64,227 shares of Common Stock with an estimated fair market value of $398,209 in exchange for 5,574 shares of Series A Preferred Stock and 636,699 shares of Series C Preferred Stock of Unidym, with several minority stockholders of Unidym.</w:t>
      </w:r>
    </w:p>
    <w:p>
      <w:pPr>
        <w:spacing w:after="0" w:line="14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On September 30, 2009, Arrowhead issued 27,777 shares of Common Stock with an estimated fair market value of $186,111 in exchange for an equal number of Series C-1 Preferred Stock of Unidym, with a minority stockholder of Unidym.</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 October and November 2009, Arrowhead issued 15,317 shares of Common Stock with an estimated fair market value of $47,485 in exchange for an equal number of shares of Series C Preferred Stock of Unidym, with several minority stockholders of Unidym.</w:t>
      </w:r>
    </w:p>
    <w:p>
      <w:pPr>
        <w:spacing w:after="0" w:line="170"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In October and November 2009, Arrowhead issued 114,000 shares of Common Stock with an estimated fair market value of $706,800 in exchange for 2,850,000 shares of Calando’s common stock, with several minority stockholders of Calando. In conjunction with the exchange, Arrowhead also issued 24,000 Warrants to purchase Arrowhead Common Stock in exchange for 600,000 Warrants to purchase Calando common stock.</w:t>
      </w:r>
    </w:p>
    <w:p>
      <w:pPr>
        <w:spacing w:after="0" w:line="14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February 2010, Arrowhead issued 8,000 shares of Common Stock and 2,400 warrants to purchase Arrowhead Common Stock, at an exercise price of $5.00, to several Calando shareholders, in exchange for 200,000 shares of Calando common stock and 60,000 warrants to purchase Calando common stock.</w:t>
      </w:r>
    </w:p>
    <w:p>
      <w:pPr>
        <w:spacing w:after="0" w:line="18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 March 2010, a warrant holder exercised 24,788 warrants to purchase Arrowhead Common Stock, in a cashless exercise, whereby Arrowhead issued to the warrant holder 12,870 shares of Arrowhead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ind w:right="320" w:firstLine="518"/>
        <w:spacing w:after="0" w:line="277" w:lineRule="auto"/>
        <w:rPr>
          <w:sz w:val="20"/>
          <w:szCs w:val="20"/>
          <w:color w:val="auto"/>
        </w:rPr>
      </w:pPr>
      <w:r>
        <w:rPr>
          <w:rFonts w:ascii="Arial" w:cs="Arial" w:eastAsia="Arial" w:hAnsi="Arial"/>
          <w:sz w:val="18"/>
          <w:szCs w:val="18"/>
          <w:color w:val="auto"/>
        </w:rPr>
        <w:t>In September 2010, Arrowhead issued warrants to purchase 390,625 shares of Arrowhead Common Stock, at an exercise price of $5.00, to two Calando shareholders, in exchange for 1,562.5 shares of Series A Preferred Stock of Calando Pharmaceuticals, Inc.</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On October 21, 2011, Arrowhead entered into a Stock and Asset Purchase Agreement whereby in acquired all of the outstanding common stock of Roche Madison Inc. and certain intellectual property rights in exchange for 1,288,158 shares of Arrowhead Common Stock, a promissory note of $50,000, and potential contingent consideration based on the achievement of certain regulatory milestones, and sales milestones and royalty payments after drug approval.</w:t>
      </w:r>
    </w:p>
    <w:p>
      <w:pPr>
        <w:spacing w:after="0" w:line="18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On April 5, 2012, Arrowhead entered into a Stock Purchase Agreement whereby it acquired all of the outstanding common stock of Alvos Therapeutics, Inc. for 315,457 shares of Arrowhead Common Stock and potential contingent consideration based on the achievement of certain clinical, regulatory and sales milestones.</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On October 21, 2012, Arrowhead issued 239,894 shares of Common Stock to Roche in accordance with the terms of the Stock and Asset Purchase Agreement for Roche Madison Inc., to settle a liability of $986,049, which the Company had recorded upon the acquisition.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341" w:right="4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577"/>
        <w:spacing w:after="0" w:line="253" w:lineRule="auto"/>
        <w:rPr>
          <w:sz w:val="20"/>
          <w:szCs w:val="20"/>
          <w:color w:val="auto"/>
        </w:rPr>
      </w:pPr>
      <w:r>
        <w:rPr>
          <w:rFonts w:ascii="Arial" w:cs="Arial" w:eastAsia="Arial" w:hAnsi="Arial"/>
          <w:sz w:val="18"/>
          <w:szCs w:val="18"/>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Calando Pharmaceuticals, Inc. (“Calando”), Ablaris Therapeutics, Inc. (“Ablaris”), and Tego Biosciences Corporation (“Tego”), as well as our former subsidiary, Unidym, Inc. (“Unidym”), which was divested in January 2011, and Alvos Therapeutics, Inc. (“Alvos”) and Agonn Systems, Inc. (“Agonn”),which were merged into Arrowhead during 2013. (4) the term “Minority Investments” refers collectively to Nanotope, Inc. (“Nanotope”), which was dissolved during 2013, and Leonardo Biosystems, Inc. (“Leonardo”) in which the company holds a less than majority ownership position, (5) the term “Common Stock” refers to Arrowhead’s Common Stock, (6) the term “Preferred Stock” refers to Arrowhead’s Preferred Stock and the term “Stockholder(s)” refers to the holders of Arrowhead Common Stock.</w:t>
      </w:r>
    </w:p>
    <w:p>
      <w:pPr>
        <w:spacing w:after="0" w:line="342" w:lineRule="exact"/>
        <w:rPr>
          <w:sz w:val="20"/>
          <w:szCs w:val="20"/>
          <w:color w:val="auto"/>
        </w:rPr>
      </w:pPr>
    </w:p>
    <w:p>
      <w:pPr>
        <w:ind w:right="554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w:t>
      </w:r>
    </w:p>
    <w:p>
      <w:pPr>
        <w:ind w:right="80" w:firstLine="518"/>
        <w:spacing w:after="0" w:line="279" w:lineRule="auto"/>
        <w:rPr>
          <w:sz w:val="20"/>
          <w:szCs w:val="20"/>
          <w:color w:val="auto"/>
        </w:rPr>
      </w:pPr>
      <w:r>
        <w:rPr>
          <w:rFonts w:ascii="Arial" w:cs="Arial" w:eastAsia="Arial" w:hAnsi="Arial"/>
          <w:sz w:val="17"/>
          <w:szCs w:val="17"/>
          <w:color w:val="auto"/>
        </w:rPr>
        <w:t>Arrowhead Research Corporation is a biopharmaceutical company developing targeted RNAi therapeutics. The Company is leveraging its proprietary drug delivery technologies to develop targeted drugs based on the RNA interference mechanism that efficiently silence disease-causing genes. Arrowhead technologies also enable partners to create peptide-drug conjugates that specifically home to cell types of interest while sparing off-target tissues. Arrowhead’s pipeline includes clinical programs in chronic hepatitis B virus and obesity and partner-based programs in oncology.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Historically, the Company’s primary source of financing has been through the sale of securities of Arrowhead. Research and development activities have required significant capital investment since the Company’s inception and we expect our operations to continue to require cash investment in fiscal 2014 and beyond as the Company advances its research and development efforts, including clinical trials, and related drug manufacturing.</w:t>
      </w:r>
    </w:p>
    <w:p>
      <w:pPr>
        <w:spacing w:after="0" w:line="14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At December 31, 2013, the Company had $59.7 million in cash to fund operations. In addition to its cash resources, the Company has invested excess cash in investment grade commercial bonds maturing in less than 24 months. These bonds provide a source of liquidity, though the Company plans to hold them until maturity. At December 31, 2013, the Company had invested $25.7 million in bonds. During the three months ended December 31, 2013, the Company’s cash position increased by $40.6 million. The Company received cash from the issuance of equity of $60.0 million and cash from the exercise of warrants and options of $2.8 million during the three months ended December 31, 2013. Cash invested in fixed income investments totaled a net change of $15.0 million. During the three months ended December 31, 2013, the Company had cash outflow of $7.0 million related to its continuing operating activities and capital expenditures of $0.1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and responsible for the Company’s research and development function. All significant intercompany accounts and transactions are eliminated in consolidation, and noncontrolling interests are accounted for in the Company’s financial statements.</w:t>
      </w:r>
    </w:p>
    <w:p>
      <w:pPr>
        <w:spacing w:after="0" w:line="18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Basis of Presentation—The accompanying unaudited consolidated financial statements have been prepared in accordance with accounting principles generally accepted in the United States (“GAAP”) for interim financial information and in accordance with the instructions to Form 10-Q and Article 8 of Regulation S-X. Accordingly, the financial statements do not include all of the information and notes required by GAAP for complete financial statements. In the opinion of management, all adjustments, including normal recurring accruals, considered necessary for a fair presentation have been included. Interim results are not necessarily indicative of results for a full year. The September 30, 2013 balance sheet was derived from audited financial statements, but does not include all disclosures required by GAAP. This financial information should be read in conjunction with the consolidated financial statements and notes included in the Company’s Annual Report on Form 10-K for the year ended September 30, 2013. Certain reclassifications have been made to prior period financial statements to conform to the current period presentation.</w:t>
      </w:r>
    </w:p>
    <w:p>
      <w:pPr>
        <w:spacing w:after="0" w:line="179" w:lineRule="exact"/>
        <w:rPr>
          <w:sz w:val="20"/>
          <w:szCs w:val="20"/>
          <w:color w:val="auto"/>
        </w:rPr>
      </w:pPr>
    </w:p>
    <w:p>
      <w:pPr>
        <w:ind w:right="20" w:firstLine="571"/>
        <w:spacing w:after="0" w:line="342" w:lineRule="auto"/>
        <w:rPr>
          <w:sz w:val="20"/>
          <w:szCs w:val="20"/>
          <w:color w:val="auto"/>
        </w:rPr>
      </w:pPr>
      <w:r>
        <w:rPr>
          <w:rFonts w:ascii="Arial" w:cs="Arial" w:eastAsia="Arial" w:hAnsi="Arial"/>
          <w:sz w:val="16"/>
          <w:szCs w:val="16"/>
          <w:color w:val="auto"/>
        </w:rPr>
        <w:t>Use of Estimates—The preparation of financial statements in conformity with generally accepted accounting principles requires management to make estimates and assumptions that affect the amounts reported in the accompanying financial statements. Actual results could differ from those estimates.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3" w:name="page14"/>
    <w:bookmarkEnd w:id="13"/>
    <w:p>
      <w:pPr>
        <w:ind w:right="70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December 31, 2013 and 2012.</w:t>
      </w:r>
    </w:p>
    <w:p>
      <w:pPr>
        <w:spacing w:after="0" w:line="170"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Concentration of Credit Risk—The Company maintains several checking accounts for its operations at two financial institutions. These accounts are insured by the Federal Deposit Insurance Corporation (FDIC) for up to $250,000 per account. Management believes the Company is not exposed to significant credit risk due to the financial position of the depository institutions in which these deposits are held.</w:t>
      </w:r>
    </w:p>
    <w:p>
      <w:pPr>
        <w:spacing w:after="0" w:line="181"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Investments—the Company invests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Company classifies its investments in marketable debt securities based on the facts and circumstances present at the time of purchase of the securities. At December 31, 2013, the Company classified all of its investments as held-to-maturity.</w:t>
      </w:r>
    </w:p>
    <w:p>
      <w:pPr>
        <w:spacing w:after="0" w:line="170"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As of December 31, 2013, all short-term investments were comprised of corporate bonds with maturity dates of less than one year. Certain investments maturing in excess of twelve months, but less than 24 months are classified as long-term investments. As of December 31, 2013, the amortized cost of such bonds was $25,750,603. For the three months ended December 31, 2013, gross unrealized losses were $217,216; there were no gross unrealized gains. The total fair value of the investments at December 31, 2013 was $25,533,387.</w:t>
      </w:r>
    </w:p>
    <w:p>
      <w:pPr>
        <w:spacing w:after="0" w:line="18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See further information regarding fair market value of marketable debt securities in Note 11 – Fair Value Measurements, such fair market data is obtained from independent pricing services.</w:t>
      </w:r>
    </w:p>
    <w:p>
      <w:pPr>
        <w:spacing w:after="0" w:line="1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Intangible Assets Subject to Amortization—At December 31, 2013, intangible assets subject to amortization included certain license agreements acquired through business combinations. Intangible assets subject to amortization are reviewed for impairment whenever events or circumstances indicate that the carrying amount of these assets may not be recoverable.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4" w:name="page15"/>
    <w:bookmarkEnd w:id="14"/>
    <w:p>
      <w:pPr>
        <w:ind w:right="60" w:firstLine="518"/>
        <w:spacing w:after="0" w:line="288" w:lineRule="auto"/>
        <w:rPr>
          <w:sz w:val="20"/>
          <w:szCs w:val="20"/>
          <w:color w:val="auto"/>
        </w:rPr>
      </w:pPr>
      <w:r>
        <w:rPr>
          <w:rFonts w:ascii="Arial" w:cs="Arial" w:eastAsia="Arial" w:hAnsi="Arial"/>
          <w:sz w:val="16"/>
          <w:szCs w:val="16"/>
          <w:color w:val="auto"/>
        </w:rPr>
        <w:t>In-Process Research &amp; Development (IPR&amp;D)—IPR&amp;D assets represent capitalized on-going research projects that Arrowhead acquired through business combinations. Such assets are initially measured at their acquisition date fair values. The amounts capitalized are being accounted for as indefinite-lived intangible assets, subject to impairment testing until completion or abandonment of R&amp;D efforts associated with the project. Upon successful completion of a project, Arrowhead will make a determination as to the then remaining useful life of the intangible asset and begin amortization. Based on early adoption of ASU 2012-02, Arrowhead tests its indefinite-lived assets for impairment at least annually, through a two-step process. The first step is a qualitative assessment to determine if it is more likely than not that the indefinite lived assets are impaired. Arrowhead considers relevant events and circumstances that could affect the inputs used to determine the fair value of the intangible assets. If the qualitative assessment indicates that it is more likely than not that the intangible assets is impaired, a second step is performed which is a quantitative test to determine the fair value of the intangible asset. If the carrying amount of the intangible assets exceeds its fair value, an impairment loss is recorded in the amount of that excess. If circumstances determine that it is appropriate, the Company may also elect to bypass step one, and proceed directly to the second step.</w:t>
      </w:r>
    </w:p>
    <w:p>
      <w:pPr>
        <w:spacing w:after="0" w:line="169"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Contingent Consideration - The consideration for our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We record a contingent consideration obligation for such contingent payments at fair value on the acquisition date. We estimate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we record in any given period.</w:t>
      </w:r>
    </w:p>
    <w:p>
      <w:pPr>
        <w:spacing w:after="0" w:line="188" w:lineRule="exact"/>
        <w:rPr>
          <w:sz w:val="20"/>
          <w:szCs w:val="20"/>
          <w:color w:val="auto"/>
        </w:rPr>
      </w:pPr>
    </w:p>
    <w:p>
      <w:pPr>
        <w:ind w:right="660" w:firstLine="518"/>
        <w:spacing w:after="0" w:line="342" w:lineRule="auto"/>
        <w:rPr>
          <w:sz w:val="20"/>
          <w:szCs w:val="20"/>
          <w:color w:val="auto"/>
        </w:rPr>
      </w:pPr>
      <w:r>
        <w:rPr>
          <w:rFonts w:ascii="Arial" w:cs="Arial" w:eastAsia="Arial" w:hAnsi="Arial"/>
          <w:sz w:val="16"/>
          <w:szCs w:val="16"/>
          <w:color w:val="auto"/>
        </w:rPr>
        <w:t>Minority Equity Investments—The Company’s had a minority equity investment in Leonardo, a privately held biotechnology company. This investment has been fully impaired and the net book value at December 31, 2013 is $0. The operations of Leonardo ceased in December 2013.</w:t>
      </w:r>
    </w:p>
    <w:p>
      <w:pPr>
        <w:spacing w:after="0" w:line="12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Noncontrolling Interests in Majority-Owned Subsidiaries—Operating losses applicable to majority-owned Calando, Ablaris and, prior to its disposal, Unidym have periodically exceeded the noncontrolling interests in the equity capital of either Subsidiary. Such excess losses applicable to the noncontrolling interests have been and are borne by the Company as there is no obligation of the noncontrolling interests to fund any losses in excess of their original investment. There is also no obligation or commitment on the part of the Company to fund operating losses of any Subsidiary whether wholly-owned or majority-owned. The Company allocates the noncontrolling interest’s share of net loss in excess of the noncontrolling interest’s initial investment in accordance with FASB ASC 810-10.</w:t>
      </w:r>
    </w:p>
    <w:p>
      <w:pPr>
        <w:spacing w:after="0" w:line="193"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When there is a change in the Company’s proportionate ownership share of a development-stage Subsidiary resulting from additional equity transactions in a Subsidiary, the change is accounted for as an equity transaction in consolidation. To the extent that the increase in the calculated value of the Company’s interest in the equity of the Subsidiary exceeds the Company’s investment in the offering, that increase in value is referred to as the Company’s “increase in its proportionate share of the Subsidiary’s equity” and the amount is recorded as an increase in the Company’s Additional Paid-in Capital.</w:t>
      </w:r>
    </w:p>
    <w:p>
      <w:pPr>
        <w:spacing w:after="0" w:line="154"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Revenue Recognition—Revenue from license fees are recorded when persuasive evidence of an arrangement exists, title has passed or services have been rendered, a price is fixed and determinable, and collection is reasonably assured. We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87" w:lineRule="exact"/>
        <w:rPr>
          <w:sz w:val="20"/>
          <w:szCs w:val="20"/>
          <w:color w:val="auto"/>
        </w:rPr>
      </w:pPr>
    </w:p>
    <w:p>
      <w:pPr>
        <w:ind w:right="32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341" w:right="299" w:bottom="1440" w:gutter="0" w:footer="0" w:header="0"/>
        </w:sectPr>
      </w:pPr>
    </w:p>
    <w:bookmarkStart w:id="15" w:name="page16"/>
    <w:bookmarkEnd w:id="15"/>
    <w:p>
      <w:pPr>
        <w:ind w:right="400" w:firstLine="518"/>
        <w:spacing w:after="0" w:line="277" w:lineRule="auto"/>
        <w:rPr>
          <w:sz w:val="20"/>
          <w:szCs w:val="20"/>
          <w:color w:val="auto"/>
        </w:rPr>
      </w:pPr>
      <w:r>
        <w:rPr>
          <w:rFonts w:ascii="Arial" w:cs="Arial" w:eastAsia="Arial" w:hAnsi="Arial"/>
          <w:sz w:val="18"/>
          <w:szCs w:val="18"/>
          <w:color w:val="auto"/>
        </w:rPr>
        <w:t>Research and Development—Costs and expenses that can be clearly identified as research and development are charged to expense as incurred in accordance with FASB ASC 730-10.</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issued to employees and consultants and warrants to purchase Common Stock of the Company.</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We use the Black-Scholes option valuation model to estimate the fair value of our stock options at the date of grant. The Black-Scholes option valuation model requires the input of subjective assumptions to calculate the value of stock options. We use historical data among other information to estimate the expected price volatility and the expected forfeiture rate.</w:t>
      </w:r>
    </w:p>
    <w:p>
      <w:pPr>
        <w:spacing w:after="0" w:line="188"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Derivative Assets and Liabilities - 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66"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In July 2012, the FASB issued ASU 2012-02, </w:t>
      </w:r>
      <w:r>
        <w:rPr>
          <w:rFonts w:ascii="Arial" w:cs="Arial" w:eastAsia="Arial" w:hAnsi="Arial"/>
          <w:sz w:val="18"/>
          <w:szCs w:val="18"/>
          <w:i w:val="1"/>
          <w:iCs w:val="1"/>
          <w:color w:val="auto"/>
        </w:rPr>
        <w:t>Testing Indefinite-Lived Intangible Assets for Impairment,</w:t>
      </w:r>
      <w:r>
        <w:rPr>
          <w:rFonts w:ascii="Arial" w:cs="Arial" w:eastAsia="Arial" w:hAnsi="Arial"/>
          <w:sz w:val="18"/>
          <w:szCs w:val="18"/>
          <w:color w:val="auto"/>
        </w:rPr>
        <w:t xml:space="preserve"> which amended the guidance in ASU 2011-08 to simplify the testing of indefinite-lived intangible assets other than goodwill for impairment. ASU 2012-02 becomes effective for annual and interim impairment tests performed for fiscal years beginning on or after September 15, 2012 and earlier adoption is permitted. We adopted this standard in the third quarter of fiscal year 2012. We believe adoption did not have a material effect on our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NOTE RECEIVABLE</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As part of the proceeds from the sale of Unidym in January 2011, Arrowhead received a Note Receivable from Wisepower (the “Wisepower Note”) in the face amount of $2.5 million. On January 24, 2013, the Company entered into an agreement to sell the Wisepower Note. As consideration for selling the Wisepower Note, the Company received 1,570,000 shares of Wisepower stock, (the “First Tranche”). Per the terms of the agreement, the Company was entitled to receive additional consideration (the “Second Tranche”) based on the proceeds realized from the First Tranche, at which time the Company would deliver the Wisepower Note to the Purchaser.</w:t>
      </w:r>
    </w:p>
    <w:p>
      <w:pPr>
        <w:spacing w:after="0" w:line="18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As of December 31, 2013, the Company sold all shares of Wisepower from the First Tranche, and realized approximately $1.4 million in proceeds. It is unclear when or if the Company will receive the Second Tranche. The Company recorded the $1.4 million proceeds realized from the First Tranche against the $2.5 million value of the Wisepower Note, and recorded a reserve for the balance of the receivable of $1.1 million in fiscal 2013. The carrying value of the Wisepower Note at December 31, 2013 is zero.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4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100" w:firstLine="571"/>
        <w:spacing w:after="0" w:line="257" w:lineRule="auto"/>
        <w:rPr>
          <w:sz w:val="20"/>
          <w:szCs w:val="20"/>
          <w:color w:val="auto"/>
        </w:rPr>
      </w:pPr>
      <w:r>
        <w:rPr>
          <w:rFonts w:ascii="Arial" w:cs="Arial" w:eastAsia="Arial" w:hAnsi="Arial"/>
          <w:sz w:val="18"/>
          <w:szCs w:val="18"/>
          <w:color w:val="auto"/>
        </w:rPr>
        <w:t>The Company invests its excess cash balances in short-term and long-term debt securities. Investments at December 31, 2013 consisted of corporate bonds with maturities remaining of less than two years at the time of purchase. The Company may also invest excess cash balances in certificates of deposit, money market accounts, US Treasuries, US government agency obligations, corporate debt securities, and/or commercial paper. The Company accounts for its investments in accordance with FASB ASC 320, Investments – Debt and Equity Securities. At December 31, 2013, all investments were classified as held-to-maturity securities.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tables summarize the Company’s short and long-term investments as of December 31, 2013, and September 30,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As of December 31, 2013</w:t>
            </w: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Amortized Cost</w:t>
            </w:r>
          </w:p>
        </w:tc>
        <w:tc>
          <w:tcPr>
            <w:tcW w:w="178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3"/>
              </w:rPr>
              <w:t>Gross Unrealized Gains</w:t>
            </w:r>
          </w:p>
        </w:tc>
        <w:tc>
          <w:tcPr>
            <w:tcW w:w="220" w:type="dxa"/>
            <w:vAlign w:val="bottom"/>
          </w:tcPr>
          <w:p>
            <w:pPr>
              <w:spacing w:after="0"/>
              <w:rPr>
                <w:sz w:val="12"/>
                <w:szCs w:val="12"/>
                <w:color w:val="auto"/>
              </w:rPr>
            </w:pPr>
          </w:p>
        </w:tc>
        <w:tc>
          <w:tcPr>
            <w:tcW w:w="1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Gross Unrealized Losses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r>
      <w:tr>
        <w:trPr>
          <w:trHeight w:val="210"/>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15,912,757</w:t>
            </w:r>
          </w:p>
        </w:tc>
        <w:tc>
          <w:tcPr>
            <w:tcW w:w="46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(103,924)</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15,808,833</w:t>
            </w:r>
          </w:p>
        </w:tc>
        <w:tc>
          <w:tcPr>
            <w:tcW w:w="220" w:type="dxa"/>
            <w:vAlign w:val="bottom"/>
            <w:tcBorders>
              <w:top w:val="single" w:sz="8" w:color="CFF0FC"/>
            </w:tcBorders>
            <w:shd w:val="clear" w:color="auto" w:fill="CFF0FC"/>
          </w:tcPr>
          <w:p>
            <w:pPr>
              <w:spacing w:after="0"/>
              <w:rPr>
                <w:sz w:val="18"/>
                <w:szCs w:val="18"/>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0"/>
              </w:rPr>
              <w:t>Commercial notes (due after one year through</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two years)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460"/>
              <w:spacing w:after="0"/>
              <w:rPr>
                <w:sz w:val="20"/>
                <w:szCs w:val="20"/>
                <w:color w:val="auto"/>
              </w:rPr>
            </w:pPr>
            <w:r>
              <w:rPr>
                <w:rFonts w:ascii="Arial" w:cs="Arial" w:eastAsia="Arial" w:hAnsi="Arial"/>
                <w:sz w:val="18"/>
                <w:szCs w:val="18"/>
                <w:color w:val="auto"/>
              </w:rPr>
              <w:t>9,837,846</w:t>
            </w:r>
          </w:p>
        </w:tc>
        <w:tc>
          <w:tcPr>
            <w:tcW w:w="5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(113,292)</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9,724,554</w:t>
            </w:r>
          </w:p>
        </w:tc>
      </w:tr>
      <w:tr>
        <w:trPr>
          <w:trHeight w:val="210"/>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25,750,603</w:t>
            </w:r>
          </w:p>
        </w:tc>
        <w:tc>
          <w:tcPr>
            <w:tcW w:w="46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(217,216)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25,533,387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72"/>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As of September 30, 2013</w:t>
            </w: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Amortized Cost</w:t>
            </w:r>
          </w:p>
        </w:tc>
        <w:tc>
          <w:tcPr>
            <w:tcW w:w="178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3"/>
              </w:rPr>
              <w:t>Gross Unrealized Gains</w:t>
            </w:r>
          </w:p>
        </w:tc>
        <w:tc>
          <w:tcPr>
            <w:tcW w:w="220" w:type="dxa"/>
            <w:vAlign w:val="bottom"/>
          </w:tcPr>
          <w:p>
            <w:pPr>
              <w:spacing w:after="0"/>
              <w:rPr>
                <w:sz w:val="12"/>
                <w:szCs w:val="12"/>
                <w:color w:val="auto"/>
              </w:rPr>
            </w:pPr>
          </w:p>
        </w:tc>
        <w:tc>
          <w:tcPr>
            <w:tcW w:w="1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Gross Unrealized Losses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r>
      <w:tr>
        <w:trPr>
          <w:trHeight w:val="210"/>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9,030,261</w:t>
            </w:r>
          </w:p>
        </w:tc>
        <w:tc>
          <w:tcPr>
            <w:tcW w:w="46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(39,281)</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8,998,480</w:t>
            </w:r>
          </w:p>
        </w:tc>
        <w:tc>
          <w:tcPr>
            <w:tcW w:w="220" w:type="dxa"/>
            <w:vAlign w:val="bottom"/>
            <w:tcBorders>
              <w:top w:val="single" w:sz="8" w:color="CFF0FC"/>
            </w:tcBorders>
            <w:shd w:val="clear" w:color="auto" w:fill="CFF0FC"/>
          </w:tcPr>
          <w:p>
            <w:pPr>
              <w:spacing w:after="0"/>
              <w:rPr>
                <w:sz w:val="18"/>
                <w:szCs w:val="18"/>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0"/>
              </w:rPr>
              <w:t>Commercial notes (due after one year through</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two years)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460"/>
              <w:spacing w:after="0"/>
              <w:rPr>
                <w:sz w:val="20"/>
                <w:szCs w:val="20"/>
                <w:color w:val="auto"/>
              </w:rPr>
            </w:pPr>
            <w:r>
              <w:rPr>
                <w:rFonts w:ascii="Arial" w:cs="Arial" w:eastAsia="Arial" w:hAnsi="Arial"/>
                <w:sz w:val="18"/>
                <w:szCs w:val="18"/>
                <w:color w:val="auto"/>
              </w:rPr>
              <w:t>1,702,153</w:t>
            </w:r>
          </w:p>
        </w:tc>
        <w:tc>
          <w:tcPr>
            <w:tcW w:w="5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(2,362)</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1,699,791</w:t>
            </w:r>
          </w:p>
        </w:tc>
      </w:tr>
      <w:tr>
        <w:trPr>
          <w:trHeight w:val="210"/>
        </w:trPr>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10,732,414</w:t>
            </w:r>
          </w:p>
        </w:tc>
        <w:tc>
          <w:tcPr>
            <w:tcW w:w="46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(41,643)</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10,698,271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Madison</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On October 21, 2011, the Company entered into a Stock and Asset Purchase Agreement (the “RNAi Purchase Agreement”) with Hoffmann-La Roche Inc. and F Hoffmann-La Roche Ltd (collectively, “Roche”), pursuant to which the Company purchased from Roche (i) all of the outstanding common stock of Roche Madison Inc. (“Roche Madison”, now “Arrowhead Madison”) and (ii) the intellectual property rights then held by Roche related to its RNAi business and identified in the RNAi Purchase Agreement (the “Transaction”). In consideration for the purchase of Roche Madison and the Roche RNAi assets, the Company issued to Roche a promissory note with a principal value of $50,000 and 1,288,158 shares of Common Stock.</w:t>
      </w:r>
    </w:p>
    <w:p>
      <w:pPr>
        <w:spacing w:after="0" w:line="17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Pursuant to the RNAi Purchase Agreement, Roche has a right of first negotiation on certain product candidates developed by the Company and its affiliates relating to the purchased assets. If the Company proposes to out-license or enters into substantive negotiations to out-license, any Clinical Candidate or Existing Candidate (as such terms are defined in the RNAi Purchase Agreement), the Company must give notice of the Candidate it proposes to out-license and negotiate exclusively and in good faith with Roche for 90 days regarding the applicable out-license. This right of first negotiation applies to all Existing Candidates (as defined in the RNAi Purchase Agreement) and the first five Clinical Candidates for which the Company delivers notice to Roche and subsequently enters into an out-license.</w:t>
      </w:r>
    </w:p>
    <w:p>
      <w:pPr>
        <w:spacing w:after="0" w:line="19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addition to the consideration paid by the Company as per the closing terms, the Company is obligated to make certain royalty and milestone payments to Roche upon the occurrence of certain events. For certain product candidates that are developed by the Company that are covered by a valid claim by the patent rights transferred in the Transaction for which the Company and Roche do not enter into a licensing arrangement, the Company will be obligated to pay a 3% royalty on Net Sales (as defined in the RNAi Purchase Agreement), provided that the royalty rate may be reduced or offset in certain circumstances. The obligation to pay royalties on such candidates will last until the later of (i) the expiration of the last to expire patent right related to such product candidate that was transferred in the Transaction and (ii) ten years after the first commercial sale of such product candidate.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86" w:right="239" w:bottom="1440" w:gutter="0" w:footer="0" w:header="0"/>
        </w:sectPr>
      </w:pPr>
    </w:p>
    <w:bookmarkStart w:id="17" w:name="page18"/>
    <w:bookmarkEnd w:id="17"/>
    <w:p>
      <w:pPr>
        <w:ind w:firstLine="518"/>
        <w:spacing w:after="0" w:line="286" w:lineRule="auto"/>
        <w:rPr>
          <w:sz w:val="20"/>
          <w:szCs w:val="20"/>
          <w:color w:val="auto"/>
        </w:rPr>
      </w:pPr>
      <w:r>
        <w:rPr>
          <w:rFonts w:ascii="Arial" w:cs="Arial" w:eastAsia="Arial" w:hAnsi="Arial"/>
          <w:sz w:val="16"/>
          <w:szCs w:val="16"/>
          <w:color w:val="auto"/>
        </w:rPr>
        <w:t xml:space="preserve">The Company will also be obligated to make cash payments to Roche upon the achievement of various milestones for certain clinical candidates, for which the Company and Roche do not enter into a licensing arrangement, including the first regulatory approval in certain jurisdictions, and upon certain annual sales milestones for candidates that receive regulatory approval. The potential payments range from $2,500,000 to $6,000,000 per milestone. At the time of acquisition, the Company’s estimate of future payments for potential royalties and milestones had a net present value of $84,935 which was recorded as contingent consideration as a part of other noncurrent liabilities. Contingent consideration is calculated by modeling research and development activities for clinical candidates, forecasting timelines to market, and using “peak sales” estimate modeling, cash flows and potential milestone and royalty payments are calculated. The modeling assumes certain success rates, and discount factors related to riskiness of projects and the time value of money to calculate a net present value of future consideration payments to Roche. These estimates are based on many unknown variables that are difficult to estimate, and due to the extended process of drug development prior to marketing of drug candidates, the models must extend many years into the future. Such predictions are inherently uncertain. Each year, the Company re-evaluates its contingent consideration, and if material, makes adjustments to the recorded liability. Any adjustment to the contingent consideration liability is reflected in the Company’s Statement of Operations. During fiscal 2013, the contingent consideration liability was increased by $1.4 million, which is recorded as a part of other noncurrent liabilities on the Company’s Consolidated Balance Sheet. For additional information related to our valuation of this obligation, see </w:t>
      </w:r>
      <w:r>
        <w:rPr>
          <w:rFonts w:ascii="Arial" w:cs="Arial" w:eastAsia="Arial" w:hAnsi="Arial"/>
          <w:sz w:val="16"/>
          <w:szCs w:val="16"/>
          <w:i w:val="1"/>
          <w:iCs w:val="1"/>
          <w:color w:val="auto"/>
        </w:rPr>
        <w:t>Note 11, Fair Value Measurements</w:t>
      </w:r>
      <w:r>
        <w:rPr>
          <w:rFonts w:ascii="Arial" w:cs="Arial" w:eastAsia="Arial" w:hAnsi="Arial"/>
          <w:sz w:val="16"/>
          <w:szCs w:val="16"/>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Intangible assets consist of in-process research and development (“IPR&amp;D”) not subject to amortization, and other intangible assets subject to amortization, which were capitalized as a part of a business combination.</w:t>
      </w:r>
    </w:p>
    <w:p>
      <w:pPr>
        <w:spacing w:after="0" w:line="1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IPR&amp;D represents projects that have not yet received regulatory approval and are required to be classified as indefinite assets until the successful completion or the abandonment of the associated R&amp;D efforts. Accordingly, during the development period after the date of acquisition, these assets will not be amortized until approval is obtained in one or more jurisdictions which, individually or combined, are expected to generate a significant portion of the total revenue expected to be earned by an IPR&amp;D project. At that time, we will determine the useful life of the asset, reclassify the asset out of IPR&amp;D and begin amortization. If the associated R&amp;D effort is abandoned the related IPR&amp;D assets will likely be written off and we would record an impairment loss.</w:t>
      </w:r>
    </w:p>
    <w:p>
      <w:pPr>
        <w:spacing w:after="0" w:line="158" w:lineRule="exact"/>
        <w:rPr>
          <w:sz w:val="20"/>
          <w:szCs w:val="20"/>
          <w:color w:val="auto"/>
        </w:rPr>
      </w:pPr>
    </w:p>
    <w:p>
      <w:pPr>
        <w:jc w:val="both"/>
        <w:ind w:right="100" w:firstLine="518"/>
        <w:spacing w:after="0" w:line="277" w:lineRule="auto"/>
        <w:rPr>
          <w:sz w:val="20"/>
          <w:szCs w:val="20"/>
          <w:color w:val="auto"/>
        </w:rPr>
      </w:pPr>
      <w:r>
        <w:rPr>
          <w:rFonts w:ascii="Arial" w:cs="Arial" w:eastAsia="Arial" w:hAnsi="Arial"/>
          <w:sz w:val="18"/>
          <w:szCs w:val="18"/>
          <w:color w:val="auto"/>
        </w:rPr>
        <w:t>Intangible assets subject to amortization include patents capitalized as part of a business combination as well as license agreements capitalized as part of a business combination from the acquisition of Roche Madison.</w:t>
      </w:r>
    </w:p>
    <w:p>
      <w:pPr>
        <w:spacing w:after="0" w:line="170"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The license agreements are being amortized over the estimated life remaining at the time of acquisition which was 4 years. Patents are amortized over a period of three years to twenty years. The weighted average original amortization period is twelve years. Amortization of license agreements and patents is expected to be approximately $55,000 for fiscal years 2014 and 2015, $13,000 in 2016, and zero thereafter.</w:t>
      </w:r>
    </w:p>
    <w:p>
      <w:pPr>
        <w:spacing w:after="0" w:line="166"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review amounts capitalized as IPR&amp;D for impairment at least annually in the fourth quarter, and whenever events or changes in circumstances indicate that the carrying value of an asset may not be recoverable. In the event the carrying value of the assets is not expected to be recovered, the assets are written down to their estimated fair values. We continue to test our indefinite-lived IPR&amp;D assets for potential impairment until the projects are completed or abandoned.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our intangible asset balances:</w:t>
      </w:r>
    </w:p>
    <w:p>
      <w:pPr>
        <w:spacing w:after="0" w:line="23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Intangible 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Intangible assets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not subject to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subject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amortization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Intangible assets</w:t>
            </w:r>
          </w:p>
        </w:tc>
        <w:tc>
          <w:tcPr>
            <w:tcW w:w="0" w:type="dxa"/>
            <w:vAlign w:val="bottom"/>
          </w:tcPr>
          <w:p>
            <w:pPr>
              <w:spacing w:after="0"/>
              <w:rPr>
                <w:sz w:val="1"/>
                <w:szCs w:val="1"/>
                <w:color w:val="auto"/>
              </w:rPr>
            </w:pPr>
          </w:p>
        </w:tc>
      </w:tr>
      <w:tr>
        <w:trPr>
          <w:trHeight w:val="210"/>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2011</w:t>
            </w:r>
          </w:p>
        </w:tc>
        <w:tc>
          <w:tcPr>
            <w:tcW w:w="18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1,731,211</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1,731,211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Additions—Madison acquisition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944,935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1,174,935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Additions—Alvos acquisition</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2,172,387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2,172,387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Amortization</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(293,964)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(293,964)</w:t>
            </w:r>
          </w:p>
        </w:tc>
        <w:tc>
          <w:tcPr>
            <w:tcW w:w="0" w:type="dxa"/>
            <w:vAlign w:val="bottom"/>
          </w:tcPr>
          <w:p>
            <w:pPr>
              <w:spacing w:after="0"/>
              <w:rPr>
                <w:sz w:val="1"/>
                <w:szCs w:val="1"/>
                <w:color w:val="auto"/>
              </w:rPr>
            </w:pPr>
          </w:p>
        </w:tc>
      </w:tr>
      <w:tr>
        <w:trPr>
          <w:trHeight w:val="210"/>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2012</w:t>
            </w:r>
          </w:p>
        </w:tc>
        <w:tc>
          <w:tcPr>
            <w:tcW w:w="18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3,117,322</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1,667,247</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4,784,569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Impairment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(1,308,047)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(1,308,047)</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(236,009)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(236,009)</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Balance at September 30, 2013</w:t>
            </w:r>
          </w:p>
        </w:tc>
        <w:tc>
          <w:tcPr>
            <w:tcW w:w="18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3,117,322</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(13,663)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(13,663)</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18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3,117,322</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3,226,850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80" w:type="dxa"/>
            <w:vAlign w:val="bottom"/>
            <w:vMerge w:val="restart"/>
          </w:tcPr>
          <w:p>
            <w:pPr>
              <w:jc w:val="right"/>
              <w:ind w:right="39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0"/>
        </w:trPr>
        <w:tc>
          <w:tcPr>
            <w:tcW w:w="35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4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INVESTMENT IN SUBSIDIARIES</w:t>
      </w:r>
    </w:p>
    <w:p>
      <w:pPr>
        <w:spacing w:after="0" w:line="12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In addition to 100% ownership interest in Arrowhead Madison Inc., Arrowhead also maintains majority ownership in Calando Pharmaceuticals, Ablaris Therapeutics, Inc., and a minority investment in Leonardo Biosystems,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Calando Pharmaceuticals, Inc.</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Calando is a developer of polymer delivery systems for siRNA and small molecule based therapeutics. Calando’s current cash resources preclude additional development of its platform technology and therapeutic candidates. Arrowhead has determined that it will not provide substantial further investment to Calando based on Arrowhead evaluation of Calando’s development and business prospects and Calando has been unsuccessful in its efforts to obtain capital from other sources. Calando has ceased operations and terminated its technology license with the California Institute of Technology on which its siRNA therapeutic development efforts were based.</w:t>
      </w:r>
    </w:p>
    <w:p>
      <w:pPr>
        <w:spacing w:after="0" w:line="18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2009, Calando outlicensed its small molecule program to Cerulean Pharma, Inc., a Boston, MA-based biotech company which has continued the development of the program. Under the license, as the development program progresses, Calando could collect partnership, milestone and royalty programs from Cerulean.</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Calando has an outstanding promissory note with a balance of principal and interest totaling $1,167,000 as of December 31, 2013. The promissory note became due November 26, 2013; see Note 7 for further information.</w:t>
      </w:r>
    </w:p>
    <w:p>
      <w:pPr>
        <w:spacing w:after="0" w:line="170"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As of December 31, 2013, Calando owed to Arrowhead $4.5 million under a series of 8% simple interest notes and advances. It is unclear whether these notes will be repaid or converted to equity in the future. The balance of the notes and advances is eliminated in consolidation. In fiscal 2013, the Calando patent estate was returned to Caltech, and the Calando technology is not being pursued.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2013, Arrowhead owned 79% of the outstanding shares of Calando and 76% on a fully diluted basis.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Ablaris Therapeutics, Inc.</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Ablaris was formed and began operations in fiscal 2011, based on the license of certain anti-obesity technology developed at the MD Anderson Cancer Center at the University of Texas. During fiscal 2011, Ablaris raised $2.9 million in cash, of which $1.3 million was invested by Arrowhead and $1.6 million was invested by outside investors, through the issuance of Ablaris Series A Preferred stock.</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2013, Arrowhead owned 64% of the outstanding shares of Ablaris and 64% on a fully diluted basis.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Leonardo Biosystems, Inc.</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Leonardo, a privately-held drug-delivery company ceased operations in December 2013. Arrowhead’s investment in Leonardo and its receivable from Leonardo have been fully reserved.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NOTES PAYABLE</w:t>
      </w:r>
    </w:p>
    <w:p>
      <w:pPr>
        <w:spacing w:after="0" w:line="12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On November 26, 2008, Calando entered into Unsecured Convertible Promissory Note Agreements (“Notes”) for $2.5 million with accredited investors and Arrowhead, which invested $200,000 in the Notes offering. Arrowhead subsequently invested an additional $600,000 in the same offering. Except for one Note in the principal amount of $500,000, all Notes and accrued interest were converted into a total of 2,950 shares of Calando Series A Preferred Stock on June 23, 2009. The remaining Note had a 10% interest rate, matured on November 26, 2010, and was renegotiated and extended until November 26, 2013. The terms of the new note include a 10% interest rate and require two times principal payment at maturity. The interest rate while the Note is in default is 15%. The Note became due on November 26, 2013, but was not repaid due to lack of cash resources at Calando. At December 31, 2013, the Note is reflected on the balance sheet at the maturity amount of $1.0 million. Accrued interest in the amount of $167,000 is reflected as a part of accrued expenses on the Company’s Consolidated Balance Sheet.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At December 31, 2013, the Company had a total of 150,000,000 shares of capital stock authorized for issuance, consisting of 145,000,000 shares of Common Stock, par value $0.001, and 5,000,000 shares of Preferred Stock, par value $0.001.</w:t>
      </w:r>
    </w:p>
    <w:p>
      <w:pPr>
        <w:spacing w:after="0" w:line="1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At December 31, 2013, 39,002,152 shares of Common Stock were outstanding. Additionally, 51,291 shares of Preferred Stock were outstanding, including 5,291 shares of Series B Preferred Stock, convertible into 2,891,257 shares of Common Stock, and 46,000 shares of Series C Preferred Stock, convertible into 7,849,829 shares of Common Stock, (collectively, the “Outstanding Preferred Stock”). At December 31, 2013, 3,451,210 shares were reserved for issuance upon exercise of options granted under Arrowhead’s 2000 Stock Option Plan and 2004 Equity Incentive Plan, as well as for inducement grants made to new employees.</w:t>
      </w:r>
    </w:p>
    <w:p>
      <w:pPr>
        <w:spacing w:after="0" w:line="188"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Outstanding Preferred Stock is convertible to Common Stock by its holder at its stated conversion price, though the Outstanding Preferred Stock is not convertible to the extent the holder would beneficially own more than 9.99% of the number of Common Stock immediately after the conversion. The holders of Outstanding Preferred Stock are eligible to vote with the Common Stock of the Company on an as-converted basis, but only to the extent they are eligible for conversion without exceeding the 9.99% ownership limitation. The Outstanding Preferred Stock does not carry a coupon, but the Outstanding Preferred Stock is entitled to receive dividends on a pari passu basis with Common Stock, when and if declared. In any liquidation or dissolution of the Company, the holders of Outstanding Preferred Stock are entitled to participate in the distribution of the assets, to the extent legally available for distribution, on a pari passu basis with the Common Stock.</w:t>
      </w:r>
    </w:p>
    <w:p>
      <w:pPr>
        <w:spacing w:after="0" w:line="17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On October 20, 2011, the Company and Lincoln Park Capital Fund, LLC, an Illinois limited liability company (“LPC”) entered into a $15 million purchase agreement (the “Purchase Agreement”), whereby LPC agreed to purchase up to $15 million of Common Stock, subject to certain limitations, from time to time during the three-year term of the Purchase Agreement. The Company has the right, in its sole discretion, over a 36-month period to sell up to $15 million of Common Stock (subject to certain limitations) to LPC, depending on certain conditions as set forth in the Purchase Agreement. As of December 31, 2013, the Company had drawn $1 million from the facility.</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On October 21, 2011 and October 24, 2011, the Company entered into Subscription Agreements with certain accredited investors (the “Series A Purchasers”), pursuant to which the Company issued and sold an aggregate of 1,015 shares of Series A Preferred Convertible Stock, $0.001 par value per share, at a purchase price of $1,000 per share. The aggregate purchase price paid for the shares of Series A Preferred was $1,015,000. On February 16, 2012, upon approval by the Company’s shareholders, 1,015 shares of Arrowhead Series A Preferred Convertible Stock, $0.001 par value per share, were converted to 275,782 shares of Common Stock.</w:t>
      </w:r>
    </w:p>
    <w:p>
      <w:pPr>
        <w:spacing w:after="0" w:line="18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On October 21, 2011, the Company entered into a Subscription Agreement with an accredited investor, pursuant to which the Company issued and sold an aggregate of 675,000 shares of Common Stock, $0.001 par value per share, at a purchase price of $3.70 per share. The aggregate purchase price paid by the purchaser for the shares of Common Stock is $2,497,500.</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On August 10, 2012 the Company sold 2,260,869 units at a price of $2.76 per unit. Each unit consisted of one share of common stock and a warrant to purchase 0.75 shares of common stock at an exercise price of $3.25. Gross proceeds from the offering were $6.2 million excluding offering fees and expenses.</w:t>
      </w:r>
    </w:p>
    <w:p>
      <w:pPr>
        <w:spacing w:after="0" w:line="18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In December 2012, the Company sold 1,825,079 units at a price of $2.26 per unit. Each unit consisted of one share of common stock and a warrant to purchase 0.5 shares of common stock. Gross proceeds from the offering were $4.1 million excluding offering fees and expenses. The exercise price of these warrants was $1.83 as of September 30, 2013, and may decrease based on certain specified events. As a result, the Company determined these warrants were ineligible for equity classification. Refer to Note 11 for further discussion regarding these warrants.</w:t>
      </w:r>
    </w:p>
    <w:p>
      <w:pPr>
        <w:spacing w:after="0" w:line="17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In January 2013, the Company sold 1,667,051 units at a price of $2.12 per unit. Each unit consisted of one share of common stock and a warrant to purchase 0.5 shares of common stock. Gross proceeds from the offering were $3.5 million excluding offering fees and expenses. The exercise price of these warrants was $1.83 as of September 30, 2013, and may decrease based on certain specified events. As a result, the Company determined these warrants were ineligible for equity classification. Refer to Note 11 for further discussion regarding these warrants.</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May 2013, the Company sold 14.3 million shares of Arrowhead common stock at a price of $1.83 per share and 9,900 shares of Arrowhead series B convertible preferred stock at a price of $1,000 per share. The series B preferred stock is convertible into common stock at a conversion price of $1.83. Gross proceeds were $36 million. No warrants were issued in the May 2013 financing.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ind w:right="160" w:firstLine="518"/>
        <w:spacing w:after="0" w:line="259" w:lineRule="auto"/>
        <w:rPr>
          <w:sz w:val="20"/>
          <w:szCs w:val="20"/>
          <w:color w:val="auto"/>
        </w:rPr>
      </w:pPr>
      <w:r>
        <w:rPr>
          <w:rFonts w:ascii="Arial" w:cs="Arial" w:eastAsia="Arial" w:hAnsi="Arial"/>
          <w:sz w:val="18"/>
          <w:szCs w:val="18"/>
          <w:color w:val="auto"/>
        </w:rPr>
        <w:t>On October 11, 2013, the Company sold 3,071,672 shares of common stock, at a price of $5.86 per share, and 46,000 shares of Series C Convertible Preferred Stock (the “Preferred Shares”), at a price of $1,000 per share. The Preferred Shares are convertible into shares of common stock at a conversion price of $5.86. The aggregate purchase price paid by the Purchasers for the Shares and Preferred Shares was $64,000,000 and the Company received net proceeds of approximately $60,000,000, after advisory fees and offering expenses.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warrants outstanding at December 31, 2013:</w:t>
      </w:r>
    </w:p>
    <w:p>
      <w:pPr>
        <w:spacing w:after="0" w:line="231"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080" w:type="dxa"/>
            <w:vAlign w:val="bottom"/>
          </w:tcPr>
          <w:p>
            <w:pPr>
              <w:jc w:val="right"/>
              <w:ind w:right="133"/>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71"/>
        </w:trPr>
        <w:tc>
          <w:tcPr>
            <w:tcW w:w="3740" w:type="dxa"/>
            <w:vAlign w:val="bottom"/>
            <w:gridSpan w:val="3"/>
            <w:vMerge w:val="continue"/>
          </w:tcPr>
          <w:p>
            <w:pPr>
              <w:spacing w:after="0"/>
              <w:rPr>
                <w:sz w:val="14"/>
                <w:szCs w:val="14"/>
                <w:color w:val="auto"/>
              </w:rPr>
            </w:pP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rPr>
              <w:t>Warrants</w:t>
            </w:r>
          </w:p>
        </w:tc>
        <w:tc>
          <w:tcPr>
            <w:tcW w:w="18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460" w:type="dxa"/>
            <w:vAlign w:val="bottom"/>
            <w:tcBorders>
              <w:top w:val="single" w:sz="8" w:color="auto"/>
            </w:tcBorders>
            <w:shd w:val="clear" w:color="auto" w:fill="CFF0FC"/>
          </w:tcPr>
          <w:p>
            <w:pPr>
              <w:jc w:val="right"/>
              <w:ind w:right="2850"/>
              <w:spacing w:after="0"/>
              <w:rPr>
                <w:sz w:val="20"/>
                <w:szCs w:val="20"/>
                <w:color w:val="auto"/>
              </w:rPr>
            </w:pPr>
            <w:r>
              <w:rPr>
                <w:rFonts w:ascii="Arial" w:cs="Arial" w:eastAsia="Arial" w:hAnsi="Arial"/>
                <w:sz w:val="18"/>
                <w:szCs w:val="18"/>
                <w:color w:val="auto"/>
              </w:rPr>
              <w:t>70.60</w:t>
            </w:r>
          </w:p>
        </w:tc>
        <w:tc>
          <w:tcPr>
            <w:tcW w:w="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94,897</w:t>
            </w:r>
          </w:p>
        </w:tc>
        <w:tc>
          <w:tcPr>
            <w:tcW w:w="1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jc w:val="right"/>
              <w:ind w:right="285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1,118,357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60" w:type="dxa"/>
            <w:vAlign w:val="bottom"/>
            <w:shd w:val="clear" w:color="auto" w:fill="CFF0FC"/>
          </w:tcPr>
          <w:p>
            <w:pPr>
              <w:jc w:val="right"/>
              <w:ind w:right="2850"/>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341,021</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jc w:val="right"/>
              <w:ind w:right="285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60" w:type="dxa"/>
            <w:vAlign w:val="bottom"/>
            <w:shd w:val="clear" w:color="auto" w:fill="CFF0FC"/>
          </w:tcPr>
          <w:p>
            <w:pPr>
              <w:jc w:val="right"/>
              <w:ind w:right="285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jc w:val="right"/>
              <w:ind w:right="285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1,379,571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60" w:type="dxa"/>
            <w:vAlign w:val="bottom"/>
            <w:shd w:val="clear" w:color="auto" w:fill="CFF0FC"/>
          </w:tcPr>
          <w:p>
            <w:pPr>
              <w:jc w:val="right"/>
              <w:ind w:right="285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t>
            </w:r>
          </w:p>
        </w:tc>
        <w:tc>
          <w:tcPr>
            <w:tcW w:w="3460" w:type="dxa"/>
            <w:vAlign w:val="bottom"/>
            <w:tcBorders>
              <w:bottom w:val="single" w:sz="8" w:color="CFF0FC"/>
            </w:tcBorders>
          </w:tcPr>
          <w:p>
            <w:pPr>
              <w:jc w:val="right"/>
              <w:ind w:right="2850"/>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492,869</w:t>
            </w:r>
          </w:p>
        </w:tc>
        <w:tc>
          <w:tcPr>
            <w:tcW w:w="1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warrants outstanding</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3,553,551</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 Company leases office space for its corporate headquarters in Pasadena, California. The lease expires January 31, 2018. Rental costs are approximately $13,000 per month, increasing 3% annually.</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Company’s research facility in Madison, Wisconsin is leased through February 28, 2019. Monthly rental expense is approximately $22,000. Other monthly rental expenses include common area maintenance and real estate taxes totaling approximately $13,000 per month. Utilities costs are approximately $15,000 per month. Including monthly payments recorded under a capital lease of approximately $21,000, total monthly costs are approximately $71,000 per month.</w:t>
      </w:r>
    </w:p>
    <w:p>
      <w:pPr>
        <w:spacing w:after="0" w:line="187"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Facility and equipment rent expense, related to continuing operations, for three months ended December 31, 2013 and 2012 was $130,000 and $145,000, respectively. From inception to date, rent expense was $4,790,000.</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2013, future minimum lease payments due in fiscal years under capitalized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2014 (remainder of)</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192,634</w:t>
            </w:r>
          </w:p>
        </w:tc>
        <w:tc>
          <w:tcPr>
            <w:tcW w:w="8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256,846</w:t>
            </w:r>
          </w:p>
        </w:tc>
        <w:tc>
          <w:tcPr>
            <w:tcW w:w="8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256,846</w:t>
            </w:r>
          </w:p>
        </w:tc>
        <w:tc>
          <w:tcPr>
            <w:tcW w:w="8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256,846</w:t>
            </w:r>
          </w:p>
        </w:tc>
        <w:tc>
          <w:tcPr>
            <w:tcW w:w="8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256,846</w:t>
            </w:r>
          </w:p>
        </w:tc>
        <w:tc>
          <w:tcPr>
            <w:tcW w:w="8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2019 and thereafter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107,019</w:t>
            </w:r>
          </w:p>
        </w:tc>
        <w:tc>
          <w:tcPr>
            <w:tcW w:w="8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(99,294)</w:t>
            </w: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Principal</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1,227,743</w:t>
            </w:r>
          </w:p>
        </w:tc>
        <w:tc>
          <w:tcPr>
            <w:tcW w:w="8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(221,345)</w:t>
            </w: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Noncurrent portion</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1,006,398</w:t>
            </w:r>
          </w:p>
        </w:tc>
        <w:tc>
          <w:tcPr>
            <w:tcW w:w="8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2013, future minimum lease payments due in fiscal years under operating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2014 (remainder of)</w:t>
            </w:r>
          </w:p>
        </w:tc>
        <w:tc>
          <w:tcPr>
            <w:tcW w:w="2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325,672</w:t>
            </w:r>
          </w:p>
        </w:tc>
        <w:tc>
          <w:tcPr>
            <w:tcW w:w="8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2015</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445,921</w:t>
            </w:r>
          </w:p>
        </w:tc>
        <w:tc>
          <w:tcPr>
            <w:tcW w:w="8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2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457,961</w:t>
            </w:r>
          </w:p>
        </w:tc>
        <w:tc>
          <w:tcPr>
            <w:tcW w:w="8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2017</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470,154</w:t>
            </w:r>
          </w:p>
        </w:tc>
        <w:tc>
          <w:tcPr>
            <w:tcW w:w="8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359,370</w:t>
            </w:r>
          </w:p>
        </w:tc>
        <w:tc>
          <w:tcPr>
            <w:tcW w:w="80" w:type="dxa"/>
            <w:vAlign w:val="bottom"/>
            <w:shd w:val="clear" w:color="auto" w:fill="CFF0FC"/>
          </w:tcPr>
          <w:p>
            <w:pPr>
              <w:spacing w:after="0"/>
              <w:rPr>
                <w:sz w:val="18"/>
                <w:szCs w:val="18"/>
                <w:color w:val="auto"/>
              </w:rPr>
            </w:pPr>
          </w:p>
        </w:tc>
      </w:tr>
      <w:tr>
        <w:trPr>
          <w:trHeight w:val="216"/>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and thereafter</w:t>
            </w:r>
          </w:p>
        </w:tc>
        <w:tc>
          <w:tcPr>
            <w:tcW w:w="26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125,415</w:t>
            </w:r>
          </w:p>
        </w:tc>
        <w:tc>
          <w:tcPr>
            <w:tcW w:w="80" w:type="dxa"/>
            <w:vAlign w:val="bottom"/>
            <w:tcBorders>
              <w:bottom w:val="single" w:sz="8" w:color="CFF0FC"/>
            </w:tcBorders>
          </w:tcPr>
          <w:p>
            <w:pPr>
              <w:spacing w:after="0"/>
              <w:rPr>
                <w:sz w:val="18"/>
                <w:szCs w:val="18"/>
                <w:color w:val="auto"/>
              </w:rPr>
            </w:pPr>
          </w:p>
        </w:tc>
      </w:tr>
      <w:tr>
        <w:trPr>
          <w:trHeight w:val="210"/>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2,184,493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341"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Arrowhead has two plans that provide for equity-based compensation. Under the 2000 Stock Option Plan, 153,200 shares of Arrowhead’s Common Stock are reserved for issuance upon exercise of non-qualified stock options. No further grants can be made under the 2000 Stock Option Plan. The 2004 Equity Incentive Plan reserves 2,902,360 shares for the grant of stock options, stock appreciation rights, restricted stock awards and performance unit/share awards by the Board of Directors to employees, consultants and others. As of December 31, 2013, there were options granted and outstanding to purchase 152,900 and 2,874,640 shares of Common Stock under the 2000 Stock Option Plan and the 2004 Equity Incentive Plan, respectively. Also, as of December 31, 2013, there were 395,950 shares reserved for options issued outside of equity compensation plans, as inducement grants to new employees. During three months ended December 31, 2013, No options were granted under the 2004 Equity Incentive Plan, and 105,000 options were granted outside of equity incentive plans as inducement stock options to new employees.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information about stock options: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Per Share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Term</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2011</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729,096</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1,229,500</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(42,919)</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11.77</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(4,883)</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5.20</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2012</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1,910,794</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6.10</w:t>
            </w:r>
          </w:p>
        </w:tc>
        <w:tc>
          <w:tcPr>
            <w:tcW w:w="10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1,509,166</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2013</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3,419,285</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105,000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(37,970)</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4.77</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(62,825)</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4.83</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2013</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3,423,490</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4.77</w:t>
            </w:r>
          </w:p>
        </w:tc>
        <w:tc>
          <w:tcPr>
            <w:tcW w:w="1220" w:type="dxa"/>
            <w:vAlign w:val="bottom"/>
            <w:tcBorders>
              <w:top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8.1 years</w:t>
            </w:r>
          </w:p>
        </w:tc>
        <w:tc>
          <w:tcPr>
            <w:tcW w:w="140" w:type="dxa"/>
            <w:vAlign w:val="bottom"/>
            <w:tcBorders>
              <w:top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21,646,786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Exercisable At December 31, 2013</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CFF0FC"/>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CFF0FC"/>
            </w:tcBorders>
            <w:vMerge w:val="restart"/>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CFF0FC"/>
            </w:tcBorders>
            <w:vMerge w:val="restart"/>
          </w:tcPr>
          <w:p>
            <w:pPr>
              <w:spacing w:after="0" w:line="20" w:lineRule="exact"/>
              <w:rPr>
                <w:sz w:val="1"/>
                <w:szCs w:val="1"/>
                <w:color w:val="auto"/>
              </w:rPr>
            </w:pPr>
          </w:p>
        </w:tc>
        <w:tc>
          <w:tcPr>
            <w:tcW w:w="20" w:type="dxa"/>
            <w:vAlign w:val="bottom"/>
            <w:tcBorders>
              <w:top w:val="single" w:sz="8" w:color="CFF0FC"/>
              <w:bottom w:val="single" w:sz="8" w:color="CFF0FC"/>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CFF0FC"/>
            </w:tcBorders>
            <w:vMerge w:val="restart"/>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1,377,779</w:t>
            </w: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7.25</w:t>
            </w:r>
          </w:p>
        </w:tc>
        <w:tc>
          <w:tcPr>
            <w:tcW w:w="220" w:type="dxa"/>
            <w:vAlign w:val="bottom"/>
            <w:vMerge w:val="continue"/>
          </w:tcPr>
          <w:p>
            <w:pPr>
              <w:spacing w:after="0"/>
              <w:rPr>
                <w:sz w:val="17"/>
                <w:szCs w:val="17"/>
                <w:color w:val="auto"/>
              </w:rPr>
            </w:pPr>
          </w:p>
        </w:tc>
        <w:tc>
          <w:tcPr>
            <w:tcW w:w="1020" w:type="dxa"/>
            <w:vAlign w:val="bottom"/>
            <w:tcBorders>
              <w:bottom w:val="single" w:sz="8" w:color="auto"/>
            </w:tcBorders>
          </w:tcPr>
          <w:p>
            <w:pPr>
              <w:ind w:left="360"/>
              <w:spacing w:after="0" w:line="196" w:lineRule="exact"/>
              <w:rPr>
                <w:sz w:val="20"/>
                <w:szCs w:val="20"/>
                <w:color w:val="auto"/>
              </w:rPr>
            </w:pPr>
            <w:r>
              <w:rPr>
                <w:rFonts w:ascii="Arial" w:cs="Arial" w:eastAsia="Arial" w:hAnsi="Arial"/>
                <w:sz w:val="18"/>
                <w:szCs w:val="18"/>
                <w:color w:val="auto"/>
                <w:w w:val="86"/>
              </w:rPr>
              <w:t>7.6 years</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7,038,191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Stock-based compensation expense for the three months ended December 31, 2013 and 2012 was $521,138 and $395,674, respectively. There is no income tax benefit as the Company is currently operating at a loss and an actual income tax benefit may not be realized. The loss creates a timing difference, resulting in a deferred tax asset, which is fully reserved by a valuation allowance.</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fair value of the options granted by Arrowhead for the three months ended December 31, 2013 and 2012 is estimated at $531,510 and $6,083, respectively. No Calando stock options were issued during the three months ended December 31, 2013 or 2012.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intrinsic value of the options exercised during the three months ended December 31, 2013 and 2012 was $314,858 and $554, respectively.</w:t>
      </w:r>
    </w:p>
    <w:p>
      <w:pPr>
        <w:spacing w:after="0" w:line="237"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As of December 31, 2013, the pre-tax compensation expense for all unvested stock options at Arrowhead in the amount of approximately $5,111,999 will be recognized in our results of operations over a weighted average period of 3.0 years. As of December 31, 2013, the pre-tax compensation expense for all unvested stock options at Calando in the amount of approximately $28,695 will be recognized in our results of operations over a weighted average period of 1.8 years.</w:t>
      </w:r>
    </w:p>
    <w:p>
      <w:pPr>
        <w:spacing w:after="0" w:line="187" w:lineRule="exact"/>
        <w:rPr>
          <w:sz w:val="20"/>
          <w:szCs w:val="20"/>
          <w:color w:val="auto"/>
        </w:rPr>
      </w:pPr>
    </w:p>
    <w:p>
      <w:pPr>
        <w:jc w:val="both"/>
        <w:ind w:right="140" w:firstLine="518"/>
        <w:spacing w:after="0" w:line="273"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our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121" w:right="3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3360" w:type="dxa"/>
            <w:vAlign w:val="bottom"/>
            <w:tcBorders>
              <w:bottom w:val="single" w:sz="8" w:color="auto"/>
            </w:tcBorders>
            <w:gridSpan w:val="5"/>
          </w:tcPr>
          <w:p>
            <w:pPr>
              <w:jc w:val="right"/>
              <w:ind w:right="533"/>
              <w:spacing w:after="0"/>
              <w:rPr>
                <w:sz w:val="20"/>
                <w:szCs w:val="20"/>
                <w:color w:val="auto"/>
              </w:rPr>
            </w:pPr>
            <w:r>
              <w:rPr>
                <w:rFonts w:ascii="Arial" w:cs="Arial" w:eastAsia="Arial" w:hAnsi="Arial"/>
                <w:sz w:val="14"/>
                <w:szCs w:val="14"/>
                <w:b w:val="1"/>
                <w:bCs w:val="1"/>
                <w:color w:val="auto"/>
              </w:rPr>
              <w:t>Three months ended December 31,</w:t>
            </w:r>
          </w:p>
        </w:tc>
      </w:tr>
      <w:tr>
        <w:trPr>
          <w:trHeight w:val="210"/>
        </w:trPr>
        <w:tc>
          <w:tcPr>
            <w:tcW w:w="45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2012</w:t>
            </w:r>
          </w:p>
        </w:tc>
      </w:tr>
      <w:tr>
        <w:trPr>
          <w:trHeight w:val="21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0.7% to 1.0%</w:t>
            </w: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04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5.5 to 6.25</w:t>
            </w:r>
          </w:p>
        </w:tc>
      </w:tr>
      <w:tr>
        <w:trPr>
          <w:trHeight w:val="202"/>
        </w:trPr>
        <w:tc>
          <w:tcPr>
            <w:tcW w:w="452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w w:val="94"/>
              </w:rPr>
              <w:t>Weighted average grant date fair value per share of options</w:t>
            </w:r>
          </w:p>
        </w:tc>
        <w:tc>
          <w:tcPr>
            <w:tcW w:w="10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30"/>
        </w:trPr>
        <w:tc>
          <w:tcPr>
            <w:tcW w:w="4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FF0FC"/>
          </w:tcPr>
          <w:p>
            <w:pPr>
              <w:jc w:val="right"/>
              <w:ind w:right="762"/>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1.51</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 summarizes fair value measurements at December 31, 2013 and September 30, 2013 for assets and liabilities measured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59,713,424</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59,713,424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Derivative assets</w:t>
            </w:r>
          </w:p>
        </w:tc>
        <w:tc>
          <w:tcPr>
            <w:tcW w:w="5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5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5,097,442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5,097,442</w:t>
            </w:r>
          </w:p>
        </w:tc>
      </w:tr>
      <w:tr>
        <w:trPr>
          <w:trHeight w:val="230"/>
        </w:trPr>
        <w:tc>
          <w:tcPr>
            <w:tcW w:w="46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9"/>
              </w:rPr>
              <w:t>Acquisition related contingent consideration obligations</w:t>
            </w:r>
          </w:p>
        </w:tc>
        <w:tc>
          <w:tcPr>
            <w:tcW w:w="5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1,595,273</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1,595,273</w:t>
            </w: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19,114,444</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19,114,444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Derivative assets</w:t>
            </w:r>
          </w:p>
        </w:tc>
        <w:tc>
          <w:tcPr>
            <w:tcW w:w="5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5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4,096,363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4,096,363</w:t>
            </w:r>
          </w:p>
        </w:tc>
      </w:tr>
      <w:tr>
        <w:trPr>
          <w:trHeight w:val="230"/>
        </w:trPr>
        <w:tc>
          <w:tcPr>
            <w:tcW w:w="46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9"/>
              </w:rPr>
              <w:t>Acquisition related contingent consideration obligations</w:t>
            </w:r>
          </w:p>
        </w:tc>
        <w:tc>
          <w:tcPr>
            <w:tcW w:w="5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1,595,273</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1,595,273</w:t>
            </w:r>
          </w:p>
        </w:tc>
      </w:tr>
    </w:tbl>
    <w:p>
      <w:pPr>
        <w:spacing w:after="0" w:line="187"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The Company invests its excess cash balances in short and long-term corporate bonds, generally with remaining maturities of less than two years. At December 31, 2013, the Company had short-term investments of $15,912,757, and long-term investments of $9,837,846, for a total of $25,750,603. The fair value of its investment at December 31, 2013 was $25,533,387. The Company expects to hold such investments until maturity, and thus unrealized gains and losses from the fluctuations in the fair value of the securities are not likely to be realized.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3" w:name="page24"/>
    <w:bookmarkEnd w:id="23"/>
    <w:p>
      <w:pPr>
        <w:ind w:firstLine="518"/>
        <w:spacing w:after="0" w:line="271" w:lineRule="auto"/>
        <w:rPr>
          <w:sz w:val="20"/>
          <w:szCs w:val="20"/>
          <w:color w:val="auto"/>
        </w:rPr>
      </w:pPr>
      <w:r>
        <w:rPr>
          <w:rFonts w:ascii="Arial" w:cs="Arial" w:eastAsia="Arial" w:hAnsi="Arial"/>
          <w:sz w:val="17"/>
          <w:szCs w:val="17"/>
          <w:color w:val="auto"/>
        </w:rPr>
        <w:t>As part of the proceeds from the sale of Unidym in January 2011, Arrowhead received a bond from Wisepower in the face amount of $2.5 million. The bond is convertible to Wisepower common stock at a price of $2.00 per share. The conversion feature is subject to derivative accounting as prescribed under ASC 815. Accordingly, the fair value of the conversion feature on the date of issuance was estimated using an option pricing model and recorded on the Company’s consolidated balance sheet as a derivative asset. The fair value of the conversion feature is estimated at the end of each reporting period and the change in the fair value of the conversion feature is recorded as a nonoperating gain/loss as change in value of derivatives in Company’s Consolidated Statement of Operations. During the quarter ended March 31, 2013, the trading of Wisepower stock was halted. Trading resumed in July 2013, but the trading price is significantly below the conversion price. During fiscal 2013, the Company determined that the probability of realizing value from the conversion feature was remote, and the derivative asset value was reduced to zero.</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December 31, 2013, there was no change in the fair value of the derivative asset.</w:t>
      </w:r>
    </w:p>
    <w:p>
      <w:pPr>
        <w:spacing w:after="0" w:line="225" w:lineRule="exact"/>
        <w:rPr>
          <w:sz w:val="20"/>
          <w:szCs w:val="20"/>
          <w:color w:val="auto"/>
        </w:rPr>
      </w:pPr>
    </w:p>
    <w:p>
      <w:pPr>
        <w:ind w:right="520" w:firstLine="518"/>
        <w:spacing w:after="0" w:line="254" w:lineRule="auto"/>
        <w:rPr>
          <w:sz w:val="20"/>
          <w:szCs w:val="20"/>
          <w:color w:val="auto"/>
        </w:rPr>
      </w:pPr>
      <w:r>
        <w:rPr>
          <w:rFonts w:ascii="Arial" w:cs="Arial" w:eastAsia="Arial" w:hAnsi="Arial"/>
          <w:sz w:val="18"/>
          <w:szCs w:val="18"/>
          <w:color w:val="auto"/>
        </w:rPr>
        <w:t>The assumptions used in valuing the derivative asset were not applicable as the value has been determined to be zero at December 31, 2013 and September 30, 2013.</w:t>
      </w:r>
    </w:p>
    <w:tbl>
      <w:tblPr>
        <w:tblLayout w:type="fixed"/>
        <w:tblInd w:w="520" w:type="dxa"/>
        <w:tblCellMar>
          <w:top w:w="0" w:type="dxa"/>
          <w:left w:w="0" w:type="dxa"/>
          <w:bottom w:w="0" w:type="dxa"/>
          <w:right w:w="0" w:type="dxa"/>
        </w:tblCellMar>
      </w:tblPr>
      <w:tr>
        <w:trPr>
          <w:trHeight w:val="134"/>
        </w:trPr>
        <w:tc>
          <w:tcPr>
            <w:tcW w:w="86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14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6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140" w:type="dxa"/>
            <w:vAlign w:val="bottom"/>
            <w:shd w:val="clear" w:color="auto" w:fill="CFF0FC"/>
          </w:tcPr>
          <w:p>
            <w:pPr>
              <w:ind w:left="96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Expected life</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140" w:type="dxa"/>
            <w:vAlign w:val="bottom"/>
            <w:shd w:val="clear" w:color="auto" w:fill="CFF0FC"/>
          </w:tcPr>
          <w:p>
            <w:pPr>
              <w:ind w:left="96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Volatility</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710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asset:</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6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114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250,250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Receipt of instruments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Decrease in value</w:t>
            </w: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(250,250)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settlements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Receipt of instruments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Decrease in value</w:t>
            </w: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settlements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December 31, 2013</w:t>
            </w: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As part of an equity financing in June 2010, Arrowhead issued warrants to acquire up to 329,649 shares of Common Stock (the “2010 Warrants”), of which 50,836 warrants were outstanding at December 31, 2013, which contain a mechanism to adjust the strike price upon the issuance of certain dilutive equity securities. If during the term of the 2010 Warrants, the Company issues Common Stock at a price lower than the exercise price of the 2010 Warrants, the exercise price of the 2010 Warrants would be reduced to the amount equal to the issuance price of the Common Stock. Similarly, as part of a financing in December 2012, Arrowhead issued warrants to acquire up to 912,543 shares of Common Stock (the “2012 Warrants”) of which 324,461 warrants were outstanding at December 31, 2013, which contain a mechanism to adjust the strike price upon the issuance of certain dilutive equity securities. If during the term of the 2012 Warrants, the Company issues Common Stock at a price lower than the exercise price of the 2012 Warrants, the exercise price of the 2012 Warrants would be reduced to the amount equal to the issuance price of the Common Stock. Further, as part of a financing in January 2013, Arrowhead issued warrants to acquire up to 833,530 shares of Common Stock (the “2013 Warrants”) of which 168,408 warrants were outstanding at December 31, 2013 which contain a mechanism to adjust the strike price upon the issuance of certain dilutive equity securities. If during the term of the 2013 Warrants, the Company issues Common Stock at a price lower than the exercise price of the 2013 Warrants, the exercise price of the 2013 Warrants would be reduced to the amount equal to the issuance price of the Common Stock. As a result of these features, the 2010 Warrants, the 2012 Warrants, and the 2013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in the Company’s consolidated statement of operations. During the three months ended December 31, 2013, the Company recorded a non-cash loss from the change in fair value of the derivative liability of $3,519,579.</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41" w:right="25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color w:val="auto"/>
        </w:rPr>
        <w:t>The assumptions used in valuing the derivative liability were as follows:</w:t>
      </w:r>
    </w:p>
    <w:p>
      <w:pPr>
        <w:spacing w:after="0" w:line="262"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000" w:type="dxa"/>
            <w:vAlign w:val="bottom"/>
            <w:gridSpan w:val="2"/>
          </w:tcPr>
          <w:p>
            <w:pPr>
              <w:ind w:left="860"/>
              <w:spacing w:after="0"/>
              <w:rPr>
                <w:sz w:val="20"/>
                <w:szCs w:val="20"/>
                <w:color w:val="auto"/>
              </w:rPr>
            </w:pPr>
            <w:r>
              <w:rPr>
                <w:rFonts w:ascii="Arial" w:cs="Arial" w:eastAsia="Arial" w:hAnsi="Arial"/>
                <w:sz w:val="18"/>
                <w:szCs w:val="18"/>
                <w:b w:val="1"/>
                <w:bCs w:val="1"/>
                <w:color w:val="auto"/>
              </w:rPr>
              <w:t>2010 Warrants</w:t>
            </w:r>
          </w:p>
        </w:tc>
        <w:tc>
          <w:tcPr>
            <w:tcW w:w="4080" w:type="dxa"/>
            <w:vAlign w:val="bottom"/>
            <w:gridSpan w:val="3"/>
          </w:tcPr>
          <w:p>
            <w:pPr>
              <w:jc w:val="right"/>
              <w:ind w:right="1580"/>
              <w:spacing w:after="0"/>
              <w:rPr>
                <w:sz w:val="20"/>
                <w:szCs w:val="20"/>
                <w:color w:val="auto"/>
              </w:rPr>
            </w:pPr>
            <w:r>
              <w:rPr>
                <w:rFonts w:ascii="Arial" w:cs="Arial" w:eastAsia="Arial" w:hAnsi="Arial"/>
                <w:sz w:val="18"/>
                <w:szCs w:val="18"/>
                <w:color w:val="auto"/>
              </w:rPr>
              <w:t>December 31, 2013</w:t>
            </w:r>
          </w:p>
        </w:tc>
        <w:tc>
          <w:tcPr>
            <w:tcW w:w="1460" w:type="dxa"/>
            <w:vAlign w:val="bottom"/>
            <w:gridSpan w:val="6"/>
          </w:tcPr>
          <w:p>
            <w:pPr>
              <w:jc w:val="right"/>
              <w:ind w:right="20"/>
              <w:spacing w:after="0"/>
              <w:rPr>
                <w:sz w:val="20"/>
                <w:szCs w:val="20"/>
                <w:color w:val="auto"/>
              </w:rPr>
            </w:pPr>
            <w:r>
              <w:rPr>
                <w:rFonts w:ascii="Arial" w:cs="Arial" w:eastAsia="Arial" w:hAnsi="Arial"/>
                <w:sz w:val="18"/>
                <w:szCs w:val="18"/>
                <w:color w:val="auto"/>
                <w:w w:val="87"/>
              </w:rPr>
              <w:t>September 30, 2013</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4080" w:type="dxa"/>
            <w:vAlign w:val="bottom"/>
            <w:gridSpan w:val="3"/>
            <w:shd w:val="clear" w:color="auto" w:fill="CFF0FC"/>
          </w:tcPr>
          <w:p>
            <w:pPr>
              <w:jc w:val="right"/>
              <w:ind w:right="1580"/>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860"/>
              <w:spacing w:after="0"/>
              <w:rPr>
                <w:sz w:val="20"/>
                <w:szCs w:val="20"/>
                <w:color w:val="auto"/>
              </w:rPr>
            </w:pPr>
            <w:r>
              <w:rPr>
                <w:rFonts w:ascii="Arial" w:cs="Arial" w:eastAsia="Arial" w:hAnsi="Arial"/>
                <w:sz w:val="18"/>
                <w:szCs w:val="18"/>
                <w:color w:val="auto"/>
              </w:rPr>
              <w:t>Expected life</w:t>
            </w:r>
          </w:p>
        </w:tc>
        <w:tc>
          <w:tcPr>
            <w:tcW w:w="1080" w:type="dxa"/>
            <w:vAlign w:val="bottom"/>
          </w:tcPr>
          <w:p>
            <w:pPr>
              <w:spacing w:after="0"/>
              <w:rPr>
                <w:sz w:val="21"/>
                <w:szCs w:val="21"/>
                <w:color w:val="auto"/>
              </w:rPr>
            </w:pPr>
          </w:p>
        </w:tc>
        <w:tc>
          <w:tcPr>
            <w:tcW w:w="3000" w:type="dxa"/>
            <w:vAlign w:val="bottom"/>
            <w:gridSpan w:val="2"/>
          </w:tcPr>
          <w:p>
            <w:pPr>
              <w:jc w:val="right"/>
              <w:ind w:right="1580"/>
              <w:spacing w:after="0"/>
              <w:rPr>
                <w:sz w:val="20"/>
                <w:szCs w:val="20"/>
                <w:color w:val="auto"/>
              </w:rPr>
            </w:pPr>
            <w:r>
              <w:rPr>
                <w:rFonts w:ascii="Arial" w:cs="Arial" w:eastAsia="Arial" w:hAnsi="Arial"/>
                <w:sz w:val="18"/>
                <w:szCs w:val="18"/>
                <w:color w:val="auto"/>
              </w:rPr>
              <w:t>2.0 Years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2.2 Years</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FF0FC"/>
          </w:tcPr>
          <w:p>
            <w:pPr>
              <w:spacing w:after="0"/>
              <w:rPr>
                <w:sz w:val="21"/>
                <w:szCs w:val="21"/>
                <w:color w:val="auto"/>
              </w:rPr>
            </w:pPr>
          </w:p>
        </w:tc>
        <w:tc>
          <w:tcPr>
            <w:tcW w:w="3000" w:type="dxa"/>
            <w:vAlign w:val="bottom"/>
            <w:gridSpan w:val="2"/>
            <w:shd w:val="clear" w:color="auto" w:fill="CFF0FC"/>
          </w:tcPr>
          <w:p>
            <w:pPr>
              <w:jc w:val="right"/>
              <w:ind w:right="1580"/>
              <w:spacing w:after="0"/>
              <w:rPr>
                <w:sz w:val="20"/>
                <w:szCs w:val="20"/>
                <w:color w:val="auto"/>
              </w:rPr>
            </w:pPr>
            <w:r>
              <w:rPr>
                <w:rFonts w:ascii="Arial" w:cs="Arial" w:eastAsia="Arial" w:hAnsi="Arial"/>
                <w:sz w:val="18"/>
                <w:szCs w:val="18"/>
                <w:color w:val="auto"/>
              </w:rPr>
              <w:t>None</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3"/>
        </w:trPr>
        <w:tc>
          <w:tcPr>
            <w:tcW w:w="4000" w:type="dxa"/>
            <w:vAlign w:val="bottom"/>
            <w:gridSpan w:val="2"/>
          </w:tcPr>
          <w:p>
            <w:pPr>
              <w:ind w:left="860"/>
              <w:spacing w:after="0"/>
              <w:rPr>
                <w:sz w:val="20"/>
                <w:szCs w:val="20"/>
                <w:color w:val="auto"/>
              </w:rPr>
            </w:pPr>
            <w:r>
              <w:rPr>
                <w:rFonts w:ascii="Arial" w:cs="Arial" w:eastAsia="Arial" w:hAnsi="Arial"/>
                <w:sz w:val="18"/>
                <w:szCs w:val="18"/>
                <w:color w:val="auto"/>
              </w:rPr>
              <w:t>Volatility</w:t>
            </w:r>
          </w:p>
        </w:tc>
        <w:tc>
          <w:tcPr>
            <w:tcW w:w="4080" w:type="dxa"/>
            <w:vAlign w:val="bottom"/>
            <w:gridSpan w:val="3"/>
          </w:tcPr>
          <w:p>
            <w:pPr>
              <w:jc w:val="right"/>
              <w:ind w:right="15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860"/>
              <w:spacing w:after="0" w:line="202" w:lineRule="exact"/>
              <w:rPr>
                <w:sz w:val="20"/>
                <w:szCs w:val="20"/>
                <w:color w:val="auto"/>
              </w:rPr>
            </w:pPr>
            <w:r>
              <w:rPr>
                <w:rFonts w:ascii="Arial" w:cs="Arial" w:eastAsia="Arial" w:hAnsi="Arial"/>
                <w:sz w:val="18"/>
                <w:szCs w:val="18"/>
                <w:b w:val="1"/>
                <w:bCs w:val="1"/>
                <w:color w:val="auto"/>
              </w:rPr>
              <w:t>2012 Warrants</w:t>
            </w:r>
          </w:p>
        </w:tc>
        <w:tc>
          <w:tcPr>
            <w:tcW w:w="4080" w:type="dxa"/>
            <w:vAlign w:val="bottom"/>
            <w:gridSpan w:val="3"/>
          </w:tcPr>
          <w:p>
            <w:pPr>
              <w:jc w:val="right"/>
              <w:ind w:right="1580"/>
              <w:spacing w:after="0" w:line="202" w:lineRule="exact"/>
              <w:rPr>
                <w:sz w:val="20"/>
                <w:szCs w:val="20"/>
                <w:color w:val="auto"/>
              </w:rPr>
            </w:pPr>
            <w:r>
              <w:rPr>
                <w:rFonts w:ascii="Arial" w:cs="Arial" w:eastAsia="Arial" w:hAnsi="Arial"/>
                <w:sz w:val="18"/>
                <w:szCs w:val="18"/>
                <w:color w:val="auto"/>
              </w:rPr>
              <w:t>December 31, 2013</w:t>
            </w:r>
          </w:p>
        </w:tc>
        <w:tc>
          <w:tcPr>
            <w:tcW w:w="1460" w:type="dxa"/>
            <w:vAlign w:val="bottom"/>
            <w:gridSpan w:val="6"/>
          </w:tcPr>
          <w:p>
            <w:pPr>
              <w:jc w:val="right"/>
              <w:ind w:right="20"/>
              <w:spacing w:after="0" w:line="202" w:lineRule="exact"/>
              <w:rPr>
                <w:sz w:val="20"/>
                <w:szCs w:val="20"/>
                <w:color w:val="auto"/>
              </w:rPr>
            </w:pPr>
            <w:r>
              <w:rPr>
                <w:rFonts w:ascii="Arial" w:cs="Arial" w:eastAsia="Arial" w:hAnsi="Arial"/>
                <w:sz w:val="18"/>
                <w:szCs w:val="18"/>
                <w:color w:val="auto"/>
                <w:w w:val="87"/>
              </w:rPr>
              <w:t>September 30, 2013</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4080" w:type="dxa"/>
            <w:vAlign w:val="bottom"/>
            <w:gridSpan w:val="3"/>
            <w:shd w:val="clear" w:color="auto" w:fill="CFF0FC"/>
          </w:tcPr>
          <w:p>
            <w:pPr>
              <w:jc w:val="right"/>
              <w:ind w:right="158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4000" w:type="dxa"/>
            <w:vAlign w:val="bottom"/>
            <w:gridSpan w:val="2"/>
          </w:tcPr>
          <w:p>
            <w:pPr>
              <w:ind w:left="860"/>
              <w:spacing w:after="0"/>
              <w:rPr>
                <w:sz w:val="20"/>
                <w:szCs w:val="20"/>
                <w:color w:val="auto"/>
              </w:rPr>
            </w:pPr>
            <w:r>
              <w:rPr>
                <w:rFonts w:ascii="Arial" w:cs="Arial" w:eastAsia="Arial" w:hAnsi="Arial"/>
                <w:sz w:val="18"/>
                <w:szCs w:val="18"/>
                <w:color w:val="auto"/>
              </w:rPr>
              <w:t>Expected life</w:t>
            </w:r>
          </w:p>
        </w:tc>
        <w:tc>
          <w:tcPr>
            <w:tcW w:w="1080" w:type="dxa"/>
            <w:vAlign w:val="bottom"/>
          </w:tcPr>
          <w:p>
            <w:pPr>
              <w:spacing w:after="0"/>
              <w:rPr>
                <w:sz w:val="21"/>
                <w:szCs w:val="21"/>
                <w:color w:val="auto"/>
              </w:rPr>
            </w:pPr>
          </w:p>
        </w:tc>
        <w:tc>
          <w:tcPr>
            <w:tcW w:w="3000" w:type="dxa"/>
            <w:vAlign w:val="bottom"/>
            <w:gridSpan w:val="2"/>
          </w:tcPr>
          <w:p>
            <w:pPr>
              <w:jc w:val="right"/>
              <w:ind w:right="1580"/>
              <w:spacing w:after="0"/>
              <w:rPr>
                <w:sz w:val="20"/>
                <w:szCs w:val="20"/>
                <w:color w:val="auto"/>
              </w:rPr>
            </w:pPr>
            <w:r>
              <w:rPr>
                <w:rFonts w:ascii="Arial" w:cs="Arial" w:eastAsia="Arial" w:hAnsi="Arial"/>
                <w:sz w:val="18"/>
                <w:szCs w:val="18"/>
                <w:color w:val="auto"/>
              </w:rPr>
              <w:t>4.0 Years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4.2 Years</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FF0FC"/>
          </w:tcPr>
          <w:p>
            <w:pPr>
              <w:spacing w:after="0"/>
              <w:rPr>
                <w:sz w:val="21"/>
                <w:szCs w:val="21"/>
                <w:color w:val="auto"/>
              </w:rPr>
            </w:pPr>
          </w:p>
        </w:tc>
        <w:tc>
          <w:tcPr>
            <w:tcW w:w="3000" w:type="dxa"/>
            <w:vAlign w:val="bottom"/>
            <w:gridSpan w:val="2"/>
            <w:shd w:val="clear" w:color="auto" w:fill="CFF0FC"/>
          </w:tcPr>
          <w:p>
            <w:pPr>
              <w:jc w:val="right"/>
              <w:ind w:right="1580"/>
              <w:spacing w:after="0"/>
              <w:rPr>
                <w:sz w:val="20"/>
                <w:szCs w:val="20"/>
                <w:color w:val="auto"/>
              </w:rPr>
            </w:pPr>
            <w:r>
              <w:rPr>
                <w:rFonts w:ascii="Arial" w:cs="Arial" w:eastAsia="Arial" w:hAnsi="Arial"/>
                <w:sz w:val="18"/>
                <w:szCs w:val="18"/>
                <w:color w:val="auto"/>
              </w:rPr>
              <w:t>None</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3"/>
        </w:trPr>
        <w:tc>
          <w:tcPr>
            <w:tcW w:w="4000" w:type="dxa"/>
            <w:vAlign w:val="bottom"/>
            <w:gridSpan w:val="2"/>
          </w:tcPr>
          <w:p>
            <w:pPr>
              <w:ind w:left="860"/>
              <w:spacing w:after="0"/>
              <w:rPr>
                <w:sz w:val="20"/>
                <w:szCs w:val="20"/>
                <w:color w:val="auto"/>
              </w:rPr>
            </w:pPr>
            <w:r>
              <w:rPr>
                <w:rFonts w:ascii="Arial" w:cs="Arial" w:eastAsia="Arial" w:hAnsi="Arial"/>
                <w:sz w:val="18"/>
                <w:szCs w:val="18"/>
                <w:color w:val="auto"/>
              </w:rPr>
              <w:t>Volatility</w:t>
            </w:r>
          </w:p>
        </w:tc>
        <w:tc>
          <w:tcPr>
            <w:tcW w:w="4080" w:type="dxa"/>
            <w:vAlign w:val="bottom"/>
            <w:gridSpan w:val="3"/>
          </w:tcPr>
          <w:p>
            <w:pPr>
              <w:jc w:val="right"/>
              <w:ind w:right="15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860"/>
              <w:spacing w:after="0" w:line="202" w:lineRule="exact"/>
              <w:rPr>
                <w:sz w:val="20"/>
                <w:szCs w:val="20"/>
                <w:color w:val="auto"/>
              </w:rPr>
            </w:pPr>
            <w:r>
              <w:rPr>
                <w:rFonts w:ascii="Arial" w:cs="Arial" w:eastAsia="Arial" w:hAnsi="Arial"/>
                <w:sz w:val="18"/>
                <w:szCs w:val="18"/>
                <w:b w:val="1"/>
                <w:bCs w:val="1"/>
                <w:color w:val="auto"/>
              </w:rPr>
              <w:t>2013 Warrants</w:t>
            </w:r>
          </w:p>
        </w:tc>
        <w:tc>
          <w:tcPr>
            <w:tcW w:w="4080" w:type="dxa"/>
            <w:vAlign w:val="bottom"/>
            <w:gridSpan w:val="3"/>
          </w:tcPr>
          <w:p>
            <w:pPr>
              <w:jc w:val="right"/>
              <w:ind w:right="1580"/>
              <w:spacing w:after="0" w:line="202" w:lineRule="exact"/>
              <w:rPr>
                <w:sz w:val="20"/>
                <w:szCs w:val="20"/>
                <w:color w:val="auto"/>
              </w:rPr>
            </w:pPr>
            <w:r>
              <w:rPr>
                <w:rFonts w:ascii="Arial" w:cs="Arial" w:eastAsia="Arial" w:hAnsi="Arial"/>
                <w:sz w:val="18"/>
                <w:szCs w:val="18"/>
                <w:color w:val="auto"/>
              </w:rPr>
              <w:t>December 31, 2013</w:t>
            </w:r>
          </w:p>
        </w:tc>
        <w:tc>
          <w:tcPr>
            <w:tcW w:w="1460" w:type="dxa"/>
            <w:vAlign w:val="bottom"/>
            <w:gridSpan w:val="6"/>
          </w:tcPr>
          <w:p>
            <w:pPr>
              <w:jc w:val="right"/>
              <w:ind w:right="20"/>
              <w:spacing w:after="0" w:line="202" w:lineRule="exact"/>
              <w:rPr>
                <w:sz w:val="20"/>
                <w:szCs w:val="20"/>
                <w:color w:val="auto"/>
              </w:rPr>
            </w:pPr>
            <w:r>
              <w:rPr>
                <w:rFonts w:ascii="Arial" w:cs="Arial" w:eastAsia="Arial" w:hAnsi="Arial"/>
                <w:sz w:val="18"/>
                <w:szCs w:val="18"/>
                <w:color w:val="auto"/>
                <w:w w:val="87"/>
              </w:rPr>
              <w:t>September 30, 2013</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4080" w:type="dxa"/>
            <w:vAlign w:val="bottom"/>
            <w:gridSpan w:val="3"/>
            <w:shd w:val="clear" w:color="auto" w:fill="CFF0FC"/>
          </w:tcPr>
          <w:p>
            <w:pPr>
              <w:jc w:val="right"/>
              <w:ind w:right="158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4000" w:type="dxa"/>
            <w:vAlign w:val="bottom"/>
            <w:gridSpan w:val="2"/>
          </w:tcPr>
          <w:p>
            <w:pPr>
              <w:ind w:left="860"/>
              <w:spacing w:after="0"/>
              <w:rPr>
                <w:sz w:val="20"/>
                <w:szCs w:val="20"/>
                <w:color w:val="auto"/>
              </w:rPr>
            </w:pPr>
            <w:r>
              <w:rPr>
                <w:rFonts w:ascii="Arial" w:cs="Arial" w:eastAsia="Arial" w:hAnsi="Arial"/>
                <w:sz w:val="18"/>
                <w:szCs w:val="18"/>
                <w:color w:val="auto"/>
              </w:rPr>
              <w:t>Expected life</w:t>
            </w:r>
          </w:p>
        </w:tc>
        <w:tc>
          <w:tcPr>
            <w:tcW w:w="1080" w:type="dxa"/>
            <w:vAlign w:val="bottom"/>
          </w:tcPr>
          <w:p>
            <w:pPr>
              <w:spacing w:after="0"/>
              <w:rPr>
                <w:sz w:val="21"/>
                <w:szCs w:val="21"/>
                <w:color w:val="auto"/>
              </w:rPr>
            </w:pPr>
          </w:p>
        </w:tc>
        <w:tc>
          <w:tcPr>
            <w:tcW w:w="3000" w:type="dxa"/>
            <w:vAlign w:val="bottom"/>
            <w:gridSpan w:val="2"/>
          </w:tcPr>
          <w:p>
            <w:pPr>
              <w:jc w:val="right"/>
              <w:ind w:right="1580"/>
              <w:spacing w:after="0"/>
              <w:rPr>
                <w:sz w:val="20"/>
                <w:szCs w:val="20"/>
                <w:color w:val="auto"/>
              </w:rPr>
            </w:pPr>
            <w:r>
              <w:rPr>
                <w:rFonts w:ascii="Arial" w:cs="Arial" w:eastAsia="Arial" w:hAnsi="Arial"/>
                <w:sz w:val="18"/>
                <w:szCs w:val="18"/>
                <w:color w:val="auto"/>
              </w:rPr>
              <w:t>4.1 Years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4.3 Years</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FF0FC"/>
          </w:tcPr>
          <w:p>
            <w:pPr>
              <w:spacing w:after="0"/>
              <w:rPr>
                <w:sz w:val="21"/>
                <w:szCs w:val="21"/>
                <w:color w:val="auto"/>
              </w:rPr>
            </w:pPr>
          </w:p>
        </w:tc>
        <w:tc>
          <w:tcPr>
            <w:tcW w:w="3000" w:type="dxa"/>
            <w:vAlign w:val="bottom"/>
            <w:gridSpan w:val="2"/>
            <w:shd w:val="clear" w:color="auto" w:fill="CFF0FC"/>
          </w:tcPr>
          <w:p>
            <w:pPr>
              <w:jc w:val="right"/>
              <w:ind w:right="1580"/>
              <w:spacing w:after="0"/>
              <w:rPr>
                <w:sz w:val="20"/>
                <w:szCs w:val="20"/>
                <w:color w:val="auto"/>
              </w:rPr>
            </w:pPr>
            <w:r>
              <w:rPr>
                <w:rFonts w:ascii="Arial" w:cs="Arial" w:eastAsia="Arial" w:hAnsi="Arial"/>
                <w:sz w:val="18"/>
                <w:szCs w:val="18"/>
                <w:color w:val="auto"/>
              </w:rPr>
              <w:t>None</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3"/>
        </w:trPr>
        <w:tc>
          <w:tcPr>
            <w:tcW w:w="4000" w:type="dxa"/>
            <w:vAlign w:val="bottom"/>
            <w:gridSpan w:val="2"/>
          </w:tcPr>
          <w:p>
            <w:pPr>
              <w:ind w:left="860"/>
              <w:spacing w:after="0"/>
              <w:rPr>
                <w:sz w:val="20"/>
                <w:szCs w:val="20"/>
                <w:color w:val="auto"/>
              </w:rPr>
            </w:pPr>
            <w:r>
              <w:rPr>
                <w:rFonts w:ascii="Arial" w:cs="Arial" w:eastAsia="Arial" w:hAnsi="Arial"/>
                <w:sz w:val="18"/>
                <w:szCs w:val="18"/>
                <w:color w:val="auto"/>
              </w:rPr>
              <w:t>Volatility</w:t>
            </w:r>
          </w:p>
        </w:tc>
        <w:tc>
          <w:tcPr>
            <w:tcW w:w="4080" w:type="dxa"/>
            <w:vAlign w:val="bottom"/>
            <w:gridSpan w:val="3"/>
          </w:tcPr>
          <w:p>
            <w:pPr>
              <w:jc w:val="right"/>
              <w:ind w:right="15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46"/>
        </w:trPr>
        <w:tc>
          <w:tcPr>
            <w:tcW w:w="8080" w:type="dxa"/>
            <w:vAlign w:val="bottom"/>
            <w:gridSpan w:val="5"/>
          </w:tcPr>
          <w:p>
            <w:pPr>
              <w:spacing w:after="0"/>
              <w:rPr>
                <w:sz w:val="20"/>
                <w:szCs w:val="20"/>
                <w:color w:val="auto"/>
              </w:rPr>
            </w:pPr>
            <w:r>
              <w:rPr>
                <w:rFonts w:ascii="Arial" w:cs="Arial" w:eastAsia="Arial" w:hAnsi="Arial"/>
                <w:sz w:val="18"/>
                <w:szCs w:val="18"/>
                <w:color w:val="auto"/>
              </w:rPr>
              <w:t>The following is a reconciliation of the derivative liability related to these warrants: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3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10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626,195</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2,153,819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10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5,066,591</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Net settlements</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(3,754,808)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08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gridSpan w:val="2"/>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4,091,797</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3140" w:type="dxa"/>
            <w:vAlign w:val="bottom"/>
          </w:tcPr>
          <w:p>
            <w:pPr>
              <w:spacing w:after="0" w:line="201" w:lineRule="exact"/>
              <w:rPr>
                <w:sz w:val="20"/>
                <w:szCs w:val="20"/>
                <w:color w:val="auto"/>
              </w:rPr>
            </w:pPr>
            <w:r>
              <w:rPr>
                <w:rFonts w:ascii="Arial" w:cs="Arial" w:eastAsia="Arial" w:hAnsi="Arial"/>
                <w:sz w:val="18"/>
                <w:szCs w:val="18"/>
                <w:color w:val="auto"/>
              </w:rPr>
              <w:t>Issuance of instruments</w:t>
            </w: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gridSpan w:val="2"/>
          </w:tcPr>
          <w:p>
            <w:pPr>
              <w:ind w:left="860"/>
              <w:spacing w:after="0"/>
              <w:rPr>
                <w:sz w:val="20"/>
                <w:szCs w:val="20"/>
                <w:color w:val="auto"/>
              </w:rPr>
            </w:pPr>
            <w:r>
              <w:rPr>
                <w:rFonts w:ascii="Arial" w:cs="Arial" w:eastAsia="Arial" w:hAnsi="Arial"/>
                <w:sz w:val="18"/>
                <w:szCs w:val="18"/>
                <w:color w:val="auto"/>
              </w:rPr>
              <w:t>Change in value</w:t>
            </w:r>
          </w:p>
        </w:tc>
        <w:tc>
          <w:tcPr>
            <w:tcW w:w="1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3,507,496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Net settlements</w:t>
            </w:r>
          </w:p>
        </w:tc>
        <w:tc>
          <w:tcPr>
            <w:tcW w:w="10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(2,518,502)</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Value at December 31, 2013</w:t>
            </w: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5,080,791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conjunction with the financing of Ablaris in fiscal 2011, Arrowhead sold exchange rights to certain investors whereby the investors have the right to exchange their shares of Ablaris for a prescribed number of Arrowhead shares based upon a predefined ratio. The exchange rights have a seven-year term. During the first year, the exchange right allows the holder to exchange one Ablaris share for 0.06 Arrowhead shares (as adjusted for a subsequent reverse stock split). This ratio declines to 0.04 in the second year, 0.03 in the third year and 0.02 in the fourth year. In the fifth year and beyond the exchange ratio is 0.01. Exchange rights for 675,000 Ablaris shares were sold in fiscal 2011, and remain outstanding at December 31, 2013.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During the three months ended December 31, 2013, the Company recorded a non-cash loss from the change in fair value of the derivative liability of $12,082.</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valuing the derivative liability were as follows:</w:t>
      </w:r>
    </w:p>
    <w:tbl>
      <w:tblPr>
        <w:tblLayout w:type="fixed"/>
        <w:tblInd w:w="138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2900" w:type="dxa"/>
            <w:vAlign w:val="bottom"/>
          </w:tcPr>
          <w:p>
            <w:pPr>
              <w:spacing w:after="0"/>
              <w:rPr>
                <w:sz w:val="14"/>
                <w:szCs w:val="14"/>
                <w:color w:val="auto"/>
              </w:rPr>
            </w:pPr>
          </w:p>
        </w:tc>
        <w:tc>
          <w:tcPr>
            <w:tcW w:w="4540" w:type="dxa"/>
            <w:vAlign w:val="bottom"/>
            <w:gridSpan w:val="2"/>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2013</w:t>
            </w:r>
          </w:p>
        </w:tc>
      </w:tr>
      <w:tr>
        <w:trPr>
          <w:trHeight w:val="210"/>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33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Expected life</w:t>
            </w:r>
          </w:p>
        </w:tc>
        <w:tc>
          <w:tcPr>
            <w:tcW w:w="33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4.3 Years</w:t>
            </w:r>
          </w:p>
        </w:tc>
      </w:tr>
      <w:tr>
        <w:trPr>
          <w:trHeight w:val="216"/>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33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None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None</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Volatility</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18"/>
        </w:trPr>
        <w:tc>
          <w:tcPr>
            <w:tcW w:w="2900" w:type="dxa"/>
            <w:vAlign w:val="bottom"/>
          </w:tcPr>
          <w:p>
            <w:pPr>
              <w:spacing w:after="0"/>
              <w:rPr>
                <w:sz w:val="24"/>
                <w:szCs w:val="24"/>
                <w:color w:val="auto"/>
              </w:rPr>
            </w:pPr>
          </w:p>
        </w:tc>
        <w:tc>
          <w:tcPr>
            <w:tcW w:w="3380" w:type="dxa"/>
            <w:vAlign w:val="bottom"/>
          </w:tcPr>
          <w:p>
            <w:pPr>
              <w:jc w:val="right"/>
              <w:ind w:right="1776"/>
              <w:spacing w:after="0"/>
              <w:rPr>
                <w:sz w:val="20"/>
                <w:szCs w:val="20"/>
                <w:color w:val="auto"/>
              </w:rPr>
            </w:pPr>
            <w:r>
              <w:rPr>
                <w:rFonts w:ascii="Arial" w:cs="Arial" w:eastAsia="Arial" w:hAnsi="Arial"/>
                <w:sz w:val="18"/>
                <w:szCs w:val="18"/>
                <w:color w:val="auto"/>
              </w:rPr>
              <w:t>23</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341" w:right="259" w:bottom="1440" w:gutter="0" w:footer="0" w:header="0"/>
        </w:sectPr>
      </w:pPr>
    </w:p>
    <w:bookmarkStart w:id="25" w:name="page26"/>
    <w:bookmarkEnd w:id="25"/>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exchange rights: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8260" w:type="dxa"/>
            <w:vAlign w:val="bottom"/>
            <w:gridSpan w:val="2"/>
          </w:tcPr>
          <w:p>
            <w:pPr>
              <w:ind w:left="860"/>
              <w:spacing w:after="0"/>
              <w:rPr>
                <w:sz w:val="20"/>
                <w:szCs w:val="20"/>
                <w:color w:val="auto"/>
              </w:rPr>
            </w:pPr>
            <w:r>
              <w:rPr>
                <w:rFonts w:ascii="Arial" w:cs="Arial" w:eastAsia="Arial" w:hAnsi="Arial"/>
                <w:sz w:val="18"/>
                <w:szCs w:val="18"/>
                <w:color w:val="auto"/>
              </w:rPr>
              <w:t>Value at September 30, 2012</w:t>
            </w: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Issuance of instruments</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Change in value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(5,806)</w:t>
            </w:r>
          </w:p>
        </w:tc>
      </w:tr>
      <w:tr>
        <w:trPr>
          <w:trHeight w:val="216"/>
        </w:trPr>
        <w:tc>
          <w:tcPr>
            <w:tcW w:w="860" w:type="dxa"/>
            <w:vAlign w:val="bottom"/>
          </w:tcPr>
          <w:p>
            <w:pPr>
              <w:spacing w:after="0"/>
              <w:rPr>
                <w:sz w:val="18"/>
                <w:szCs w:val="18"/>
                <w:color w:val="auto"/>
              </w:rPr>
            </w:pPr>
          </w:p>
        </w:tc>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Net settlements</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86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Value at September 30, 2013</w:t>
            </w:r>
          </w:p>
        </w:tc>
        <w:tc>
          <w:tcPr>
            <w:tcW w:w="20" w:type="dxa"/>
            <w:vAlign w:val="bottom"/>
          </w:tcPr>
          <w:p>
            <w:pPr>
              <w:spacing w:after="0"/>
              <w:rPr>
                <w:sz w:val="18"/>
                <w:szCs w:val="18"/>
                <w:color w:val="auto"/>
              </w:rPr>
            </w:pPr>
          </w:p>
        </w:tc>
        <w:tc>
          <w:tcPr>
            <w:tcW w:w="360" w:type="dxa"/>
            <w:vAlign w:val="bottom"/>
            <w:tcBorders>
              <w:top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Issuance of instruments</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Change in value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12,082</w:t>
            </w:r>
          </w:p>
        </w:tc>
        <w:tc>
          <w:tcPr>
            <w:tcW w:w="1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Net settlements</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86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Value at December 31, 2013</w:t>
            </w: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16,651</w:t>
            </w:r>
          </w:p>
        </w:tc>
        <w:tc>
          <w:tcPr>
            <w:tcW w:w="12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 Other inputs have a comparatively insignificant effect.</w:t>
      </w:r>
    </w:p>
    <w:p>
      <w:pPr>
        <w:spacing w:after="0" w:line="18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During fiscal 2012, contingent consideration was recorded upon the acquisitions of Roche Madison Inc. and Alvos Therapeutics, Inc., totaling $173,621.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our own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we utilize data regarding similar milestone events from several sources, including industry studies and our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we record in any given period. Changes in the fair value of the contingent consideration obligations are recorded in our consolidated statement of operations.</w:t>
      </w:r>
    </w:p>
    <w:p>
      <w:pPr>
        <w:spacing w:after="0" w:line="18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contingent consideration fair value.</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58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2012</w:t>
            </w:r>
          </w:p>
        </w:tc>
        <w:tc>
          <w:tcPr>
            <w:tcW w:w="18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15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1,421,652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1,595,273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December 31, 2013</w:t>
            </w:r>
          </w:p>
        </w:tc>
        <w:tc>
          <w:tcPr>
            <w:tcW w:w="15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1,595,273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fair value of contingent consideration obligations is estimated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Each of these assumptions can have a significant impact on the calculation of contingent consideration.</w:t>
      </w:r>
    </w:p>
    <w:p>
      <w:pPr>
        <w:spacing w:after="0" w:line="178"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debt obligations approximates fair value based on market interest rates.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57" w:right="259" w:bottom="1440" w:gutter="0" w:footer="0" w:header="0"/>
        </w:sectPr>
      </w:pPr>
    </w:p>
    <w:bookmarkStart w:id="26" w:name="page27"/>
    <w:bookmarkEnd w:id="26"/>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this report under the caption “Risk Factors” as well as the additional risks described in other documents we file from time to time with the Securities and Exchange Commission (“SEC”), including our most recent Annual Report on Form 10-K.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Arrowhead Research Corporation is a biopharmaceutical company developing targeted RNAi therapeutics. The Company is leveraging its proprietary drug delivery technologies to develop drugs based on the RNA interference mechanism that efficiently silences disease-causing genes. These platforms have yielded several drug candidates under internal and partnered development. Arrowhead technologies also enable partners to create peptide-drug conjugates that specifically home to cell types of interest while sparing off-target tissues. Arrowhead’s pipeline includes clinical programs in chronic hepatitis B virus and partner-based programs in obesity and oncology.</w:t>
      </w:r>
    </w:p>
    <w:p>
      <w:pPr>
        <w:spacing w:after="0" w:line="188"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Arrowhead is leveraging its in-house R&amp;D expertise and capabilities, as well as a broad intellectual property portfolio for RNAi therapeutics, and RNAi and peptide delivery vehicles and targeting methods to seek development partnerships with other pharmaceutical and biotech companies committed to bringing RNAi therapeutics to market, as well as continuing the preclinical and clinical development of its own clinical candidates.</w:t>
      </w:r>
    </w:p>
    <w:p>
      <w:pPr>
        <w:spacing w:after="0" w:line="166"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Arrowhead operates a lab facility in Madison, Wisconsin, supporting the Company’s initiatives including the development of RNAi therapeutics. The Company’s principal executive offices are located at 225 South Lake Avenue, Suite 1050, Pasadena, California 91101, and its telephone number is (626) 304-3400.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color w:val="auto"/>
        </w:rPr>
        <w:t>Arrowhead has historically financed its operations primarily through the sale of Arrowhead securities. Research and development activities have required significant capital investment and are expected to continue to require significant cash investment for the foreseeable future.</w:t>
      </w:r>
    </w:p>
    <w:p>
      <w:pPr>
        <w:spacing w:after="0" w:line="147"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At December 31, 2013, the Company had $85.5 million in cash and liquid investments to fund operations. During the three months ended December 31, 2013, the Company’s cash position increased significantly primarily due proceeds from the sale of equity securities of approximately $60 million, net of related fees. Cash inflow from the exercise of warrants and stock options were $2.8 million during the three months ended December 31, 2013.</w:t>
      </w:r>
    </w:p>
    <w:p>
      <w:pPr>
        <w:spacing w:after="0" w:line="14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During the three months ended December 31, 2013, cash used in operating activities was $7.0 million, which represents the on-going expenses for research and development activities, business development, and general and administrative expenses.</w:t>
      </w:r>
    </w:p>
    <w:p>
      <w:pPr>
        <w:spacing w:after="0" w:line="170"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Cash used in investing activities was $15.1 million, of which $15.0 million related to investments in marketable fixed income securities. Capital expenditures were $0.1 million.</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Cash provided by financing activities was $62.8 million. The Company completed a financing in October 2013 in the amount of $60.0 million, net of fees. Additionally, financing activities included cash inflow from the exercise of warrants and options of $2.8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Recent Financing Activity / Sources of Capital:</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On October 11, 2013, the Company sold 3,071,672 shares of Common Stock, at a price of $5.86 per share, and 46,000 shares of Series C Convertible Preferred Stock (the “Preferred Shares”), at a price of $1,000 per share. The Preferred Shares are convertible into shares of Common Stock at a conversion price of $5.86 per share. The aggregate purchase price paid by the Purchasers for the Common Stock and Preferred Shares was $64,000,000 and the Company received net proceeds of approximately $60,000,000, after advisory fees and offering expenses.</w:t>
      </w:r>
    </w:p>
    <w:p>
      <w:pPr>
        <w:spacing w:after="0" w:line="171"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In May 2013, the Company sold 14.3 million shares of Arrowhead common stock at a price of $1.83 per share, and 9,900 shares of Arrowhead Series B Convertible Preferred Stock at a price of $1,000 per share. The Series B Preferred Stock is convertible into Common Stock at a conversion price of $1.83. Gross proceeds were $36 million.</w:t>
      </w:r>
    </w:p>
    <w:p>
      <w:pPr>
        <w:spacing w:after="0" w:line="181"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On January 25, 2013, the Company sold 1.7 million units at a price of $2.12 per unit in a public offering. Each unit consisted of one share of Common Stock and a warrant to purchase 0.5 share of Common Stock. The exercise price of these warrants was $2.14 as of June 30, 2013. Gross proceeds from the offering were $3.5 million; net proceeds were $3.3 million after deducting commissions and other offering expenses.</w:t>
      </w:r>
    </w:p>
    <w:p>
      <w:pPr>
        <w:spacing w:after="0" w:line="166"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color w:val="auto"/>
        </w:rPr>
        <w:t>On December 6, 2012, the Company sold 1.8 million units at a price of $2.26 per unit in a public offering. Each unit consisted of one share of Common Stock and a warrant to purchase 0.5 share of Common Stock. The exercise price of these warrants was $2.12 as of June 30, 2013. Gross proceeds from the offering were $4.1 million; net proceeds were $3.8 million after deducting commissions and other offering expenses.</w:t>
      </w:r>
    </w:p>
    <w:p>
      <w:pPr>
        <w:spacing w:after="0" w:line="166"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Based upon the Company’s current cash resources and operating plan, the Company expects to have sufficient liquidity to fund operations for at least the next twelve months.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accounting principles generally accepted in the United States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 Accounting Policies</w:t>
      </w:r>
      <w:r>
        <w:rPr>
          <w:rFonts w:ascii="Arial" w:cs="Arial" w:eastAsia="Arial" w:hAnsi="Arial"/>
          <w:sz w:val="16"/>
          <w:szCs w:val="16"/>
          <w:color w:val="auto"/>
        </w:rPr>
        <w:t>, to our Consolidated Financial Statements which outlines our application of significant accounting policies and new accounting standards.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Revenue from product sales are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49" w:right="25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October 2011, we acquired all of the outstanding common stock of Roche Madison, Inc. and certain related intellectual property assets for a</w:t>
      </w:r>
    </w:p>
    <w:p>
      <w:pPr>
        <w:spacing w:after="0" w:line="35"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color w:val="auto"/>
        </w:rPr>
        <w:t>$50,000 promissory note and 1,288,158 shares of Arrowhead Common Stock, an estimated consideration value of $5.1 million on the date of the acquisition. We assigned the value of the consideration to the tangible assets and identifiable intangible assets and the liabilities assumed on the basis of their fair values on the date of acquisition. The excess of net assets over the consideration was recorded as a nonoperating gain.</w:t>
      </w:r>
    </w:p>
    <w:p>
      <w:pPr>
        <w:spacing w:after="0" w:line="173" w:lineRule="exact"/>
        <w:rPr>
          <w:sz w:val="20"/>
          <w:szCs w:val="20"/>
          <w:color w:val="auto"/>
        </w:rPr>
      </w:pPr>
    </w:p>
    <w:p>
      <w:pPr>
        <w:jc w:val="both"/>
        <w:ind w:right="600" w:firstLine="518"/>
        <w:spacing w:after="0" w:line="264" w:lineRule="auto"/>
        <w:rPr>
          <w:sz w:val="20"/>
          <w:szCs w:val="20"/>
          <w:color w:val="auto"/>
        </w:rPr>
      </w:pPr>
      <w:r>
        <w:rPr>
          <w:rFonts w:ascii="Arial" w:cs="Arial" w:eastAsia="Arial" w:hAnsi="Arial"/>
          <w:sz w:val="18"/>
          <w:szCs w:val="18"/>
          <w:color w:val="auto"/>
        </w:rPr>
        <w:t>In April 2012, we acquired all of the outstanding common stock of Alvos Therapeutics, Inc. in exchange for the issuance of 315,457 shares of Arrowhead Common Stock, valued at $2.0 million at the time of acquisition. The consideration was assigned to its tangible and intangible assets, and liabilities based on estimated fair values at the time of acquisition.</w:t>
      </w:r>
    </w:p>
    <w:p>
      <w:pPr>
        <w:spacing w:after="0" w:line="18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allocation of value to certain items, including property and equipment, intangible assets and certain liabilities require management judgment, and is based upon the information available at the time of acquisition.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Intangible assets consist of in-process research and development, patents and license agreements acquired in conjunction with a business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firstLine="518"/>
        <w:spacing w:after="0" w:line="327" w:lineRule="auto"/>
        <w:rPr>
          <w:sz w:val="20"/>
          <w:szCs w:val="20"/>
          <w:color w:val="auto"/>
        </w:rPr>
      </w:pPr>
      <w:r>
        <w:rPr>
          <w:rFonts w:ascii="Arial" w:cs="Arial" w:eastAsia="Arial" w:hAnsi="Arial"/>
          <w:sz w:val="15"/>
          <w:szCs w:val="15"/>
          <w:color w:val="auto"/>
        </w:rPr>
        <w:t>We recognize stock-based compensation expense based on the grant date fair value using the Black-Scholes options pricing model, which requires us to make assumptions regarding certain variables including the risk-free interest rate, expected stock price volatility, and the expected life of the award.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Assets and Liabilities</w:t>
      </w:r>
    </w:p>
    <w:p>
      <w:pPr>
        <w:spacing w:after="0" w:line="117"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 For example, at September 30, 2013, a 25% change in the value of the Company’s stock price would affect the value of the derivative liability by approximately $1.2 million to $1.3 million, depending on other inputs.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49"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Overview of recent research and development activity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July 2013, the Company began a Phase 1 clinical trial in Australia in healthy volunteers to characterize the safety profile of ARC-520. This trial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completed anticipated enrollment in October 2013, and the Company is preparing for a Phase 2a pilot efficacy study for chronically infected HBV</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patients. The Company continues to develop other clinical candidates for future clinical trials, focusing on intravenous-administered liver targets, as well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subcutaneous liver targets.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Company had a consolidated loss attributable to Arrowhead of $10,628,312 for the three months ended December 31, 2013, compared to a consolidated loss attributable to Arrowhead of $4,614,159 for the three months ended December 31, 2012. Details of the results of operations are presented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recorded revenue of $42,750 during the three months ended December 31, 2013, compared to $159,016 during the three months ended December 31, 2012. The revenue in fiscal 2014 was related to three license agreements for technology acquired through the acquisition of Roche Madison, Inc. The revenue in fiscal 2013 also included $115,266 in non-recurring services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The following tables provide details of operating expenses for the three months ended December 31, 2013 and 2012.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 Three months ended December 31, 2013 compared to the three months ended December 31, 2012</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Company employs management, administrative, and scientific and technical staff at its corporate offices and its research facility. Salaries expense consists of salary and related benefits. Salary and benefits include two major categories: general and administrative compensation expense, and research and development compensation expense, depending on the primary activities of each employee. Arrowhead also manages certain general and administrative functions for Leonardo and charges fees for those services. The following table provides detail of salary and wage expenses for the three months ended December 31, 2013 as compared to the three months ended December 31, 2012.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i w:val="1"/>
                <w:iCs w:val="1"/>
                <w:color w:val="auto"/>
              </w:rPr>
              <w:t>(in thousands, except percentages)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0"/>
              </w:rPr>
              <w:t>Three months</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4"/>
              </w:rPr>
              <w:t>% of</w:t>
            </w:r>
          </w:p>
        </w:tc>
        <w:tc>
          <w:tcPr>
            <w:tcW w:w="160" w:type="dxa"/>
            <w:vAlign w:val="bottom"/>
          </w:tcPr>
          <w:p>
            <w:pPr>
              <w:spacing w:after="0"/>
              <w:rPr>
                <w:sz w:val="20"/>
                <w:szCs w:val="20"/>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88"/>
              </w:rPr>
              <w:t>Three months</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4"/>
              </w:rPr>
              <w:t>% of</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Ended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Expense</w:t>
            </w:r>
          </w:p>
        </w:tc>
        <w:tc>
          <w:tcPr>
            <w:tcW w:w="1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Ended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Expense</w:t>
            </w:r>
          </w:p>
        </w:tc>
        <w:tc>
          <w:tcPr>
            <w:tcW w:w="140" w:type="dxa"/>
            <w:vAlign w:val="bottom"/>
          </w:tcPr>
          <w:p>
            <w:pPr>
              <w:spacing w:after="0"/>
              <w:rPr>
                <w:sz w:val="18"/>
                <w:szCs w:val="18"/>
                <w:color w:val="auto"/>
              </w:rPr>
            </w:pPr>
          </w:p>
        </w:tc>
        <w:tc>
          <w:tcPr>
            <w:tcW w:w="1820" w:type="dxa"/>
            <w:vAlign w:val="bottom"/>
            <w:gridSpan w:val="4"/>
          </w:tcPr>
          <w:p>
            <w:pPr>
              <w:jc w:val="right"/>
              <w:ind w:right="340"/>
              <w:spacing w:after="0"/>
              <w:rPr>
                <w:sz w:val="20"/>
                <w:szCs w:val="20"/>
                <w:color w:val="auto"/>
              </w:rPr>
            </w:pPr>
            <w:r>
              <w:rPr>
                <w:rFonts w:ascii="Arial" w:cs="Arial" w:eastAsia="Arial" w:hAnsi="Arial"/>
                <w:sz w:val="18"/>
                <w:szCs w:val="18"/>
                <w:color w:val="auto"/>
                <w:w w:val="89"/>
              </w:rPr>
              <w:t>Increase (Decrease)</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Arial" w:cs="Arial" w:eastAsia="Arial" w:hAnsi="Arial"/>
                <w:sz w:val="18"/>
                <w:szCs w:val="18"/>
                <w:color w:val="auto"/>
              </w:rPr>
              <w:t>December 31, 2013</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Category</w:t>
            </w:r>
          </w:p>
        </w:tc>
        <w:tc>
          <w:tcPr>
            <w:tcW w:w="1620" w:type="dxa"/>
            <w:vAlign w:val="bottom"/>
            <w:gridSpan w:val="3"/>
          </w:tcPr>
          <w:p>
            <w:pPr>
              <w:spacing w:after="0"/>
              <w:rPr>
                <w:sz w:val="20"/>
                <w:szCs w:val="20"/>
                <w:color w:val="auto"/>
              </w:rPr>
            </w:pPr>
            <w:r>
              <w:rPr>
                <w:rFonts w:ascii="Arial" w:cs="Arial" w:eastAsia="Arial" w:hAnsi="Arial"/>
                <w:sz w:val="18"/>
                <w:szCs w:val="18"/>
                <w:color w:val="auto"/>
              </w:rPr>
              <w:t>December 31, 2012</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Category</w:t>
            </w:r>
          </w:p>
        </w:tc>
        <w:tc>
          <w:tcPr>
            <w:tcW w:w="140" w:type="dxa"/>
            <w:vAlign w:val="bottom"/>
          </w:tcPr>
          <w:p>
            <w:pPr>
              <w:spacing w:after="0"/>
              <w:rPr>
                <w:sz w:val="20"/>
                <w:szCs w:val="20"/>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G&amp;A - compensation-related</w:t>
            </w:r>
          </w:p>
        </w:tc>
        <w:tc>
          <w:tcPr>
            <w:tcW w:w="6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20" w:type="dxa"/>
            <w:vAlign w:val="bottom"/>
            <w:vMerge w:val="continue"/>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00" w:type="dxa"/>
            <w:vAlign w:val="bottom"/>
            <w:vMerge w:val="continue"/>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R&amp;D - compensation-related</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1,330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6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w:t>
            </w:r>
          </w:p>
        </w:tc>
        <w:tc>
          <w:tcPr>
            <w:tcW w:w="220" w:type="dxa"/>
            <w:vAlign w:val="bottom"/>
            <w:vMerge w:val="continue"/>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200" w:type="dxa"/>
            <w:vAlign w:val="bottom"/>
            <w:vMerge w:val="continue"/>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G&amp;A compensation expense was $751,000 during the three months ended December 31, 2013, compared to $584,000 in the comparable prior period. Salary expense, payroll taxes and benefit costs were higher by approximately $70,000 during the quarter as compared to the comparable prior period, representing incremental salary adjustments. Annual performance bonuses were paid to certain employees during the quarter totaling $40,000 in expense; none were paid in the prior period.</w:t>
      </w:r>
    </w:p>
    <w:p>
      <w:pPr>
        <w:spacing w:after="0" w:line="187" w:lineRule="exact"/>
        <w:rPr>
          <w:sz w:val="20"/>
          <w:szCs w:val="20"/>
          <w:color w:val="auto"/>
        </w:rPr>
      </w:pPr>
    </w:p>
    <w:p>
      <w:pPr>
        <w:ind w:right="320" w:firstLine="518"/>
        <w:spacing w:after="0" w:line="302" w:lineRule="auto"/>
        <w:rPr>
          <w:sz w:val="20"/>
          <w:szCs w:val="20"/>
          <w:color w:val="auto"/>
        </w:rPr>
      </w:pPr>
      <w:r>
        <w:rPr>
          <w:rFonts w:ascii="Arial" w:cs="Arial" w:eastAsia="Arial" w:hAnsi="Arial"/>
          <w:sz w:val="16"/>
          <w:szCs w:val="16"/>
          <w:color w:val="auto"/>
        </w:rPr>
        <w:t>R&amp;D compensation expense was $1,330,000 during the three months ended December 31, 2013, compared to $1,045,000 in the comparable prior period. Salary expense, payroll taxes and benefit costs were higher by approximately $225,000 during the quarter as compared to the comparable prior period. Headcount, higher by three people in the current quarter, and salary increases accounted for the change in salary expense. Annual performance bonuses were paid to certain employees during the quarter totaling $120,000 in expense; none were paid in the prior period.</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45" w:right="31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General &amp; Administrative Expenses – Three months ended December 31, 2013 compared to the three months ended December 31, 2012</w:t>
      </w:r>
    </w:p>
    <w:p>
      <w:pPr>
        <w:spacing w:after="0" w:line="129"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The following table provides detail of G&amp;A expenses for the three months ended December 31, 2013 as compared to the three months ended December 31, 2012.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Three months</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 of</w:t>
            </w:r>
          </w:p>
        </w:tc>
        <w:tc>
          <w:tcPr>
            <w:tcW w:w="14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Three months</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 of</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Ended</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Expense</w:t>
            </w:r>
          </w:p>
        </w:tc>
        <w:tc>
          <w:tcPr>
            <w:tcW w:w="14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Ended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Expense</w:t>
            </w:r>
          </w:p>
        </w:tc>
        <w:tc>
          <w:tcPr>
            <w:tcW w:w="140" w:type="dxa"/>
            <w:vAlign w:val="bottom"/>
          </w:tcPr>
          <w:p>
            <w:pPr>
              <w:spacing w:after="0"/>
              <w:rPr>
                <w:sz w:val="18"/>
                <w:szCs w:val="18"/>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8"/>
                <w:szCs w:val="18"/>
                <w:color w:val="auto"/>
                <w:w w:val="88"/>
              </w:rPr>
              <w:t>Increase (Decrease)</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2360" w:type="dxa"/>
            <w:vAlign w:val="bottom"/>
            <w:gridSpan w:val="4"/>
          </w:tcPr>
          <w:p>
            <w:pPr>
              <w:ind w:left="740"/>
              <w:spacing w:after="0"/>
              <w:rPr>
                <w:sz w:val="20"/>
                <w:szCs w:val="20"/>
                <w:color w:val="auto"/>
              </w:rPr>
            </w:pPr>
            <w:r>
              <w:rPr>
                <w:rFonts w:ascii="Arial" w:cs="Arial" w:eastAsia="Arial" w:hAnsi="Arial"/>
                <w:sz w:val="18"/>
                <w:szCs w:val="18"/>
                <w:color w:val="auto"/>
              </w:rPr>
              <w:t>December 31, 2013</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Category</w:t>
            </w:r>
          </w:p>
        </w:tc>
        <w:tc>
          <w:tcPr>
            <w:tcW w:w="1620" w:type="dxa"/>
            <w:vAlign w:val="bottom"/>
            <w:gridSpan w:val="3"/>
          </w:tcPr>
          <w:p>
            <w:pPr>
              <w:spacing w:after="0"/>
              <w:rPr>
                <w:sz w:val="20"/>
                <w:szCs w:val="20"/>
                <w:color w:val="auto"/>
              </w:rPr>
            </w:pPr>
            <w:r>
              <w:rPr>
                <w:rFonts w:ascii="Arial" w:cs="Arial" w:eastAsia="Arial" w:hAnsi="Arial"/>
                <w:sz w:val="18"/>
                <w:szCs w:val="18"/>
                <w:color w:val="auto"/>
              </w:rPr>
              <w:t>December 31, 2012</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Category</w:t>
            </w:r>
          </w:p>
        </w:tc>
        <w:tc>
          <w:tcPr>
            <w:tcW w:w="140" w:type="dxa"/>
            <w:vAlign w:val="bottom"/>
          </w:tcPr>
          <w:p>
            <w:pPr>
              <w:spacing w:after="0"/>
              <w:rPr>
                <w:sz w:val="20"/>
                <w:szCs w:val="20"/>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Professional/outside services</w:t>
            </w:r>
          </w:p>
        </w:tc>
        <w:tc>
          <w:tcPr>
            <w:tcW w:w="74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Patent expense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Facilities and related</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Travel</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Business insurance</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Office expenses</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2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2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was $407,000 during the three months ended December 31, 2013, compared to $366,000 in the comparable prior period. The increase in professional fees primarily related to higher fees from Nasdaq related to the increase in outstanding shares.</w:t>
      </w:r>
    </w:p>
    <w:p>
      <w:pPr>
        <w:spacing w:after="0" w:line="18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Patent expense was $132,000 during the three months ended December 31, 2013, compared to $214,000 in the comparable prior period. The decrease in patent-related expenses was primarily due to reduction in patent prosecution costs for the Calando patent portfolio. Calando reduced its patent expense cost by curtailing patent prosecution costs for non-strategic patents. In August 2013, Calando terminated its license agreement with Caltech, and its rights and obligations related thereto. Accordingly, patent expense related to Calando is expected to be negligible going forward. The Company continues to invest in patent protection for its DPC technology, related product candidates and other RNAi technology through patent filings throughout the world. The Company expects to extend and maintain protection for its current portfolios, as appropriate, and file new patent applications as technologies are developed and improved.</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Facilities-related expense was $47,000 during the three months ended December 31, 2013, compared to $42,000 in the comparable prior period.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Facilities expense increased slightly due to routine increases in ancillary lease charges.</w:t>
      </w:r>
    </w:p>
    <w:p>
      <w:pPr>
        <w:spacing w:after="0" w:line="21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Travel expense was $100,000 during the three months ended December 31, 2013, compared to $94,000 in the comparable prior period. Travel expense increased due to travel in support of our R&amp;D function, primarily our GMP manufacturing campaign.</w:t>
      </w:r>
    </w:p>
    <w:p>
      <w:pPr>
        <w:spacing w:after="0" w:line="170"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Business insurance expense was $55,000 during the three months ended December 31, 2013, compared to $49,000 in the comparable prior period. Business insurance costs increased slightly primarily related to a clinical insurance policy put in place related to our clinical trial in Australia during the quarter.</w:t>
      </w:r>
    </w:p>
    <w:p>
      <w:pPr>
        <w:spacing w:after="0" w:line="18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Communication and technology expense was $58,000 during the three months ended December 31, 2013 compared to $36,000 in the comparable prior period. The increase was related to equipment purchases to replace outdated equipment and to outfit new employees.</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Office expense was $57,000 during the three months ended December 31, 2013 compared to $40,000 in the comparable prior period. The increase was related to office supplies, miscellaneous administrative expenses, and staff amenities.</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Other expense was $59,000 during the three months ended December 31, 2013 compared to $35,000 in the comparable prior period. The increase was related to trades shows, conferences and marketing materials.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Research and Development Expenses – Three months ended December 31, 2013 compared to the three months ended December 31, 2012</w:t>
      </w:r>
    </w:p>
    <w:p>
      <w:pPr>
        <w:spacing w:after="0" w:line="129"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R&amp;D expenses are related to the Company’s on-going research and development efforts, primarily related to its laboratory research facility in Madison, Wisconsin, and also include outsourced R&amp;D services. The following table provides detail of research and development expenses for the three months ended December 31, 2013, as compared to the three months ended December 31, 2012.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i w:val="1"/>
                <w:iCs w:val="1"/>
                <w:color w:val="auto"/>
              </w:rPr>
              <w:t>(in thousands, except percentages)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w w:val="93"/>
              </w:rPr>
              <w:t>Three months</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4"/>
              </w:rPr>
              <w:t>% of</w:t>
            </w:r>
          </w:p>
        </w:tc>
        <w:tc>
          <w:tcPr>
            <w:tcW w:w="140" w:type="dxa"/>
            <w:vAlign w:val="bottom"/>
          </w:tcPr>
          <w:p>
            <w:pPr>
              <w:spacing w:after="0"/>
              <w:rPr>
                <w:sz w:val="20"/>
                <w:szCs w:val="20"/>
                <w:color w:val="auto"/>
              </w:rPr>
            </w:pPr>
          </w:p>
        </w:tc>
        <w:tc>
          <w:tcPr>
            <w:tcW w:w="148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w w:val="93"/>
              </w:rPr>
              <w:t>Three months</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4"/>
              </w:rPr>
              <w:t>% of</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Ended</w:t>
            </w: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Expense</w:t>
            </w:r>
          </w:p>
        </w:tc>
        <w:tc>
          <w:tcPr>
            <w:tcW w:w="14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Ended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Expense</w:t>
            </w:r>
          </w:p>
        </w:tc>
        <w:tc>
          <w:tcPr>
            <w:tcW w:w="140" w:type="dxa"/>
            <w:vAlign w:val="bottom"/>
          </w:tcPr>
          <w:p>
            <w:pPr>
              <w:spacing w:after="0"/>
              <w:rPr>
                <w:sz w:val="18"/>
                <w:szCs w:val="18"/>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8"/>
                <w:szCs w:val="18"/>
                <w:color w:val="auto"/>
                <w:w w:val="88"/>
              </w:rPr>
              <w:t>Increase (Decrease)</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p>
        </w:tc>
        <w:tc>
          <w:tcPr>
            <w:tcW w:w="2300" w:type="dxa"/>
            <w:vAlign w:val="bottom"/>
            <w:gridSpan w:val="4"/>
          </w:tcPr>
          <w:p>
            <w:pPr>
              <w:ind w:left="680"/>
              <w:spacing w:after="0"/>
              <w:rPr>
                <w:sz w:val="20"/>
                <w:szCs w:val="20"/>
                <w:color w:val="auto"/>
              </w:rPr>
            </w:pPr>
            <w:r>
              <w:rPr>
                <w:rFonts w:ascii="Arial" w:cs="Arial" w:eastAsia="Arial" w:hAnsi="Arial"/>
                <w:sz w:val="18"/>
                <w:szCs w:val="18"/>
                <w:color w:val="auto"/>
              </w:rPr>
              <w:t>December 31, 2013</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Category</w:t>
            </w:r>
          </w:p>
        </w:tc>
        <w:tc>
          <w:tcPr>
            <w:tcW w:w="1620" w:type="dxa"/>
            <w:vAlign w:val="bottom"/>
            <w:gridSpan w:val="3"/>
          </w:tcPr>
          <w:p>
            <w:pPr>
              <w:spacing w:after="0"/>
              <w:rPr>
                <w:sz w:val="20"/>
                <w:szCs w:val="20"/>
                <w:color w:val="auto"/>
              </w:rPr>
            </w:pPr>
            <w:r>
              <w:rPr>
                <w:rFonts w:ascii="Arial" w:cs="Arial" w:eastAsia="Arial" w:hAnsi="Arial"/>
                <w:sz w:val="18"/>
                <w:szCs w:val="18"/>
                <w:color w:val="auto"/>
              </w:rPr>
              <w:t>December 31, 2012</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Category</w:t>
            </w:r>
          </w:p>
        </w:tc>
        <w:tc>
          <w:tcPr>
            <w:tcW w:w="140" w:type="dxa"/>
            <w:vAlign w:val="bottom"/>
          </w:tcPr>
          <w:p>
            <w:pPr>
              <w:spacing w:after="0"/>
              <w:rPr>
                <w:sz w:val="20"/>
                <w:szCs w:val="20"/>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Outside labs &amp; contract services</w:t>
            </w:r>
          </w:p>
        </w:tc>
        <w:tc>
          <w:tcPr>
            <w:tcW w:w="6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20" w:type="dxa"/>
            <w:vAlign w:val="bottom"/>
            <w:vMerge w:val="continue"/>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 vivo studies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Drug Manufacturing</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1,207</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217</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990</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Consulting</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License, royalty &amp; milestones</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Laboratory supplies &amp; services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Clinical trials</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535</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152</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383</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Facilities and related</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Sponsored research</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research expenses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6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w:t>
            </w:r>
          </w:p>
        </w:tc>
        <w:tc>
          <w:tcPr>
            <w:tcW w:w="2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20" w:type="dxa"/>
            <w:vAlign w:val="bottom"/>
            <w:vMerge w:val="continue"/>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220" w:type="dxa"/>
            <w:vAlign w:val="bottom"/>
            <w:vMerge w:val="continue"/>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Outside labs and contract services expense was $667,000 during the three months ended December 31, 2013, compared to $247,000 in the comparable prior period. The increase was primarily related to Phase 2 pre-clinical toxicity studies for ARC-520, our HBV drug candidate.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vivo studies expense was $61,000 during the three months ended December 31, 2013, compared to $362,000 in the comparable prior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prior period expense relates to preclinical non-GLP toxicology program costs related to our HBV program.</w:t>
      </w:r>
    </w:p>
    <w:p>
      <w:pPr>
        <w:spacing w:after="0" w:line="21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Drug manufacturing expense was $1,207,000 during the three months ended December 31, 2013, compared to $217,000 in the comparable prior year period. The current period expense relates to drug manufacturing needed for Phase 2 clinical trials. Such costs incurred in the prior year were at a smaller scale.</w:t>
      </w:r>
    </w:p>
    <w:p>
      <w:pPr>
        <w:spacing w:after="0" w:line="181"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Consulting expense was $47,000 during the three months ended December 31, 2013, compared to $62,000 in the comparable prior period. The majority of consulting expense during the current quarter relates to regulatory and clinical efforts.</w:t>
      </w:r>
    </w:p>
    <w:p>
      <w:pPr>
        <w:spacing w:after="0" w:line="170"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Licensing fees, royalty and milestones expense was $12,000 during the three months ended December 31, 2013, compared to $28,000 in the</w:t>
      </w:r>
    </w:p>
    <w:p>
      <w:pPr>
        <w:spacing w:after="0" w:line="35"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comparable prior period. Licensing fees, royalty and milestones expenses decreased due to the timing of royalty payments based on invoicing of licensors.</w:t>
      </w:r>
    </w:p>
    <w:p>
      <w:pPr>
        <w:spacing w:after="0" w:line="234"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Laboratory supplies and services expense was $389,000 during the three months ended December 31, 2013, compared to $235,000 in the comparable prior period. The increase is a result of additional supplies necessary to support increased efforts in pre-clinical research and development.</w:t>
      </w:r>
    </w:p>
    <w:p>
      <w:pPr>
        <w:spacing w:after="0" w:line="12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Clinical trial expense was $536,000 during the three months ended December 31, 2013, compared to $152,000 in the comparable prior period. Clinical trial expenses are increasing as the Company advances ARC-520, its drug candidate for Hepatitis B.</w:t>
      </w:r>
    </w:p>
    <w:p>
      <w:pPr>
        <w:spacing w:after="0" w:line="170"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Facilities expense was $193,000 during the three months ended December 31, 2013, compared to $191,000 in the comparable prior period. Facilities expenses were consistent quarter over quarter, with minor fluctuations in repairs and maintenance, electricity, property taxes and common area maintenance largely offsetting.</w:t>
      </w:r>
    </w:p>
    <w:p>
      <w:pPr>
        <w:spacing w:after="0" w:line="181" w:lineRule="exact"/>
        <w:rPr>
          <w:sz w:val="20"/>
          <w:szCs w:val="20"/>
          <w:color w:val="auto"/>
        </w:rPr>
      </w:pPr>
    </w:p>
    <w:p>
      <w:pPr>
        <w:jc w:val="both"/>
        <w:ind w:right="600" w:firstLine="518"/>
        <w:spacing w:after="0" w:line="264" w:lineRule="auto"/>
        <w:rPr>
          <w:sz w:val="20"/>
          <w:szCs w:val="20"/>
          <w:color w:val="auto"/>
        </w:rPr>
      </w:pPr>
      <w:r>
        <w:rPr>
          <w:rFonts w:ascii="Arial" w:cs="Arial" w:eastAsia="Arial" w:hAnsi="Arial"/>
          <w:sz w:val="18"/>
          <w:szCs w:val="18"/>
          <w:color w:val="auto"/>
        </w:rPr>
        <w:t>Sponsored research expense was zero during the three months ended December 31, 2013, compared to $72,000 in the comparable prior period. Sponsored research expense in the prior period relates to work at the University of Cincinnati related to our obesity program, which studies have been completed, and no further studies are currently planned.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2" w:name="page33"/>
    <w:bookmarkEnd w:id="32"/>
    <w:p>
      <w:pPr>
        <w:ind w:right="200" w:firstLine="518"/>
        <w:spacing w:after="0" w:line="259" w:lineRule="auto"/>
        <w:rPr>
          <w:sz w:val="20"/>
          <w:szCs w:val="20"/>
          <w:color w:val="auto"/>
        </w:rPr>
      </w:pPr>
      <w:r>
        <w:rPr>
          <w:rFonts w:ascii="Arial" w:cs="Arial" w:eastAsia="Arial" w:hAnsi="Arial"/>
          <w:sz w:val="18"/>
          <w:szCs w:val="18"/>
          <w:color w:val="auto"/>
        </w:rPr>
        <w:t>Stock-based compensation expense, a noncash expense, was $521,000 during the three months ended December 31, 2013, compared to $396,000 during the comparable prior period. Stock-based compensation expense is based upon the valuation of stock options granted to employees, directors, and certain consultants. Many variables affect the amount expensed, including the Company’s stock price on the date of the grant, as well as other assumptions. The increase in this expense is primarily due to new options granted in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Depreciation and amortization expense, a noncash expense, was $403,000 during the three months ended December 31, 2013, compared to $450,000 during the comparable prior period. The decrease is primarily related to amortization of capitalized patents related to Calando, which were fully written off in fiscal 2013, thus no further amortization will be recorded.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Other expense was $3,676,000 during the three months ended December 31, 2013, compared to other income of $29,000 in the comparable prior period. The primary component of other expense during the three months ended December 31, 2013 was a change in the value of derivative liabilities in the amount of $3.5 million related to certain warrants with a price adjustment feature, necessitating derivative accounting.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could, individually or in the aggregate, have a material adverse effect on our results of operations or financial condition.</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33"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There have been no material changes to the risk factors included in our Annual Report on Form 10-K for the year ended September 30, 2013. Please carefully consider the information set forth in this Quarterly Report on Form 10-Q and the risk factors discussed in Part I, “Item 1A. Risk Factors” in our Annual Report on Form 10-K for the year ended September 30, 2013,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firstLine="571"/>
        <w:spacing w:after="0" w:line="302" w:lineRule="auto"/>
        <w:rPr>
          <w:sz w:val="20"/>
          <w:szCs w:val="20"/>
          <w:color w:val="auto"/>
        </w:rPr>
      </w:pPr>
      <w:r>
        <w:rPr>
          <w:rFonts w:ascii="Arial" w:cs="Arial" w:eastAsia="Arial" w:hAnsi="Arial"/>
          <w:sz w:val="16"/>
          <w:szCs w:val="16"/>
          <w:color w:val="auto"/>
        </w:rPr>
        <w:t>On January 29, 2014, an involuntary bankruptcy petition was filed by a single creditor against Calando under Chapter 7 of the United States Bankruptcy Code in the United States Bankruptcy Court for the District of Delaware. If the case is not dismissed, we expect that a trustee would be appointed to oversee the liquidation of Calando’s remaining assets for the benefit of its creditors. As of September 30, 2013, substantially all of Calando’s assets had been impaired and have been fully reserved. Accordingly, we do not anticipate that this action will result in any impairment or other charges to Arrowhead.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10280" w:type="dxa"/>
            <w:vAlign w:val="bottom"/>
          </w:tcPr>
          <w:p>
            <w:pPr>
              <w:spacing w:after="0"/>
              <w:rPr>
                <w:sz w:val="14"/>
                <w:szCs w:val="14"/>
                <w:color w:val="auto"/>
              </w:rPr>
            </w:pPr>
          </w:p>
        </w:tc>
      </w:tr>
      <w:tr>
        <w:trPr>
          <w:trHeight w:val="185"/>
        </w:trPr>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Number</w:t>
            </w:r>
          </w:p>
        </w:tc>
        <w:tc>
          <w:tcPr>
            <w:tcW w:w="10280" w:type="dxa"/>
            <w:vAlign w:val="bottom"/>
          </w:tcPr>
          <w:p>
            <w:pPr>
              <w:spacing w:after="0"/>
              <w:rPr>
                <w:sz w:val="20"/>
                <w:szCs w:val="20"/>
                <w:color w:val="auto"/>
              </w:rPr>
            </w:pPr>
            <w:r>
              <w:rPr>
                <w:rFonts w:ascii="Arial" w:cs="Arial" w:eastAsia="Arial" w:hAnsi="Arial"/>
                <w:sz w:val="14"/>
                <w:szCs w:val="14"/>
                <w:b w:val="1"/>
                <w:bCs w:val="1"/>
                <w:color w:val="auto"/>
              </w:rPr>
              <w:t>Document Description</w:t>
            </w:r>
          </w:p>
        </w:tc>
      </w:tr>
      <w:tr>
        <w:trPr>
          <w:trHeight w:val="398"/>
        </w:trPr>
        <w:tc>
          <w:tcPr>
            <w:tcW w:w="760" w:type="dxa"/>
            <w:vAlign w:val="bottom"/>
            <w:tcBorders>
              <w:top w:val="single" w:sz="8" w:color="auto"/>
            </w:tcBorders>
          </w:tcPr>
          <w:p>
            <w:pPr>
              <w:jc w:val="right"/>
              <w:ind w:right="356"/>
              <w:spacing w:after="0"/>
              <w:rPr>
                <w:sz w:val="20"/>
                <w:szCs w:val="20"/>
                <w:color w:val="auto"/>
              </w:rPr>
            </w:pPr>
            <w:r>
              <w:rPr>
                <w:rFonts w:ascii="Arial" w:cs="Arial" w:eastAsia="Arial" w:hAnsi="Arial"/>
                <w:sz w:val="18"/>
                <w:szCs w:val="18"/>
                <w:color w:val="auto"/>
                <w:w w:val="85"/>
              </w:rPr>
              <w:t>31.1</w:t>
            </w:r>
          </w:p>
        </w:tc>
        <w:tc>
          <w:tcPr>
            <w:tcW w:w="380" w:type="dxa"/>
            <w:vAlign w:val="bottom"/>
          </w:tcPr>
          <w:p>
            <w:pPr>
              <w:spacing w:after="0"/>
              <w:rPr>
                <w:sz w:val="24"/>
                <w:szCs w:val="24"/>
                <w:color w:val="auto"/>
              </w:rPr>
            </w:pPr>
          </w:p>
        </w:tc>
        <w:tc>
          <w:tcPr>
            <w:tcW w:w="10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Certification of Chief Executive Officer pursuant to Rule 13a-14(a) of the Securities Exchange Act of 1934, as Adopted Pursuant to Section</w:t>
            </w:r>
          </w:p>
        </w:tc>
      </w:tr>
      <w:tr>
        <w:trPr>
          <w:trHeight w:val="230"/>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760" w:type="dxa"/>
            <w:vAlign w:val="bottom"/>
          </w:tcPr>
          <w:p>
            <w:pPr>
              <w:jc w:val="right"/>
              <w:ind w:right="356"/>
              <w:spacing w:after="0"/>
              <w:rPr>
                <w:sz w:val="20"/>
                <w:szCs w:val="20"/>
                <w:color w:val="auto"/>
              </w:rPr>
            </w:pPr>
            <w:r>
              <w:rPr>
                <w:rFonts w:ascii="Arial" w:cs="Arial" w:eastAsia="Arial" w:hAnsi="Arial"/>
                <w:sz w:val="18"/>
                <w:szCs w:val="18"/>
                <w:color w:val="auto"/>
                <w:w w:val="85"/>
              </w:rPr>
              <w:t>31.2</w:t>
            </w:r>
          </w:p>
        </w:tc>
        <w:tc>
          <w:tcPr>
            <w:tcW w:w="3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Rule 13a-14(a) of the Securities Exchange Act of 1934, as Adopted Pursuant to Section</w:t>
            </w:r>
          </w:p>
        </w:tc>
      </w:tr>
      <w:tr>
        <w:trPr>
          <w:trHeight w:val="230"/>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760" w:type="dxa"/>
            <w:vAlign w:val="bottom"/>
          </w:tcPr>
          <w:p>
            <w:pPr>
              <w:jc w:val="right"/>
              <w:ind w:right="356"/>
              <w:spacing w:after="0"/>
              <w:rPr>
                <w:sz w:val="20"/>
                <w:szCs w:val="20"/>
                <w:color w:val="auto"/>
              </w:rPr>
            </w:pPr>
            <w:r>
              <w:rPr>
                <w:rFonts w:ascii="Arial" w:cs="Arial" w:eastAsia="Arial" w:hAnsi="Arial"/>
                <w:sz w:val="18"/>
                <w:szCs w:val="18"/>
                <w:color w:val="auto"/>
                <w:w w:val="85"/>
              </w:rPr>
              <w:t>32.1</w:t>
            </w:r>
          </w:p>
        </w:tc>
        <w:tc>
          <w:tcPr>
            <w:tcW w:w="3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 Act</w:t>
            </w:r>
          </w:p>
        </w:tc>
      </w:tr>
      <w:tr>
        <w:trPr>
          <w:trHeight w:val="230"/>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of 2002**</w:t>
            </w:r>
          </w:p>
        </w:tc>
      </w:tr>
      <w:tr>
        <w:trPr>
          <w:trHeight w:val="418"/>
        </w:trPr>
        <w:tc>
          <w:tcPr>
            <w:tcW w:w="760" w:type="dxa"/>
            <w:vAlign w:val="bottom"/>
          </w:tcPr>
          <w:p>
            <w:pPr>
              <w:jc w:val="right"/>
              <w:ind w:right="356"/>
              <w:spacing w:after="0"/>
              <w:rPr>
                <w:sz w:val="20"/>
                <w:szCs w:val="20"/>
                <w:color w:val="auto"/>
              </w:rPr>
            </w:pPr>
            <w:r>
              <w:rPr>
                <w:rFonts w:ascii="Arial" w:cs="Arial" w:eastAsia="Arial" w:hAnsi="Arial"/>
                <w:sz w:val="18"/>
                <w:szCs w:val="18"/>
                <w:color w:val="auto"/>
                <w:w w:val="85"/>
              </w:rPr>
              <w:t>32.2</w:t>
            </w:r>
          </w:p>
        </w:tc>
        <w:tc>
          <w:tcPr>
            <w:tcW w:w="3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r>
      <w:tr>
        <w:trPr>
          <w:trHeight w:val="230"/>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2002**</w:t>
            </w:r>
          </w:p>
        </w:tc>
      </w:tr>
    </w:tbl>
    <w:p>
      <w:pPr>
        <w:spacing w:after="0" w:line="202" w:lineRule="exact"/>
        <w:rPr>
          <w:sz w:val="20"/>
          <w:szCs w:val="20"/>
          <w:color w:val="auto"/>
        </w:rPr>
      </w:pPr>
    </w:p>
    <w:p>
      <w:pPr>
        <w:ind w:left="1140" w:right="300" w:hanging="1132"/>
        <w:spacing w:after="0" w:line="31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materials from Registrant’s Quarterly Report on Form 10-Q for the quarter ended December 31, 2013,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0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21"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jc w:val="center"/>
        <w:ind w:right="-1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2014</w:t>
      </w:r>
    </w:p>
    <w:p>
      <w:pPr>
        <w:spacing w:after="0" w:line="252"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ARROWHEAD RESEARCH</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By: /s/ Kenneth A. Myszkowski</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-130810</wp:posOffset>
            </wp:positionV>
            <wp:extent cx="20154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337" w:right="4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77" w:lineRule="exact"/>
        <w:rPr>
          <w:sz w:val="20"/>
          <w:szCs w:val="20"/>
          <w:color w:val="auto"/>
        </w:rPr>
      </w:pPr>
    </w:p>
    <w:p>
      <w:pPr>
        <w:ind w:left="700" w:hanging="17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Research Corporation;</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2014</w:t>
      </w:r>
    </w:p>
    <w:p>
      <w:pPr>
        <w:spacing w:after="0" w:line="131" w:lineRule="exact"/>
        <w:rPr>
          <w:sz w:val="20"/>
          <w:szCs w:val="20"/>
          <w:color w:val="auto"/>
        </w:rPr>
      </w:pPr>
    </w:p>
    <w:p>
      <w:pPr>
        <w:jc w:val="center"/>
        <w:ind w:right="546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31750</wp:posOffset>
            </wp:positionV>
            <wp:extent cx="1260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39"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Christopher Anzalone</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13"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Research Corporation, certify that:</w:t>
      </w:r>
    </w:p>
    <w:p>
      <w:pPr>
        <w:spacing w:after="0" w:line="77" w:lineRule="exact"/>
        <w:rPr>
          <w:sz w:val="20"/>
          <w:szCs w:val="20"/>
          <w:color w:val="auto"/>
        </w:rPr>
      </w:pPr>
    </w:p>
    <w:p>
      <w:pPr>
        <w:ind w:left="700" w:hanging="17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Research Corporation;</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2014</w:t>
      </w:r>
    </w:p>
    <w:p>
      <w:pPr>
        <w:spacing w:after="0" w:line="13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31750</wp:posOffset>
            </wp:positionV>
            <wp:extent cx="1277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39"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Kenneth A. Myszkowski,</w:t>
      </w:r>
    </w:p>
    <w:p>
      <w:pPr>
        <w:spacing w:after="0" w:line="2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5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 Christopher Anzalone, Chief Executive Officer of Arrowhead Research Corporation (the “Company”), certify, pursuant to Rule 13(a)-14(b) or Rule 15(d)-14(b) of the Securities Exchange Act of 1934 and 18 U.S.C. Section 1350, that (i) the Quarterly Report on Form 10-Q of the Company for the quarterly period ended December 31, 2013,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2014</w:t>
      </w:r>
    </w:p>
    <w:p>
      <w:pPr>
        <w:spacing w:after="0" w:line="131" w:lineRule="exact"/>
        <w:rPr>
          <w:sz w:val="20"/>
          <w:szCs w:val="20"/>
          <w:color w:val="auto"/>
        </w:rPr>
      </w:pPr>
    </w:p>
    <w:p>
      <w:pPr>
        <w:jc w:val="center"/>
        <w:ind w:right="546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23495</wp:posOffset>
            </wp:positionV>
            <wp:extent cx="1260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39"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Christopher Anzalone</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35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320" w:firstLine="518"/>
        <w:spacing w:after="0" w:line="288" w:lineRule="auto"/>
        <w:rPr>
          <w:sz w:val="20"/>
          <w:szCs w:val="20"/>
          <w:color w:val="auto"/>
        </w:rPr>
      </w:pPr>
      <w:r>
        <w:rPr>
          <w:rFonts w:ascii="Arial" w:cs="Arial" w:eastAsia="Arial" w:hAnsi="Arial"/>
          <w:sz w:val="16"/>
          <w:szCs w:val="16"/>
          <w:color w:val="auto"/>
        </w:rPr>
        <w:t>I, Kenneth A. Myszkowski, Chief Financial Officer of Arrowhead Research Corporation (the “Company”), certify, pursuant to Rule 13(a)-14(b) or Rule 15(d)-14(b) of the Securities Exchange Act of 1934 and 18 U.S.C. Section 1350, that (i) the Quarterly Report on Form 10-Q of the Company for the quarterly period ended December 31, 2013, fully complies with the requirements of Section 13(a) or 15(d) of the Securities Exchange Act of 1934, and</w:t>
      </w:r>
    </w:p>
    <w:p>
      <w:pPr>
        <w:ind w:right="180" w:firstLine="8"/>
        <w:spacing w:after="0" w:line="261"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such Quarterly Report on Form 10-Q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2014</w:t>
      </w:r>
    </w:p>
    <w:p>
      <w:pPr>
        <w:spacing w:after="0" w:line="13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23495</wp:posOffset>
            </wp:positionV>
            <wp:extent cx="1277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3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Kenneth A. Myszkowski</w:t>
      </w:r>
    </w:p>
    <w:p>
      <w:pPr>
        <w:spacing w:after="0" w:line="2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0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2019-12-06T05:19:34Z</dcterms:created>
  <dcterms:modified xsi:type="dcterms:W3CDTF">2019-12-06T05:19:34Z</dcterms:modified>
</cp:coreProperties>
</file>